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8"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38" w:lineRule="exact"/>
        <w:ind w:left="0" w:firstLine="0"/>
        <w:jc w:val="center"/>
      </w:pPr>
      <w:r>
        <w:rPr>
          <w:b/>
          <w:bCs/>
        </w:rPr>
        <w:t xml:space="preserve">FIFTH</w:t>
      </w:r>
      <w:r>
        <w:rPr>
          <w:b/>
          <w:bCs/>
        </w:rPr>
        <w:t xml:space="preserve"> </w:t>
      </w:r>
      <w:r>
        <w:rPr>
          <w:b/>
          <w:bCs/>
        </w:rPr>
        <w:t xml:space="preserve">APPELLATE</w:t>
      </w:r>
      <w:r>
        <w:rPr>
          <w:b/>
          <w:bCs/>
        </w:rPr>
        <w:t xml:space="preserve"> </w:t>
      </w:r>
      <w:r>
        <w:rPr>
          <w:b/>
          <w:bCs/>
        </w:rPr>
        <w:t xml:space="preserve">DISTRICT</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156" w:line="338" w:lineRule="exact"/>
              <w:ind w:left="0" w:firstLine="0"/>
              <w:jc w:val="left"/>
            </w:pPr>
            <w:r>
              <w:t xml:space="preserve">DANNY</w:t>
            </w:r>
            <w:r>
              <w:t xml:space="preserve"> </w:t>
            </w:r>
            <w:r>
              <w:t xml:space="preserve">VILLANUEVA,</w:t>
            </w:r>
            <w:r>
              <w:t xml:space="preserve"> </w:t>
            </w:r>
            <w:r>
              <w:t xml:space="preserve">NIALL</w:t>
            </w:r>
            <w:r>
              <w:t xml:space="preserve"> </w:t>
            </w:r>
            <w:r>
              <w:t xml:space="preserve">STALLARD,</w:t>
            </w:r>
            <w:r>
              <w:t xml:space="preserve"> </w:t>
            </w:r>
            <w:r>
              <w:t xml:space="preserve">RUBEN</w:t>
            </w:r>
            <w:r>
              <w:t xml:space="preserve"> </w:t>
            </w:r>
            <w:r>
              <w:t xml:space="preserve">BARRIOS,</w:t>
            </w:r>
            <w:r>
              <w:t xml:space="preserve"> </w:t>
            </w:r>
            <w:r>
              <w:t xml:space="preserve">CHARLIE</w:t>
            </w:r>
            <w:r>
              <w:t xml:space="preserve"> </w:t>
            </w:r>
            <w:r>
              <w:t xml:space="preserve">COX,</w:t>
            </w:r>
            <w:r>
              <w:t xml:space="preserve"> </w:t>
            </w:r>
            <w:r>
              <w:t xml:space="preserve">MARK</w:t>
            </w:r>
            <w:r>
              <w:t xml:space="preserve"> </w:t>
            </w:r>
            <w:r>
              <w:t xml:space="preserve">STROH,</w:t>
            </w:r>
            <w:r>
              <w:t xml:space="preserve"> </w:t>
            </w:r>
            <w:r>
              <w:t xml:space="preserve">ANTHONY</w:t>
            </w:r>
            <w:r>
              <w:t xml:space="preserve"> </w:t>
            </w:r>
            <w:r>
              <w:t xml:space="preserve">MENDOZA,</w:t>
            </w:r>
            <w:r>
              <w:t xml:space="preserve"> </w:t>
            </w:r>
            <w:r>
              <w:t xml:space="preserve">AND</w:t>
            </w:r>
            <w:r>
              <w:t xml:space="preserve"> </w:t>
            </w:r>
            <w:r>
              <w:t xml:space="preserve">CALIFORNIA</w:t>
            </w:r>
            <w:r>
              <w:t xml:space="preserve"> </w:t>
            </w:r>
            <w:r>
              <w:t xml:space="preserve">RIFLE</w:t>
            </w:r>
            <w:r>
              <w:t xml:space="preserve"> </w:t>
            </w:r>
            <w:r>
              <w:t xml:space="preserve">&amp;</w:t>
            </w:r>
            <w:r>
              <w:t xml:space="preserve"> </w:t>
            </w:r>
            <w:r>
              <w:t xml:space="preserve">PISTOL</w:t>
            </w:r>
            <w:r>
              <w:t xml:space="preserve"> </w:t>
            </w:r>
            <w:r>
              <w:t xml:space="preserve">ASSOCIATION,</w:t>
            </w:r>
            <w:r>
              <w:t xml:space="preserve"> </w:t>
            </w:r>
            <w:r>
              <w:t xml:space="preserve">INCORPORATED,</w:t>
            </w:r>
          </w:p>
          <w:p>
            <w:pPr>
              <w:spacing w:before="0" w:after="0" w:line="338" w:lineRule="exact"/>
              <w:ind w:left="2268" w:firstLine="0"/>
              <w:jc w:val="left"/>
            </w:pPr>
            <w:r>
              <w:t xml:space="preserve">Plaintiffs</w:t>
            </w:r>
            <w:r>
              <w:t xml:space="preserve"> </w:t>
            </w:r>
            <w:r>
              <w:t xml:space="preserve">and</w:t>
            </w:r>
            <w:r>
              <w:t xml:space="preserve"> </w:t>
            </w:r>
            <w:r>
              <w:t xml:space="preserve">Appellants,</w:t>
            </w:r>
          </w:p>
          <w:p>
            <w:pPr>
              <w:spacing w:before="124" w:after="124" w:line="338" w:lineRule="exact"/>
              <w:ind w:left="2268" w:firstLine="0"/>
              <w:jc w:val="left"/>
            </w:pPr>
            <w:r>
              <w:t xml:space="preserve">v.</w:t>
            </w:r>
          </w:p>
          <w:p>
            <w:pPr>
              <w:spacing w:before="0" w:after="156" w:line="338" w:lineRule="exact"/>
              <w:ind w:left="0" w:firstLine="0"/>
              <w:jc w:val="left"/>
            </w:pP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LUIS</w:t>
            </w:r>
            <w:r>
              <w:t xml:space="preserve"> </w:t>
            </w:r>
            <w:r>
              <w:t xml:space="preserve">LOPEZ,</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Director</w:t>
            </w:r>
            <w:r>
              <w:t xml:space="preserve"> </w:t>
            </w:r>
            <w:r>
              <w:t xml:space="preserve">of</w:t>
            </w:r>
            <w:r>
              <w:t xml:space="preserve"> </w:t>
            </w:r>
            <w:r>
              <w:t xml:space="preserve">the</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Bureau</w:t>
            </w:r>
            <w:r>
              <w:t xml:space="preserve"> </w:t>
            </w:r>
            <w:r>
              <w:t xml:space="preserve">of</w:t>
            </w:r>
            <w:r>
              <w:t xml:space="preserve"> </w:t>
            </w:r>
            <w:r>
              <w:t xml:space="preserve">Firearms;</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and</w:t>
            </w:r>
            <w:r>
              <w:t xml:space="preserve"> </w:t>
            </w:r>
            <w:r>
              <w:t xml:space="preserve">DOES</w:t>
            </w:r>
            <w:r>
              <w:t xml:space="preserve"> </w:t>
            </w:r>
            <w:r>
              <w:t xml:space="preserve">1-⁠10,</w:t>
            </w:r>
          </w:p>
          <w:p>
            <w:pPr>
              <w:spacing w:before="0" w:after="0" w:line="338" w:lineRule="exact"/>
              <w:ind w:left="2268" w:firstLine="0"/>
              <w:jc w:val="left"/>
            </w:pPr>
            <w:r>
              <w:t xml:space="preserve">Defendants</w:t>
            </w:r>
            <w:r>
              <w:t xml:space="preserve"> </w:t>
            </w:r>
            <w:r>
              <w:t xml:space="preserve">and</w:t>
            </w:r>
            <w:r>
              <w:t xml:space="preserve"> </w:t>
            </w:r>
            <w:r>
              <w:t xml:space="preserve">Respondents.</w:t>
            </w:r>
          </w:p>
        </w:tc>
        <w:tc>
          <w:tcPr>
            <w:tcW w:w="2880" w:type="dxa"/>
            <w:tcMar>
              <w:left w:w="360" w:type="dxa"/>
            </w:tcMar>
            <w:vAlign w:val="center"/>
          </w:tcPr>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F078062</w:t>
            </w:r>
          </w:p>
        </w:tc>
      </w:tr>
    </w:tbl>
    <w:p>
      <w:pPr>
        <w:spacing w:before="312" w:after="0" w:line="338" w:lineRule="exact"/>
        <w:ind w:left="0" w:firstLine="0"/>
        <w:jc w:val="center"/>
      </w:pPr>
      <w:r>
        <w:t xml:space="preserve">Fresno</w:t>
      </w:r>
      <w:r>
        <w:t xml:space="preserve"> </w:t>
      </w:r>
      <w:r>
        <w:t xml:space="preserve">Superior</w:t>
      </w:r>
      <w:r>
        <w:t xml:space="preserve"> </w:t>
      </w:r>
      <w:r>
        <w:t xml:space="preserve">Court</w:t>
      </w:r>
    </w:p>
    <w:p>
      <w:pPr>
        <w:spacing w:before="0" w:after="0" w:line="338" w:lineRule="exact"/>
        <w:ind w:left="0" w:firstLine="0"/>
        <w:jc w:val="center"/>
      </w:pPr>
      <w:r>
        <w:t xml:space="preserve">Case</w:t>
      </w:r>
      <w:r>
        <w:t xml:space="preserve"> </w:t>
      </w:r>
      <w:r>
        <w:t xml:space="preserve">No.</w:t>
      </w:r>
      <w:r>
        <w:t xml:space="preserve"> </w:t>
      </w:r>
      <w:r>
        <w:t xml:space="preserve">17CECG03093</w:t>
      </w:r>
    </w:p>
    <w:p>
      <w:pPr>
        <w:spacing w:before="500" w:after="0" w:line="338" w:lineRule="exact"/>
        <w:ind w:left="0" w:firstLine="0"/>
        <w:jc w:val="center"/>
      </w:pPr>
      <w:r>
        <w:rPr>
          <w:b/>
          <w:bCs/>
        </w:rPr>
        <w:t xml:space="preserve">RESPONDENTS’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SUBSTITUTION</w:t>
      </w:r>
      <w:r>
        <w:rPr>
          <w:b/>
          <w:bCs/>
        </w:rPr>
        <w:t xml:space="preserve"> </w:t>
      </w:r>
      <w:r>
        <w:rPr>
          <w:b/>
          <w:bCs/>
        </w:rPr>
        <w:t xml:space="preserve">OF</w:t>
      </w:r>
      <w:r>
        <w:rPr>
          <w:b/>
          <w:bCs/>
        </w:rPr>
        <w:t xml:space="preserve"> </w:t>
      </w:r>
      <w:r>
        <w:rPr>
          <w:b/>
          <w:bCs/>
        </w:rPr>
        <w:t xml:space="preserve">PARTIES</w:t>
      </w:r>
    </w:p>
    <w:p>
      <w:pPr>
        <w:spacing w:before="500" w:after="0" w:line="338" w:lineRule="exact"/>
        <w:ind w:left="3960" w:firstLine="0"/>
        <w:jc w:val="left"/>
      </w:pPr>
      <w:r>
        <w:t xml:space="preserve">XAVIER</w:t>
      </w:r>
      <w:r>
        <w:t xml:space="preserve"> </w:t>
      </w:r>
      <w:r>
        <w:t xml:space="preserve">BECERRA,</w:t>
      </w:r>
      <w:r>
        <w:t xml:space="preserve"> </w:t>
      </w:r>
      <w:r>
        <w:t xml:space="preserve">Attorney</w:t>
      </w:r>
      <w:r>
        <w:t xml:space="preserve"> </w:t>
      </w:r>
      <w:r>
        <w:t xml:space="preserve">General</w:t>
      </w:r>
      <w:r>
        <w:t xml:space="preserve"> </w:t>
      </w:r>
      <w:r>
        <w:t xml:space="preserve">of</w:t>
      </w:r>
      <w:r>
        <w:t xml:space="preserve"> </w:t>
      </w:r>
      <w:r>
        <w:t xml:space="preserve">California</w:t>
      </w:r>
    </w:p>
    <w:p>
      <w:pPr>
        <w:spacing w:before="0" w:after="0" w:line="338" w:lineRule="exact"/>
        <w:ind w:left="3960" w:firstLine="0"/>
        <w:jc w:val="left"/>
      </w:pPr>
      <w:r>
        <w:t xml:space="preserve">P.</w:t>
      </w:r>
      <w:r>
        <w:t xml:space="preserve"> </w:t>
      </w:r>
      <w:r>
        <w:t xml:space="preserve">PATTY</w:t>
      </w:r>
      <w:r>
        <w:t xml:space="preserve"> </w:t>
      </w:r>
      <w:r>
        <w:t xml:space="preserve">LI</w:t>
      </w:r>
      <w:r>
        <w:t xml:space="preserve"> </w:t>
      </w:r>
      <w:r>
        <w:t xml:space="preserve">–</w:t>
      </w:r>
      <w:r>
        <w:t xml:space="preserve"> </w:t>
      </w:r>
      <w:r>
        <w:t xml:space="preserve">State</w:t>
      </w:r>
      <w:r>
        <w:t xml:space="preserve"> </w:t>
      </w:r>
      <w:r>
        <w:t xml:space="preserve">Bar</w:t>
      </w:r>
      <w:r>
        <w:t xml:space="preserve"> </w:t>
      </w:r>
      <w:r>
        <w:t xml:space="preserve">No.</w:t>
      </w:r>
      <w:r>
        <w:t xml:space="preserve"> </w:t>
      </w:r>
      <w:r>
        <w:t xml:space="preserve">266937</w:t>
      </w:r>
    </w:p>
    <w:p>
      <w:pPr>
        <w:spacing w:before="0" w:after="0" w:line="338" w:lineRule="exact"/>
        <w:ind w:left="3960" w:firstLine="0"/>
        <w:jc w:val="left"/>
      </w:pPr>
      <w:r>
        <w:t xml:space="preserve">Deputy</w:t>
      </w:r>
      <w:r>
        <w:t xml:space="preserve"> </w:t>
      </w:r>
      <w:r>
        <w:t xml:space="preserve">Attorney</w:t>
      </w:r>
      <w:r>
        <w:t xml:space="preserve"> </w:t>
      </w:r>
      <w:r>
        <w:t xml:space="preserve">General</w:t>
      </w:r>
    </w:p>
    <w:p>
      <w:pPr>
        <w:spacing w:before="0" w:after="0" w:line="338" w:lineRule="exact"/>
        <w:ind w:left="3960" w:firstLine="0"/>
        <w:jc w:val="left"/>
      </w:pPr>
      <w:r>
        <w:t xml:space="preserve">455</w:t>
      </w:r>
      <w:r>
        <w:t xml:space="preserve"> </w:t>
      </w:r>
      <w:r>
        <w:t xml:space="preserve">Golden</w:t>
      </w:r>
      <w:r>
        <w:t xml:space="preserve"> </w:t>
      </w:r>
      <w:r>
        <w:t xml:space="preserve">Gate</w:t>
      </w:r>
      <w:r>
        <w:t xml:space="preserve"> </w:t>
      </w:r>
      <w:r>
        <w:t xml:space="preserve">Avenue,</w:t>
      </w:r>
      <w:r>
        <w:t xml:space="preserve"> </w:t>
      </w:r>
      <w:r>
        <w:t xml:space="preserve">Suite</w:t>
      </w:r>
      <w:r>
        <w:t xml:space="preserve"> </w:t>
      </w:r>
      <w:r>
        <w:t xml:space="preserve">11000</w:t>
      </w:r>
    </w:p>
    <w:p>
      <w:pPr>
        <w:spacing w:before="0" w:after="0" w:line="338" w:lineRule="exact"/>
        <w:ind w:left="3960" w:firstLine="0"/>
        <w:jc w:val="left"/>
      </w:pPr>
      <w:r>
        <w:t xml:space="preserve">San</w:t>
      </w:r>
      <w:r>
        <w:t xml:space="preserve"> </w:t>
      </w:r>
      <w:r>
        <w:t xml:space="preserve">Francisco,</w:t>
      </w:r>
      <w:r>
        <w:t xml:space="preserve"> </w:t>
      </w:r>
      <w:r>
        <w:t xml:space="preserve">CA</w:t>
      </w:r>
      <w:r>
        <w:t xml:space="preserve"> </w:t>
      </w:r>
      <w:r>
        <w:t xml:space="preserve">94102-⁠7004</w:t>
      </w:r>
    </w:p>
    <w:p>
      <w:pPr>
        <w:spacing w:before="0" w:after="0" w:line="338" w:lineRule="exact"/>
        <w:ind w:left="3960" w:firstLine="0"/>
        <w:jc w:val="left"/>
      </w:pPr>
      <w:r>
        <w:t xml:space="preserve">Telephone:</w:t>
      </w:r>
      <w:r>
        <w:t xml:space="preserve"> </w:t>
      </w:r>
      <w:r>
        <w:t xml:space="preserve">(415)</w:t>
      </w:r>
      <w:r>
        <w:t xml:space="preserve"> </w:t>
      </w:r>
      <w:r>
        <w:t xml:space="preserve">510-⁠3817</w:t>
      </w:r>
    </w:p>
    <w:p>
      <w:pPr>
        <w:spacing w:before="0" w:after="0" w:line="338" w:lineRule="exact"/>
        <w:ind w:left="3960" w:firstLine="0"/>
        <w:jc w:val="left"/>
      </w:pPr>
      <w:r>
        <w:t xml:space="preserve">Fax:</w:t>
      </w:r>
      <w:r>
        <w:t xml:space="preserve"> </w:t>
      </w:r>
      <w:r>
        <w:t xml:space="preserve">(415)</w:t>
      </w:r>
      <w:r>
        <w:t xml:space="preserve"> </w:t>
      </w:r>
      <w:r>
        <w:t xml:space="preserve">703-⁠1234</w:t>
      </w:r>
    </w:p>
    <w:p>
      <w:pPr>
        <w:spacing w:before="0" w:after="0" w:line="338" w:lineRule="exact"/>
        <w:ind w:left="3960" w:firstLine="0"/>
        <w:jc w:val="left"/>
      </w:pPr>
      <w:r>
        <w:t xml:space="preserve">E-mail:</w:t>
      </w:r>
      <w:r>
        <w:t xml:space="preserve"> </w:t>
      </w:r>
      <w:r>
        <w:t xml:space="preserve">Patty.Li@doj.ca.gov</w:t>
      </w:r>
    </w:p>
    <w:p>
      <w:pPr>
        <w:spacing w:before="130" w:after="0" w:line="338" w:lineRule="exact"/>
        <w:ind w:left="396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r>
        <w:rPr>
          <w:i/>
          <w:iCs/>
        </w:rPr>
        <w:t xml:space="preserve"> </w:t>
      </w:r>
      <w:r>
        <w:rPr>
          <w:i/>
          <w:iCs/>
        </w:rPr>
        <w:t xml:space="preserve">and</w:t>
      </w:r>
      <w:r>
        <w:rPr>
          <w:i/>
          <w:iCs/>
        </w:rPr>
        <w:t xml:space="preserve"> </w:t>
      </w:r>
      <w:r>
        <w:rPr>
          <w:i/>
          <w:iCs/>
        </w:rPr>
        <w:t xml:space="preserve">Respondents</w:t>
      </w:r>
      <w:r>
        <w:rPr>
          <w:i/>
          <w:iCs/>
        </w:rPr>
        <w:t xml:space="preserve"> </w:t>
      </w:r>
      <w:r>
        <w:rPr>
          <w:i/>
          <w:iCs/>
        </w:rPr>
        <w:t xml:space="preserve">Xavier</w:t>
      </w:r>
      <w:r>
        <w:rPr>
          <w:i/>
          <w:iCs/>
        </w:rPr>
        <w:t xml:space="preserve"> </w:t>
      </w:r>
      <w:r>
        <w:rPr>
          <w:i/>
          <w:iCs/>
        </w:rPr>
        <w:t xml:space="preserve">Becerra,</w:t>
      </w:r>
      <w:r>
        <w:rPr>
          <w:i/>
          <w:iCs/>
        </w:rPr>
        <w:t xml:space="preserve"> </w:t>
      </w:r>
      <w:r>
        <w:rPr>
          <w:i/>
          <w:iCs/>
        </w:rPr>
        <w:t xml:space="preserve">et</w:t>
      </w:r>
      <w:r>
        <w:rPr>
          <w:i/>
          <w:iCs/>
        </w:rPr>
        <w:t xml:space="preserve"> </w:t>
      </w:r>
      <w:r>
        <w:rPr>
          <w:i/>
          <w:iCs/>
        </w:rPr>
        <w:t xml:space="preserve">al.</w:t>
      </w:r>
    </w:p>
    <w:p>
      <w:pPr>
        <w:pageBreakBefore/>
        <w:spacing w:before="0" w:after="0" w:line="1" w:lineRule="exact"/>
      </w:pPr>
    </w:p>
    <w:p>
      <w:pPr>
        <w:pStyle w:val="BodyText"/>
      </w:pPr>
      <w:r>
        <w:t xml:space="preserve">Pursuant to rule 8.36, subdivision (a), of the California Rules of Court and Code of Civil Procedure section 368.5, Respondents respectfully move for an order substituting Luis Lopez, in his official capacity as the Director of the California Department of Justice, Bureau of Firearms, in place of Brent E. Orick as a Respondent in this appeal.</w:t>
      </w:r>
    </w:p>
    <w:p>
      <w:pPr>
        <w:pStyle w:val="BodyText"/>
      </w:pPr>
      <w:r>
        <w:t xml:space="preserve">Respondents bring this motion on the grounds that Appellants’ lawsuit seeks relief against the California Department of Justice, Bureau of Firearms, and that the current head of the Bureau of Firearms is Director Luis Lopez. Mr. Lopez succeeded Mr. Orick in that position effective February 15, 2020.</w:t>
      </w:r>
    </w:p>
    <w:p>
      <w:pPr>
        <w:pStyle w:val="BodyText"/>
      </w:pPr>
      <w:r>
        <w:t xml:space="preserve">Therefore, Respondents respectfully request that the Court enter an order substituting Luis Lopez, in his official capacity as the Director of the California Department of Justice, Bureau of Firearms, as a Respondent in this matter in place of Brent E. Orrick.</w:t>
      </w:r>
    </w:p>
    <w:p>
      <w:pPr>
        <w:keepNext/>
        <w:keepLines/>
        <w:spacing w:before="312" w:after="260" w:line="338"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SUBSTITUTE</w:t>
      </w:r>
      <w:r>
        <w:rPr>
          <w:b/>
          <w:bCs/>
        </w:rPr>
        <w:t xml:space="preserve"> </w:t>
      </w:r>
      <w:r>
        <w:rPr>
          <w:b/>
          <w:bCs/>
        </w:rPr>
        <w:t xml:space="preserve">PARTIES</w:t>
      </w:r>
    </w:p>
    <w:p>
      <w:pPr>
        <w:pStyle w:val="BodyText"/>
      </w:pPr>
      <w:r>
        <w:t xml:space="preserve">Where, as here, an action involves a public officer’s official duties, the action does not abate when an incumbent’s term expires but may be continued by his or her successor. (Weadon v. Shahen (1942) 50 Cal.App.2d 254, 260.) In such circumstances, the successor may be substituted on motion “as matter of course.” (In re Estate of Lermond (1904) 142 Cal. 585, 586.) The rule liberally allowing substitution as a matter of course applies to state government officials. (See, e.g., Hotel Employees and Restaurant Employees Intern. Union v. Davis (1999) 21 Ca1.4th 585, 590 [substituting Governor Davis in mandamus proceeding after Governor Wilson left office]; California Welfare Rights Organization v. Carleson (1971) 4 Cal.3d 445, 44 7, fn. 1 [substituting current Director of Department of Social Welfare]; Weadon, supra, 50 Cal.App.2d at p. 260 [Superintendent of Banks].)</w:t>
      </w:r>
    </w:p>
    <w:p>
      <w:pPr>
        <w:pStyle w:val="BodyText"/>
      </w:pPr>
      <w:r>
        <w:t xml:space="preserve">When this case was commenced in September 2017, Stephen Lindley was the Chief of the California Department of Justice, Bureau of Firearms, and was sued in his official capacity. (Respondents’ Appendix 3.) On September 5, 2019, this Court granted Respondents’ previous Motion for Substitution of Parties, substituting Brent E. Orick, in his official capacity as Acting Director of the California Department of Justice, Bureau of Firearms, in place of Mr. Lindley. Effective February 15, 2020, Luis Lopez succeeded Mr. Orick as the head of the Bureau of Firearms. Consequently, Luis Lopez, in his official capacity as Director of the California Department of Justice, Bureau of Firearms, should be substituted as a Respondent in place of Mr. Orick.</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October</w:t>
            </w:r>
            <w:r>
              <w:t xml:space="preserve"> </w:t>
            </w:r>
            <w:r>
              <w:t xml:space="preserve">7,</w:t>
            </w:r>
            <w:r>
              <w:t xml:space="preserve"> </w:t>
            </w:r>
            <w:r>
              <w:t xml:space="preserve">2020</w:t>
            </w:r>
          </w:p>
        </w:tc>
        <w:tc>
          <w:tcPr>
            <w:tcW w:w="4320" w:type="dxa"/>
          </w:tcPr>
          <w:p>
            <w:pPr>
              <w:spacing w:before="0" w:after="0" w:line="338" w:lineRule="exact"/>
              <w:ind w:left="0" w:firstLine="0"/>
              <w:jc w:val="left"/>
            </w:pPr>
            <w:r>
              <w:t xml:space="preserve">XAVIER</w:t>
            </w:r>
            <w:r>
              <w:t xml:space="preserve"> </w:t>
            </w:r>
            <w:r>
              <w:t xml:space="preserve">BECERRA</w:t>
            </w:r>
          </w:p>
          <w:p>
            <w:pPr>
              <w:spacing w:before="0" w:after="0" w:line="338" w:lineRule="exact"/>
              <w:ind w:left="0" w:firstLine="0"/>
              <w:jc w:val="left"/>
            </w:pPr>
            <w:r>
              <w:t xml:space="preserve">Attorney</w:t>
            </w:r>
            <w:r>
              <w:t xml:space="preserve"> </w:t>
            </w:r>
            <w:r>
              <w:t xml:space="preserve">General</w:t>
            </w:r>
            <w:r>
              <w:t xml:space="preserve"> </w:t>
            </w:r>
            <w:r>
              <w:t xml:space="preserve">of</w:t>
            </w:r>
            <w:r>
              <w:t xml:space="preserve"> </w:t>
            </w:r>
            <w:r>
              <w:t xml:space="preserve">California</w:t>
            </w:r>
          </w:p>
          <w:p>
            <w:pPr>
              <w:spacing w:before="0" w:after="0" w:line="338" w:lineRule="exact"/>
              <w:ind w:left="0" w:firstLine="0"/>
              <w:jc w:val="left"/>
            </w:pPr>
            <w:r>
              <w:t xml:space="preserve">THOMAS</w:t>
            </w:r>
            <w:r>
              <w:t xml:space="preserve"> </w:t>
            </w:r>
            <w:r>
              <w:t xml:space="preserve">S.</w:t>
            </w:r>
            <w:r>
              <w:t xml:space="preserve"> </w:t>
            </w:r>
            <w:r>
              <w:t xml:space="preserve">PATTERSON</w:t>
            </w:r>
          </w:p>
          <w:p>
            <w:pPr>
              <w:spacing w:before="0" w:after="0" w:line="338" w:lineRule="exact"/>
              <w:ind w:left="0"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338" w:lineRule="exact"/>
              <w:ind w:left="0" w:firstLine="0"/>
              <w:jc w:val="left"/>
            </w:pPr>
            <w:r>
              <w:t xml:space="preserve">PAUL</w:t>
            </w:r>
            <w:r>
              <w:t xml:space="preserve"> </w:t>
            </w:r>
            <w:r>
              <w:t xml:space="preserve">STEIN</w:t>
            </w:r>
          </w:p>
          <w:p>
            <w:pPr>
              <w:spacing w:before="0" w:after="0" w:line="338" w:lineRule="exact"/>
              <w:ind w:left="0" w:firstLine="0"/>
              <w:jc w:val="left"/>
            </w:pPr>
            <w:r>
              <w:t xml:space="preserve">Supervising</w:t>
            </w:r>
            <w:r>
              <w:t xml:space="preserve"> </w:t>
            </w:r>
            <w:r>
              <w:t xml:space="preserve">Deputy</w:t>
            </w:r>
            <w:r>
              <w:t xml:space="preserve"> </w:t>
            </w:r>
            <w:r>
              <w:t xml:space="preserve">Attorney</w:t>
            </w:r>
            <w:r>
              <w:t xml:space="preserve"> </w:t>
            </w:r>
            <w:r>
              <w:t xml:space="preserve">General</w:t>
            </w:r>
          </w:p>
          <w:p>
            <w:pPr>
              <w:spacing w:before="312" w:after="0" w:line="338" w:lineRule="exact"/>
              <w:ind w:left="0" w:firstLine="0"/>
              <w:jc w:val="left"/>
            </w:pPr>
            <w:r>
              <w:t xml:space="preserve">s/​P.</w:t>
            </w:r>
            <w:r>
              <w:t xml:space="preserve"> </w:t>
            </w:r>
            <w:r>
              <w:t xml:space="preserve">PATTY</w:t>
            </w:r>
            <w:r>
              <w:t xml:space="preserve"> </w:t>
            </w:r>
            <w:r>
              <w:t xml:space="preserve">LI</w:t>
            </w:r>
          </w:p>
          <w:p>
            <w:pPr>
              <w:spacing w:before="0" w:after="0" w:line="338" w:lineRule="exact"/>
              <w:ind w:left="0" w:firstLine="0"/>
              <w:jc w:val="left"/>
            </w:pPr>
            <w:r>
              <w:t xml:space="preserve">P.</w:t>
            </w:r>
            <w:r>
              <w:t xml:space="preserve"> </w:t>
            </w:r>
            <w:r>
              <w:t xml:space="preserve">PATTY</w:t>
            </w:r>
            <w:r>
              <w:t xml:space="preserve"> </w:t>
            </w:r>
            <w:r>
              <w:t xml:space="preserve">LI</w:t>
            </w:r>
          </w:p>
          <w:p>
            <w:pPr>
              <w:spacing w:before="0" w:after="0" w:line="338" w:lineRule="exact"/>
              <w:ind w:left="0" w:firstLine="0"/>
              <w:jc w:val="left"/>
            </w:pPr>
            <w:r>
              <w:rPr>
                <w:i/>
                <w:iCs/>
              </w:rPr>
              <w:t xml:space="preserve">Deputy</w:t>
            </w:r>
            <w:r>
              <w:rPr>
                <w:i/>
                <w:iCs/>
              </w:rPr>
              <w:t xml:space="preserve"> </w:t>
            </w:r>
            <w:r>
              <w:rPr>
                <w:i/>
                <w:iCs/>
              </w:rPr>
              <w:t xml:space="preserve">Attorney</w:t>
            </w:r>
            <w:r>
              <w:rPr>
                <w:i/>
                <w:iCs/>
              </w:rPr>
              <w:t xml:space="preserve"> </w:t>
            </w:r>
            <w:r>
              <w:rPr>
                <w:i/>
                <w:iCs/>
              </w:rPr>
              <w:t xml:space="preserve">General.</w:t>
            </w:r>
            <w:r>
              <w:rPr>
                <w:i/>
                <w:iCs/>
              </w:rPr>
              <w:t xml:space="preserve"> </w:t>
            </w:r>
            <w:r>
              <w:rPr>
                <w:i/>
                <w:iCs/>
              </w:rPr>
              <w:t xml:space="preserve">Attorneys</w:t>
            </w:r>
            <w:r>
              <w:rPr>
                <w:i/>
                <w:iCs/>
              </w:rPr>
              <w:t xml:space="preserve"> </w:t>
            </w:r>
            <w:r>
              <w:rPr>
                <w:i/>
                <w:iCs/>
              </w:rPr>
              <w:t xml:space="preserve">for</w:t>
            </w:r>
            <w:r>
              <w:rPr>
                <w:i/>
                <w:iCs/>
              </w:rPr>
              <w:t xml:space="preserve"> </w:t>
            </w:r>
            <w:r>
              <w:rPr>
                <w:i/>
                <w:iCs/>
              </w:rPr>
              <w:t xml:space="preserve">Defendants</w:t>
            </w:r>
            <w:r>
              <w:rPr>
                <w:i/>
                <w:iCs/>
              </w:rPr>
              <w:t xml:space="preserve"> </w:t>
            </w:r>
            <w:r>
              <w:rPr>
                <w:i/>
                <w:iCs/>
              </w:rPr>
              <w:t xml:space="preserve">and</w:t>
            </w:r>
            <w:r>
              <w:rPr>
                <w:i/>
                <w:iCs/>
              </w:rPr>
              <w:t xml:space="preserve"> </w:t>
            </w:r>
            <w:r>
              <w:rPr>
                <w:i/>
                <w:iCs/>
              </w:rPr>
              <w:t xml:space="preserve">Respondents</w:t>
            </w:r>
            <w:r>
              <w:rPr>
                <w:i/>
                <w:iCs/>
              </w:rPr>
              <w:t xml:space="preserve"> </w:t>
            </w:r>
            <w:r>
              <w:rPr>
                <w:i/>
                <w:iCs/>
              </w:rPr>
              <w:t xml:space="preserve">Xavier</w:t>
            </w:r>
            <w:r>
              <w:rPr>
                <w:i/>
                <w:iCs/>
              </w:rPr>
              <w:t xml:space="preserve"> </w:t>
            </w:r>
            <w:r>
              <w:rPr>
                <w:i/>
                <w:iCs/>
              </w:rPr>
              <w:t xml:space="preserve">Becerra,</w:t>
            </w:r>
            <w:r>
              <w:rPr>
                <w:i/>
                <w:iCs/>
              </w:rPr>
              <w:t xml:space="preserve"> </w:t>
            </w:r>
            <w:r>
              <w:rPr>
                <w:i/>
                <w:iCs/>
              </w:rPr>
              <w:t xml:space="preserve">et</w:t>
            </w:r>
            <w:r>
              <w:rPr>
                <w:i/>
                <w:iCs/>
              </w:rPr>
              <w:t xml:space="preserve"> </w:t>
            </w:r>
            <w:r>
              <w:rPr>
                <w:i/>
                <w:iCs/>
              </w:rPr>
              <w:t xml:space="preserve">al.</w:t>
            </w:r>
          </w:p>
        </w:tc>
      </w:tr>
    </w:tbl>
    <w:sectPr>
      <w:footerReference w:type="default" r:id="rIdFooter1"/>
      <w:footerReference w:type="first" r:id="rIdFooterFirst"/>
      <w:pgSz w:w="12240" w:h="15840"/>
      <w:pgMar w:top="1440" w:right="2160" w:bottom="1440" w:left="2160" w:header="720" w:footer="67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8"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8"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38"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38"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38"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38"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7" w:lineRule="exact"/>
      <w:ind w:left="720" w:hanging="720"/>
    </w:pPr>
  </w:style>
  <w:style w:type="paragraph" w:styleId="BlockText">
    <w:name w:val="Block Text"/>
    <w:basedOn w:val="BodyText"/>
    <w:next w:val="BodyText"/>
    <w:uiPriority w:val="9"/>
    <w:unhideWhenUsed/>
    <w:qFormat/>
    <w:pPr>
      <w:spacing w:before="280" w:after="280" w:line="338" w:lineRule="exact"/>
      <w:ind w:firstLine="0" w:left="720" w:right="720"/>
    </w:pPr>
  </w:style>
  <w:style w:type="paragraph" w:styleId="FootnoteText">
    <w:name w:val="Footnote Text"/>
    <w:basedOn w:val="Normal"/>
    <w:next w:val="FootnoteText"/>
    <w:uiPriority w:val="9"/>
    <w:unhideWhenUsed/>
    <w:qFormat/>
    <w:pPr>
      <w:keepLines/>
      <w:spacing w:before="65" w:after="130" w:line="338"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38" w:lineRule="exact"/>
      <w:ind w:left="720" w:right="720" w:firstLine="0"/>
    </w:pPr>
  </w:style>
  <w:style w:type="paragraph" w:customStyle="1" w:styleId="XdQuoteFirst">
    <w:name w:val="Xd Quote First"/>
    <w:basedOn w:val="Normal"/>
    <w:qFormat/>
    <w:pPr>
      <w:spacing w:before="260" w:after="234" w:line="338" w:lineRule="exact"/>
      <w:ind w:left="720" w:right="720" w:firstLine="0"/>
    </w:pPr>
  </w:style>
  <w:style w:type="paragraph" w:customStyle="1" w:styleId="XdQuoteLast">
    <w:name w:val="Xd Quote Last"/>
    <w:basedOn w:val="Normal"/>
    <w:qFormat/>
    <w:pPr>
      <w:spacing w:before="234" w:after="260" w:line="338" w:lineRule="exact"/>
      <w:ind w:left="720" w:right="720" w:firstLine="0"/>
    </w:pPr>
  </w:style>
  <w:style w:type="paragraph" w:customStyle="1" w:styleId="XdQuoteOnly">
    <w:name w:val="Xd Quote Only"/>
    <w:basedOn w:val="Normal"/>
    <w:qFormat/>
    <w:pPr>
      <w:spacing w:before="260" w:after="260" w:line="338" w:lineRule="exact"/>
      <w:ind w:left="720" w:right="720" w:firstLine="0"/>
    </w:pPr>
  </w:style>
  <w:style w:type="paragraph" w:customStyle="1" w:styleId="XdTail">
    <w:name w:val="Xd Tail"/>
    <w:basedOn w:val="Normal"/>
    <w:qFormat/>
    <w:pPr>
      <w:spacing w:before="0" w:after="0" w:line="338" w:lineRule="exact"/>
      <w:ind w:firstLine="0"/>
    </w:pPr>
  </w:style>
  <w:style w:type="paragraph" w:customStyle="1" w:styleId="XdList1">
    <w:name w:val="XdList 1"/>
    <w:basedOn w:val="Normal"/>
    <w:qFormat/>
    <w:pPr>
      <w:spacing w:before="0" w:after="0" w:line="507" w:lineRule="exact"/>
      <w:ind w:left="720" w:hanging="720"/>
    </w:pPr>
  </w:style>
  <w:style w:type="paragraph" w:customStyle="1" w:styleId="XdList2">
    <w:name w:val="XdList 2"/>
    <w:basedOn w:val="Normal"/>
    <w:qFormat/>
    <w:pPr>
      <w:spacing w:before="0" w:after="0" w:line="507" w:lineRule="exact"/>
      <w:ind w:left="1440" w:hanging="720"/>
    </w:pPr>
  </w:style>
  <w:style w:type="paragraph" w:customStyle="1" w:styleId="XdList3">
    <w:name w:val="XdList 3"/>
    <w:basedOn w:val="Normal"/>
    <w:qFormat/>
    <w:pPr>
      <w:spacing w:before="0" w:after="0" w:line="507" w:lineRule="exact"/>
      <w:ind w:left="2160" w:hanging="720"/>
    </w:pPr>
  </w:style>
  <w:style w:type="paragraph" w:customStyle="1" w:styleId="XdTailList1">
    <w:name w:val="XdTailList 1"/>
    <w:basedOn w:val="Normal"/>
    <w:qFormat/>
    <w:pPr>
      <w:spacing w:before="0" w:after="0" w:line="338" w:lineRule="exact"/>
      <w:ind w:left="720" w:hanging="720"/>
    </w:pPr>
  </w:style>
  <w:style w:type="paragraph" w:customStyle="1" w:styleId="XdTailList2">
    <w:name w:val="XdTailList 2"/>
    <w:basedOn w:val="Normal"/>
    <w:qFormat/>
    <w:pPr>
      <w:spacing w:before="0" w:after="0" w:line="338" w:lineRule="exact"/>
      <w:ind w:left="1440" w:hanging="720"/>
    </w:pPr>
  </w:style>
  <w:style w:type="paragraph" w:customStyle="1" w:styleId="XdTailList3">
    <w:name w:val="XdTailList 3"/>
    <w:basedOn w:val="Normal"/>
    <w:qFormat/>
    <w:pPr>
      <w:spacing w:before="0" w:after="0" w:line="338" w:lineRule="exact"/>
      <w:ind w:left="2160" w:hanging="720"/>
    </w:pPr>
  </w:style>
  <w:style w:type="paragraph" w:customStyle="1" w:styleId="XdQuoteList1">
    <w:name w:val="Xd Quote List 1"/>
    <w:basedOn w:val="Normal"/>
    <w:qFormat/>
    <w:pPr>
      <w:spacing w:before="0" w:after="0" w:line="338" w:lineRule="exact"/>
      <w:ind w:left="1440" w:right="720" w:hanging="720"/>
    </w:pPr>
  </w:style>
  <w:style w:type="paragraph" w:customStyle="1" w:styleId="XdQuoteList2">
    <w:name w:val="Xd Quote List 2"/>
    <w:basedOn w:val="Normal"/>
    <w:qFormat/>
    <w:pPr>
      <w:spacing w:before="0" w:after="0" w:line="338" w:lineRule="exact"/>
      <w:ind w:left="2160" w:right="720" w:hanging="720"/>
    </w:pPr>
  </w:style>
  <w:style w:type="paragraph" w:customStyle="1" w:styleId="XdQuoteList3">
    <w:name w:val="Xd Quote List 3"/>
    <w:basedOn w:val="Normal"/>
    <w:qFormat/>
    <w:pPr>
      <w:spacing w:before="0" w:after="0" w:line="338"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