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38"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FIFTH</w:t>
      </w:r>
      <w:r>
        <w:rPr>
          <w:b/>
          <w:bCs/>
        </w:rPr>
        <w:t xml:space="preserve"> </w:t>
      </w:r>
      <w:r>
        <w:rPr>
          <w:b/>
          <w:bCs/>
        </w:rPr>
        <w:t xml:space="preserve">APPELLATE</w:t>
      </w:r>
      <w:r>
        <w:rPr>
          <w:b/>
          <w:bCs/>
        </w:rPr>
        <w:t xml:space="preserve"> </w:t>
      </w:r>
      <w:r>
        <w:rPr>
          <w:b/>
          <w:bCs/>
        </w:rPr>
        <w:t xml:space="preserve">DISTRICT</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156" w:line="338" w:lineRule="exact"/>
              <w:ind w:left="0" w:firstLine="0"/>
              <w:jc w:val="left"/>
            </w:pPr>
            <w:r>
              <w:t xml:space="preserve">DANNY</w:t>
            </w:r>
            <w:r>
              <w:t xml:space="preserve"> </w:t>
            </w:r>
            <w:r>
              <w:t xml:space="preserve">VILLANUEVA,</w:t>
            </w:r>
            <w:r>
              <w:t xml:space="preserve"> </w:t>
            </w:r>
            <w:r>
              <w:t xml:space="preserve">NIALL</w:t>
            </w:r>
            <w:r>
              <w:t xml:space="preserve"> </w:t>
            </w:r>
            <w:r>
              <w:t xml:space="preserve">STALLARD,</w:t>
            </w:r>
            <w:r>
              <w:t xml:space="preserve"> </w:t>
            </w:r>
            <w:r>
              <w:t xml:space="preserve">RUBEN</w:t>
            </w:r>
            <w:r>
              <w:t xml:space="preserve"> </w:t>
            </w:r>
            <w:r>
              <w:t xml:space="preserve">BARRIOS,</w:t>
            </w:r>
            <w:r>
              <w:t xml:space="preserve"> </w:t>
            </w:r>
            <w:r>
              <w:t xml:space="preserve">CHARLIE</w:t>
            </w:r>
            <w:r>
              <w:t xml:space="preserve"> </w:t>
            </w:r>
            <w:r>
              <w:t xml:space="preserve">COX,</w:t>
            </w:r>
            <w:r>
              <w:t xml:space="preserve"> </w:t>
            </w:r>
            <w:r>
              <w:t xml:space="preserve">MARK</w:t>
            </w:r>
            <w:r>
              <w:t xml:space="preserve"> </w:t>
            </w:r>
            <w:r>
              <w:t xml:space="preserve">STROH,</w:t>
            </w:r>
            <w:r>
              <w:t xml:space="preserve"> </w:t>
            </w:r>
            <w:r>
              <w:t xml:space="preserve">ANTHONY</w:t>
            </w:r>
            <w:r>
              <w:t xml:space="preserve"> </w:t>
            </w:r>
            <w:r>
              <w:t xml:space="preserve">MENDOZA,</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38" w:lineRule="exact"/>
              <w:ind w:left="2268" w:firstLine="0"/>
              <w:jc w:val="left"/>
            </w:pPr>
            <w:r>
              <w:t xml:space="preserve">Plaintiffs</w:t>
            </w:r>
            <w:r>
              <w:t xml:space="preserve"> </w:t>
            </w:r>
            <w:r>
              <w:t xml:space="preserve">and</w:t>
            </w:r>
            <w:r>
              <w:t xml:space="preserve"> </w:t>
            </w:r>
            <w:r>
              <w:t xml:space="preserve">Appellants,</w:t>
            </w:r>
          </w:p>
          <w:p>
            <w:pPr>
              <w:spacing w:before="124" w:after="124" w:line="338" w:lineRule="exact"/>
              <w:ind w:left="2268" w:firstLine="0"/>
              <w:jc w:val="left"/>
            </w:pPr>
            <w:r>
              <w:t xml:space="preserve">v.</w:t>
            </w:r>
          </w:p>
          <w:p>
            <w:pPr>
              <w:spacing w:before="0" w:after="156" w:line="338" w:lineRule="exact"/>
              <w:ind w:left="0" w:firstLine="0"/>
              <w:jc w:val="left"/>
            </w:pP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STEPHEN</w:t>
            </w:r>
            <w:r>
              <w:t xml:space="preserve"> </w:t>
            </w:r>
            <w:r>
              <w:t xml:space="preserve">LINDLEY,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Chief</w:t>
            </w:r>
            <w:r>
              <w:t xml:space="preserve"> </w:t>
            </w:r>
            <w:r>
              <w:t xml:space="preserve">of</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Bureau</w:t>
            </w:r>
            <w:r>
              <w:t xml:space="preserve"> </w:t>
            </w:r>
            <w:r>
              <w:t xml:space="preserve">of</w:t>
            </w:r>
            <w:r>
              <w:t xml:space="preserve"> </w:t>
            </w:r>
            <w:r>
              <w:t xml:space="preserve">Firearms;</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and</w:t>
            </w:r>
            <w:r>
              <w:t xml:space="preserve"> </w:t>
            </w:r>
            <w:r>
              <w:t xml:space="preserve">DOES</w:t>
            </w:r>
            <w:r>
              <w:t xml:space="preserve"> </w:t>
            </w:r>
            <w:r>
              <w:t xml:space="preserve">1-⁠10,</w:t>
            </w:r>
          </w:p>
          <w:p>
            <w:pPr>
              <w:spacing w:before="0" w:after="0" w:line="338" w:lineRule="exact"/>
              <w:ind w:left="2268" w:firstLine="0"/>
              <w:jc w:val="left"/>
            </w:pPr>
            <w:r>
              <w:t xml:space="preserve">Defendants</w:t>
            </w:r>
            <w:r>
              <w:t xml:space="preserve"> </w:t>
            </w:r>
            <w:r>
              <w:t xml:space="preserve">and</w:t>
            </w:r>
            <w:r>
              <w:t xml:space="preserve"> </w:t>
            </w:r>
            <w:r>
              <w:t xml:space="preserve">Respondents.</w:t>
            </w:r>
          </w:p>
        </w:tc>
        <w:tc>
          <w:tcPr>
            <w:tcW w:w="2880" w:type="dxa"/>
            <w:tcMar>
              <w:left w:w="360" w:type="dxa"/>
            </w:tcMar>
            <w:vAlign w:val="center"/>
          </w:tcPr>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F078062</w:t>
            </w:r>
          </w:p>
        </w:tc>
      </w:tr>
    </w:tbl>
    <w:p>
      <w:pPr>
        <w:spacing w:before="312" w:after="0" w:line="338" w:lineRule="exact"/>
        <w:ind w:left="0" w:firstLine="0"/>
        <w:jc w:val="center"/>
      </w:pPr>
      <w:r>
        <w:t xml:space="preserve">Fresno</w:t>
      </w:r>
      <w:r>
        <w:t xml:space="preserve"> </w:t>
      </w:r>
      <w:r>
        <w:t xml:space="preserve">County</w:t>
      </w:r>
      <w:r>
        <w:t xml:space="preserve"> </w:t>
      </w:r>
      <w:r>
        <w:t xml:space="preserve">Superior</w:t>
      </w:r>
      <w:r>
        <w:t xml:space="preserve"> </w:t>
      </w:r>
      <w:r>
        <w:t xml:space="preserve">Court</w:t>
      </w:r>
    </w:p>
    <w:p>
      <w:pPr>
        <w:spacing w:before="0" w:after="0" w:line="338" w:lineRule="exact"/>
        <w:ind w:left="0" w:firstLine="0"/>
        <w:jc w:val="center"/>
      </w:pPr>
      <w:r>
        <w:t xml:space="preserve">Case</w:t>
      </w:r>
      <w:r>
        <w:t xml:space="preserve"> </w:t>
      </w:r>
      <w:r>
        <w:t xml:space="preserve">No.</w:t>
      </w:r>
      <w:r>
        <w:t xml:space="preserve"> </w:t>
      </w:r>
      <w:r>
        <w:t xml:space="preserve">17CECG03093</w:t>
      </w:r>
    </w:p>
    <w:p>
      <w:pPr>
        <w:spacing w:before="0" w:after="0" w:line="338" w:lineRule="exact"/>
        <w:ind w:left="0" w:firstLine="0"/>
        <w:jc w:val="center"/>
      </w:pPr>
      <w:r>
        <w:t xml:space="preserve">Honorable</w:t>
      </w:r>
      <w:r>
        <w:t xml:space="preserve"> </w:t>
      </w:r>
      <w:r>
        <w:t xml:space="preserve">Mark</w:t>
      </w:r>
      <w:r>
        <w:t xml:space="preserve"> </w:t>
      </w:r>
      <w:r>
        <w:t xml:space="preserve">W.</w:t>
      </w:r>
      <w:r>
        <w:t xml:space="preserve"> </w:t>
      </w:r>
      <w:r>
        <w:t xml:space="preserve">Snauffer,</w:t>
      </w:r>
      <w:r>
        <w:t xml:space="preserve"> </w:t>
      </w:r>
      <w:r>
        <w:t xml:space="preserve">Judge</w:t>
      </w:r>
    </w:p>
    <w:p>
      <w:pPr>
        <w:spacing w:before="500" w:after="0" w:line="338" w:lineRule="exact"/>
        <w:ind w:left="0" w:firstLine="0"/>
        <w:jc w:val="center"/>
      </w:pPr>
      <w:r>
        <w:rPr>
          <w:b/>
          <w:bCs/>
        </w:rPr>
        <w:t xml:space="preserve">APPELLANTS’</w:t>
      </w:r>
      <w:r>
        <w:rPr>
          <w:b/>
          <w:bCs/>
        </w:rPr>
        <w:t xml:space="preserve"> </w:t>
      </w:r>
      <w:r>
        <w:rPr>
          <w:b/>
          <w:bCs/>
        </w:rPr>
        <w:t xml:space="preserve">OPENING</w:t>
      </w:r>
      <w:r>
        <w:rPr>
          <w:b/>
          <w:bCs/>
        </w:rPr>
        <w:t xml:space="preserve"> </w:t>
      </w:r>
      <w:r>
        <w:rPr>
          <w:b/>
          <w:bCs/>
        </w:rPr>
        <w:t xml:space="preserve">BRIEF</w:t>
      </w:r>
    </w:p>
    <w:p>
      <w:pPr>
        <w:spacing w:before="500" w:after="0" w:line="338" w:lineRule="exact"/>
        <w:ind w:left="3960" w:firstLine="0"/>
        <w:jc w:val="left"/>
      </w:pPr>
      <w:r>
        <w:t xml:space="preserve">C.</w:t>
      </w:r>
      <w:r>
        <w:t xml:space="preserve"> </w:t>
      </w:r>
      <w:r>
        <w:t xml:space="preserve">D.</w:t>
      </w:r>
      <w:r>
        <w:t xml:space="preserve"> </w:t>
      </w:r>
      <w:r>
        <w:t xml:space="preserve">Michel</w:t>
      </w:r>
      <w:r>
        <w:t xml:space="preserve"> </w:t>
      </w:r>
      <w:r>
        <w:t xml:space="preserve">–</w:t>
      </w:r>
      <w:r>
        <w:t xml:space="preserve"> </w:t>
      </w:r>
      <w:r>
        <w:t xml:space="preserve">SBN</w:t>
      </w:r>
      <w:r>
        <w:t xml:space="preserve"> </w:t>
      </w:r>
      <w:r>
        <w:t xml:space="preserve">144258</w:t>
      </w:r>
    </w:p>
    <w:p>
      <w:pPr>
        <w:spacing w:before="0" w:after="0" w:line="338" w:lineRule="exact"/>
        <w:ind w:left="3960" w:firstLine="0"/>
        <w:jc w:val="left"/>
      </w:pPr>
      <w:r>
        <w:t xml:space="preserve">Anna</w:t>
      </w:r>
      <w:r>
        <w:t xml:space="preserve"> </w:t>
      </w:r>
      <w:r>
        <w:t xml:space="preserve">M.</w:t>
      </w:r>
      <w:r>
        <w:t xml:space="preserve"> </w:t>
      </w:r>
      <w:r>
        <w:t xml:space="preserve">Barvir</w:t>
      </w:r>
      <w:r>
        <w:t xml:space="preserve"> </w:t>
      </w:r>
      <w:r>
        <w:t xml:space="preserve">–</w:t>
      </w:r>
      <w:r>
        <w:t xml:space="preserve"> </w:t>
      </w:r>
      <w:r>
        <w:t xml:space="preserve">SBN</w:t>
      </w:r>
      <w:r>
        <w:t xml:space="preserve"> </w:t>
      </w:r>
      <w:r>
        <w:t xml:space="preserve">268728</w:t>
      </w:r>
    </w:p>
    <w:p>
      <w:pPr>
        <w:spacing w:before="0" w:after="0" w:line="338" w:lineRule="exact"/>
        <w:ind w:left="3960" w:firstLine="0"/>
        <w:jc w:val="left"/>
      </w:pPr>
      <w:r>
        <w:t xml:space="preserve">Sean</w:t>
      </w:r>
      <w:r>
        <w:t xml:space="preserve"> </w:t>
      </w:r>
      <w:r>
        <w:t xml:space="preserve">A.</w:t>
      </w:r>
      <w:r>
        <w:t xml:space="preserve"> </w:t>
      </w:r>
      <w:r>
        <w:t xml:space="preserve">Brady</w:t>
      </w:r>
      <w:r>
        <w:t xml:space="preserve"> </w:t>
      </w:r>
      <w:r>
        <w:t xml:space="preserve">–</w:t>
      </w:r>
      <w:r>
        <w:t xml:space="preserve"> </w:t>
      </w:r>
      <w:r>
        <w:t xml:space="preserve">SBN</w:t>
      </w:r>
      <w:r>
        <w:t xml:space="preserve"> </w:t>
      </w:r>
      <w:r>
        <w:t xml:space="preserve">262007</w:t>
      </w:r>
    </w:p>
    <w:p>
      <w:pPr>
        <w:spacing w:before="0" w:after="0" w:line="338" w:lineRule="exact"/>
        <w:ind w:left="396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38" w:lineRule="exact"/>
        <w:ind w:left="3960" w:firstLine="0"/>
        <w:jc w:val="left"/>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38" w:lineRule="exact"/>
        <w:ind w:left="3960" w:firstLine="0"/>
        <w:jc w:val="left"/>
      </w:pPr>
      <w:r>
        <w:t xml:space="preserve">Long</w:t>
      </w:r>
      <w:r>
        <w:t xml:space="preserve"> </w:t>
      </w:r>
      <w:r>
        <w:t xml:space="preserve">Beach,</w:t>
      </w:r>
      <w:r>
        <w:t xml:space="preserve"> </w:t>
      </w:r>
      <w:r>
        <w:t xml:space="preserve">CA</w:t>
      </w:r>
      <w:r>
        <w:t xml:space="preserve"> </w:t>
      </w:r>
      <w:r>
        <w:t xml:space="preserve">90802</w:t>
      </w:r>
    </w:p>
    <w:p>
      <w:pPr>
        <w:spacing w:before="0" w:after="0" w:line="338" w:lineRule="exact"/>
        <w:ind w:left="3960" w:firstLine="0"/>
        <w:jc w:val="left"/>
      </w:pPr>
      <w:r>
        <w:t xml:space="preserve">Telephone:</w:t>
      </w:r>
      <w:r>
        <w:t xml:space="preserve"> </w:t>
      </w:r>
      <w:r>
        <w:t xml:space="preserve">562-⁠216-⁠4444</w:t>
      </w:r>
    </w:p>
    <w:p>
      <w:pPr>
        <w:spacing w:before="0" w:after="0" w:line="338" w:lineRule="exact"/>
        <w:ind w:left="3960" w:firstLine="0"/>
        <w:jc w:val="left"/>
      </w:pPr>
      <w:r>
        <w:t xml:space="preserve">cmichel@michellawyers.com</w:t>
      </w:r>
    </w:p>
    <w:p>
      <w:pPr>
        <w:spacing w:before="130" w:after="0" w:line="338" w:lineRule="exact"/>
        <w:ind w:left="3960"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56" w:after="0" w:line="338" w:lineRule="exact"/>
        <w:ind w:left="0" w:right="720" w:firstLine="0"/>
      </w:pPr>
      <w:r>
        <w:t xml:space="preserve">Introduction</w:t>
      </w:r>
      <w:r>
        <w:t xml:space="preserve">   </w:t>
      </w:r>
      <w:r>
        <w:tab/>
      </w:r>
      <w:r>
        <w:t xml:space="preserve">6</w:t>
      </w:r>
    </w:p>
    <w:p>
      <w:pPr>
        <w:keepLines/>
        <w:tabs>
          <w:tab w:val="right" w:leader="dot" w:pos="7920"/>
        </w:tabs>
        <w:spacing w:before="156" w:after="0" w:line="338" w:lineRule="exact"/>
        <w:ind w:left="0" w:right="720" w:firstLine="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7</w:t>
      </w:r>
    </w:p>
    <w:p>
      <w:pPr>
        <w:keepLines/>
        <w:tabs>
          <w:tab w:val="right" w:leader="dot" w:pos="7920"/>
        </w:tabs>
        <w:spacing w:before="156" w:after="0" w:line="338" w:lineRule="exact"/>
        <w:ind w:left="0" w:right="720" w:firstLine="0"/>
      </w:pPr>
      <w:r>
        <w:t xml:space="preserve">Statement</w:t>
      </w:r>
      <w:r>
        <w:t xml:space="preserve"> </w:t>
      </w:r>
      <w:r>
        <w:t xml:space="preserve">of</w:t>
      </w:r>
      <w:r>
        <w:t xml:space="preserve"> </w:t>
      </w:r>
      <w:r>
        <w:t xml:space="preserve">Appealability</w:t>
      </w:r>
      <w:r>
        <w:t xml:space="preserve">   </w:t>
      </w:r>
      <w:r>
        <w:tab/>
      </w:r>
      <w:r>
        <w:t xml:space="preserve">8</w:t>
      </w:r>
    </w:p>
    <w:p>
      <w:pPr>
        <w:keepLines/>
        <w:tabs>
          <w:tab w:val="right" w:leader="dot" w:pos="7920"/>
        </w:tabs>
        <w:spacing w:before="156" w:after="0" w:line="338" w:lineRule="exact"/>
        <w:ind w:left="0" w:right="720" w:firstLine="0"/>
      </w:pPr>
      <w:r>
        <w:t xml:space="preserve">Statement</w:t>
      </w:r>
      <w:r>
        <w:t xml:space="preserve"> </w:t>
      </w:r>
      <w:r>
        <w:t xml:space="preserve">of</w:t>
      </w:r>
      <w:r>
        <w:t xml:space="preserve"> </w:t>
      </w:r>
      <w:r>
        <w:t xml:space="preserve">the</w:t>
      </w:r>
      <w:r>
        <w:t xml:space="preserve"> </w:t>
      </w:r>
      <w:r>
        <w:t xml:space="preserve">Facts</w:t>
      </w:r>
      <w:r>
        <w:t xml:space="preserve"> </w:t>
      </w:r>
      <w:r>
        <w:t xml:space="preserve">and</w:t>
      </w:r>
      <w:r>
        <w:t xml:space="preserve"> </w:t>
      </w:r>
      <w:r>
        <w:t xml:space="preserve">Case</w:t>
      </w:r>
      <w:r>
        <w:t xml:space="preserve">   </w:t>
      </w:r>
      <w:r>
        <w:tab/>
      </w:r>
      <w:r>
        <w:t xml:space="preserve">8</w:t>
      </w:r>
    </w:p>
    <w:p>
      <w:pPr>
        <w:keepLines/>
        <w:tabs>
          <w:tab w:val="right" w:leader="dot" w:pos="7920"/>
        </w:tabs>
        <w:spacing w:before="156" w:after="0" w:line="338" w:lineRule="exact"/>
        <w:ind w:left="1080" w:right="720" w:hanging="720"/>
      </w:pPr>
      <w:r>
        <w:t xml:space="preserve">I.</w:t>
      </w:r>
      <w:r>
        <w:tab/>
      </w:r>
      <w:r>
        <w:t xml:space="preserve">Factual</w:t>
      </w:r>
      <w:r>
        <w:t xml:space="preserve"> </w:t>
      </w:r>
      <w:r>
        <w:t xml:space="preserve">Background</w:t>
      </w:r>
      <w:r>
        <w:t xml:space="preserve">   </w:t>
      </w:r>
      <w:r>
        <w:tab/>
      </w:r>
      <w:r>
        <w:t xml:space="preserve">8</w:t>
      </w:r>
    </w:p>
    <w:p>
      <w:pPr>
        <w:keepLines/>
        <w:tabs>
          <w:tab w:val="right" w:leader="dot" w:pos="7920"/>
        </w:tabs>
        <w:spacing w:before="156" w:after="0" w:line="338" w:lineRule="exact"/>
        <w:ind w:left="1440" w:right="720" w:hanging="720"/>
      </w:pPr>
      <w:r>
        <w:t xml:space="preserve">A.</w:t>
      </w:r>
      <w:r>
        <w:tab/>
      </w:r>
      <w:r>
        <w:t xml:space="preserve">Relevant</w:t>
      </w:r>
      <w:r>
        <w:t xml:space="preserve"> </w:t>
      </w:r>
      <w:r>
        <w:t xml:space="preserve">Statutory</w:t>
      </w:r>
      <w:r>
        <w:t xml:space="preserve"> </w:t>
      </w:r>
      <w:r>
        <w:t xml:space="preserve">Law</w:t>
      </w:r>
      <w:r>
        <w:t xml:space="preserve">   </w:t>
      </w:r>
      <w:r>
        <w:tab/>
      </w:r>
      <w:r>
        <w:t xml:space="preserve">8</w:t>
      </w:r>
    </w:p>
    <w:p>
      <w:pPr>
        <w:keepLines/>
        <w:tabs>
          <w:tab w:val="right" w:leader="dot" w:pos="7920"/>
        </w:tabs>
        <w:spacing w:before="156" w:after="0" w:line="338" w:lineRule="exact"/>
        <w:ind w:left="1800" w:right="720" w:hanging="720"/>
      </w:pPr>
      <w:r>
        <w:t xml:space="preserve">1.</w:t>
      </w:r>
      <w:r>
        <w:tab/>
      </w:r>
      <w:r>
        <w:t xml:space="preserve">Administrative</w:t>
      </w:r>
      <w:r>
        <w:t xml:space="preserve"> </w:t>
      </w:r>
      <w:r>
        <w:t xml:space="preserve">Procedure</w:t>
      </w:r>
      <w:r>
        <w:t xml:space="preserve"> </w:t>
      </w:r>
      <w:r>
        <w:t xml:space="preserve">Act</w:t>
      </w:r>
      <w:r>
        <w:t xml:space="preserve"> </w:t>
      </w:r>
      <w:r>
        <w:t xml:space="preserve">(APA)</w:t>
      </w:r>
      <w:r>
        <w:t xml:space="preserve">   </w:t>
      </w:r>
      <w:r>
        <w:tab/>
      </w:r>
      <w:r>
        <w:t xml:space="preserve">8</w:t>
      </w:r>
    </w:p>
    <w:p>
      <w:pPr>
        <w:keepLines/>
        <w:tabs>
          <w:tab w:val="right" w:leader="dot" w:pos="7920"/>
        </w:tabs>
        <w:spacing w:before="156" w:after="0" w:line="338" w:lineRule="exact"/>
        <w:ind w:left="1800" w:right="720" w:hanging="720"/>
      </w:pPr>
      <w:r>
        <w:t xml:space="preserve">2.</w:t>
      </w:r>
      <w:r>
        <w:tab/>
      </w:r>
      <w:r>
        <w:t xml:space="preserve">The</w:t>
      </w:r>
      <w:r>
        <w:t xml:space="preserve"> </w:t>
      </w:r>
      <w:r>
        <w:t xml:space="preserve">Assault</w:t>
      </w:r>
      <w:r>
        <w:t xml:space="preserve"> </w:t>
      </w:r>
      <w:r>
        <w:t xml:space="preserve">Weapon</w:t>
      </w:r>
      <w:r>
        <w:t xml:space="preserve"> </w:t>
      </w:r>
      <w:r>
        <w:t xml:space="preserve">Control</w:t>
      </w:r>
      <w:r>
        <w:t xml:space="preserve"> </w:t>
      </w:r>
      <w:r>
        <w:t xml:space="preserve">Act</w:t>
      </w:r>
      <w:r>
        <w:t xml:space="preserve"> </w:t>
      </w:r>
      <w:r>
        <w:t xml:space="preserve">(AWCA)</w:t>
      </w:r>
      <w:r>
        <w:t xml:space="preserve">   </w:t>
      </w:r>
      <w:r>
        <w:tab/>
      </w:r>
      <w:r>
        <w:t xml:space="preserve">9</w:t>
      </w:r>
    </w:p>
    <w:p>
      <w:pPr>
        <w:keepLines/>
        <w:tabs>
          <w:tab w:val="right" w:leader="dot" w:pos="7920"/>
        </w:tabs>
        <w:spacing w:before="156" w:after="0" w:line="338" w:lineRule="exact"/>
        <w:ind w:left="2160" w:right="720" w:hanging="720"/>
      </w:pPr>
      <w:r>
        <w:t xml:space="preserve">a.</w:t>
      </w:r>
      <w:r>
        <w:tab/>
      </w:r>
      <w:r>
        <w:t xml:space="preserve">Category</w:t>
      </w:r>
      <w:r>
        <w:t xml:space="preserve"> </w:t>
      </w:r>
      <w:r>
        <w:t xml:space="preserve">1</w:t>
      </w:r>
      <w:r>
        <w:t xml:space="preserve"> </w:t>
      </w:r>
      <w:r>
        <w:t xml:space="preserve">and</w:t>
      </w:r>
      <w:r>
        <w:t xml:space="preserve"> </w:t>
      </w:r>
      <w:r>
        <w:t xml:space="preserve">Category</w:t>
      </w:r>
      <w:r>
        <w:t xml:space="preserve"> </w:t>
      </w:r>
      <w:r>
        <w:t xml:space="preserve">2</w:t>
      </w:r>
      <w:r>
        <w:t xml:space="preserve"> </w:t>
      </w:r>
      <w:r>
        <w:t xml:space="preserve">“Assault</w:t>
      </w:r>
      <w:r>
        <w:t xml:space="preserve"> </w:t>
      </w:r>
      <w:r>
        <w:t xml:space="preserve">Weapons”</w:t>
      </w:r>
      <w:r>
        <w:t xml:space="preserve">   </w:t>
      </w:r>
      <w:r>
        <w:tab/>
      </w:r>
      <w:r>
        <w:t xml:space="preserve">9</w:t>
      </w:r>
    </w:p>
    <w:p>
      <w:pPr>
        <w:keepLines/>
        <w:tabs>
          <w:tab w:val="right" w:leader="dot" w:pos="7920"/>
        </w:tabs>
        <w:spacing w:before="156" w:after="0" w:line="338" w:lineRule="exact"/>
        <w:ind w:left="2160" w:right="720" w:hanging="720"/>
      </w:pPr>
      <w:r>
        <w:t xml:space="preserve">b.</w:t>
      </w:r>
      <w:r>
        <w:tab/>
      </w:r>
      <w:r>
        <w:t xml:space="preserve">Category</w:t>
      </w:r>
      <w:r>
        <w:t xml:space="preserve"> </w:t>
      </w:r>
      <w:r>
        <w:t xml:space="preserve">3</w:t>
      </w:r>
      <w:r>
        <w:t xml:space="preserve"> </w:t>
      </w:r>
      <w:r>
        <w:t xml:space="preserve">“Assault</w:t>
      </w:r>
      <w:r>
        <w:t xml:space="preserve"> </w:t>
      </w:r>
      <w:r>
        <w:t xml:space="preserve">Weapons”</w:t>
      </w:r>
      <w:r>
        <w:t xml:space="preserve">   </w:t>
      </w:r>
      <w:r>
        <w:tab/>
      </w:r>
      <w:r>
        <w:t xml:space="preserve">11</w:t>
      </w:r>
    </w:p>
    <w:p>
      <w:pPr>
        <w:keepLines/>
        <w:tabs>
          <w:tab w:val="right" w:leader="dot" w:pos="7920"/>
        </w:tabs>
        <w:spacing w:before="156" w:after="0" w:line="338" w:lineRule="exact"/>
        <w:ind w:left="2160" w:right="720" w:hanging="720"/>
      </w:pPr>
      <w:r>
        <w:t xml:space="preserve">c.</w:t>
      </w:r>
      <w:r>
        <w:tab/>
      </w:r>
      <w:r>
        <w:t xml:space="preserve">“Bullet-button</w:t>
      </w:r>
      <w:r>
        <w:t xml:space="preserve"> </w:t>
      </w:r>
      <w:r>
        <w:t xml:space="preserve">Assault</w:t>
      </w:r>
      <w:r>
        <w:t xml:space="preserve"> </w:t>
      </w:r>
      <w:r>
        <w:t xml:space="preserve">Weapons”</w:t>
      </w:r>
      <w:r>
        <w:t xml:space="preserve">   </w:t>
      </w:r>
      <w:r>
        <w:tab/>
      </w:r>
      <w:r>
        <w:t xml:space="preserve">12</w:t>
      </w:r>
    </w:p>
    <w:p>
      <w:pPr>
        <w:keepLines/>
        <w:tabs>
          <w:tab w:val="right" w:leader="dot" w:pos="7920"/>
        </w:tabs>
        <w:spacing w:before="156" w:after="0" w:line="338" w:lineRule="exact"/>
        <w:ind w:left="1440" w:right="720" w:hanging="720"/>
      </w:pPr>
      <w:r>
        <w:t xml:space="preserve">B.</w:t>
      </w:r>
      <w:r>
        <w:tab/>
      </w:r>
      <w:r>
        <w:t xml:space="preserve">DOJ’s</w:t>
      </w:r>
      <w:r>
        <w:t xml:space="preserve"> </w:t>
      </w:r>
      <w:r>
        <w:t xml:space="preserve">AWCA</w:t>
      </w:r>
      <w:r>
        <w:t xml:space="preserve"> </w:t>
      </w:r>
      <w:r>
        <w:t xml:space="preserve">Regulatory</w:t>
      </w:r>
      <w:r>
        <w:t xml:space="preserve"> </w:t>
      </w:r>
      <w:r>
        <w:t xml:space="preserve">Activity</w:t>
      </w:r>
      <w:r>
        <w:t xml:space="preserve">   </w:t>
      </w:r>
      <w:r>
        <w:tab/>
      </w:r>
      <w:r>
        <w:t xml:space="preserve">15</w:t>
      </w:r>
    </w:p>
    <w:p>
      <w:pPr>
        <w:keepLines/>
        <w:tabs>
          <w:tab w:val="right" w:leader="dot" w:pos="7920"/>
        </w:tabs>
        <w:spacing w:before="156" w:after="0" w:line="338" w:lineRule="exact"/>
        <w:ind w:left="1800" w:right="720" w:hanging="720"/>
      </w:pPr>
      <w:r>
        <w:t xml:space="preserve">1.</w:t>
      </w:r>
      <w:r>
        <w:tab/>
      </w:r>
      <w:r>
        <w:t xml:space="preserve">The</w:t>
      </w:r>
      <w:r>
        <w:t xml:space="preserve"> </w:t>
      </w:r>
      <w:r>
        <w:t xml:space="preserve">Original</w:t>
      </w:r>
      <w:r>
        <w:t xml:space="preserve"> </w:t>
      </w:r>
      <w:r>
        <w:t xml:space="preserve">AWCA</w:t>
      </w:r>
      <w:r>
        <w:t xml:space="preserve"> </w:t>
      </w:r>
      <w:r>
        <w:t xml:space="preserve">Regulations</w:t>
      </w:r>
      <w:r>
        <w:t xml:space="preserve">   </w:t>
      </w:r>
      <w:r>
        <w:tab/>
      </w:r>
      <w:r>
        <w:t xml:space="preserve">15</w:t>
      </w:r>
    </w:p>
    <w:p>
      <w:pPr>
        <w:keepLines/>
        <w:tabs>
          <w:tab w:val="right" w:leader="dot" w:pos="7920"/>
        </w:tabs>
        <w:spacing w:before="156" w:after="0" w:line="338" w:lineRule="exact"/>
        <w:ind w:left="1800" w:right="720" w:hanging="720"/>
      </w:pPr>
      <w:r>
        <w:t xml:space="preserve">2.</w:t>
      </w:r>
      <w:r>
        <w:tab/>
      </w:r>
      <w:r>
        <w:t xml:space="preserve">The</w:t>
      </w:r>
      <w:r>
        <w:t xml:space="preserve"> </w:t>
      </w:r>
      <w:r>
        <w:t xml:space="preserve">Challenged</w:t>
      </w:r>
      <w:r>
        <w:t xml:space="preserve"> </w:t>
      </w:r>
      <w:r>
        <w:t xml:space="preserve">AWCA</w:t>
      </w:r>
      <w:r>
        <w:t xml:space="preserve"> </w:t>
      </w:r>
      <w:r>
        <w:t xml:space="preserve">Regulations</w:t>
      </w:r>
      <w:r>
        <w:t xml:space="preserve">   </w:t>
      </w:r>
      <w:r>
        <w:tab/>
      </w:r>
      <w:r>
        <w:t xml:space="preserve">15</w:t>
      </w:r>
    </w:p>
    <w:p>
      <w:pPr>
        <w:keepLines/>
        <w:tabs>
          <w:tab w:val="right" w:leader="dot" w:pos="7920"/>
        </w:tabs>
        <w:spacing w:before="156" w:after="0" w:line="338" w:lineRule="exact"/>
        <w:ind w:left="1080" w:right="720" w:hanging="720"/>
      </w:pPr>
      <w:r>
        <w:t xml:space="preserve">II.</w:t>
      </w:r>
      <w:r>
        <w:tab/>
      </w:r>
      <w:r>
        <w:t xml:space="preserve">Case</w:t>
      </w:r>
      <w:r>
        <w:t xml:space="preserve"> </w:t>
      </w:r>
      <w:r>
        <w:t xml:space="preserve">Background</w:t>
      </w:r>
      <w:r>
        <w:t xml:space="preserve">   </w:t>
      </w:r>
      <w:r>
        <w:tab/>
      </w:r>
      <w:r>
        <w:t xml:space="preserve">18</w:t>
      </w:r>
    </w:p>
    <w:p>
      <w:pPr>
        <w:keepLines/>
        <w:tabs>
          <w:tab w:val="right" w:leader="dot" w:pos="7920"/>
        </w:tabs>
        <w:spacing w:before="156" w:after="0" w:line="338" w:lineRule="exact"/>
        <w:ind w:left="1440" w:right="720" w:hanging="720"/>
      </w:pPr>
      <w:r>
        <w:t xml:space="preserve">A.</w:t>
      </w:r>
      <w:r>
        <w:tab/>
      </w:r>
      <w:r>
        <w:t xml:space="preserve">Procedural</w:t>
      </w:r>
      <w:r>
        <w:t xml:space="preserve"> </w:t>
      </w:r>
      <w:r>
        <w:t xml:space="preserve">History</w:t>
      </w:r>
      <w:r>
        <w:t xml:space="preserve">   </w:t>
      </w:r>
      <w:r>
        <w:tab/>
      </w:r>
      <w:r>
        <w:t xml:space="preserve">18</w:t>
      </w:r>
    </w:p>
    <w:p>
      <w:pPr>
        <w:keepLines/>
        <w:tabs>
          <w:tab w:val="right" w:leader="dot" w:pos="7920"/>
        </w:tabs>
        <w:spacing w:before="156" w:after="0" w:line="338" w:lineRule="exact"/>
        <w:ind w:left="1440" w:right="720" w:hanging="720"/>
      </w:pPr>
      <w:r>
        <w:t xml:space="preserve">B.</w:t>
      </w:r>
      <w:r>
        <w:tab/>
      </w:r>
      <w:r>
        <w:t xml:space="preserve">The</w:t>
      </w:r>
      <w:r>
        <w:t xml:space="preserve"> </w:t>
      </w:r>
      <w:r>
        <w:t xml:space="preserve">Orders</w:t>
      </w:r>
      <w:r>
        <w:t xml:space="preserve"> </w:t>
      </w:r>
      <w:r>
        <w:t xml:space="preserve">on</w:t>
      </w:r>
      <w:r>
        <w:t xml:space="preserve"> </w:t>
      </w:r>
      <w:r>
        <w:t xml:space="preserve">Appeal</w:t>
      </w:r>
      <w:r>
        <w:t xml:space="preserve">   </w:t>
      </w:r>
      <w:r>
        <w:tab/>
      </w:r>
      <w:r>
        <w:t xml:space="preserve">20</w:t>
      </w:r>
    </w:p>
    <w:p>
      <w:pPr>
        <w:keepLines/>
        <w:tabs>
          <w:tab w:val="right" w:leader="dot" w:pos="7920"/>
        </w:tabs>
        <w:spacing w:before="156" w:after="0" w:line="338" w:lineRule="exact"/>
        <w:ind w:left="0" w:right="720" w:firstLine="0"/>
      </w:pPr>
      <w:r>
        <w:t xml:space="preserve">Argument</w:t>
      </w:r>
      <w:r>
        <w:t xml:space="preserve">   </w:t>
      </w:r>
      <w:r>
        <w:tab/>
      </w:r>
      <w:r>
        <w:t xml:space="preserve">21</w:t>
      </w:r>
    </w:p>
    <w:p>
      <w:pPr>
        <w:keepLines/>
        <w:tabs>
          <w:tab w:val="right" w:leader="dot" w:pos="7920"/>
        </w:tabs>
        <w:spacing w:before="156" w:after="0" w:line="338" w:lineRule="exact"/>
        <w:ind w:left="1080" w:right="720" w:hanging="720"/>
      </w:pPr>
      <w:r>
        <w:t xml:space="preserve">I.</w:t>
      </w:r>
      <w:r>
        <w:tab/>
      </w:r>
      <w:r>
        <w:t xml:space="preserve">The</w:t>
      </w:r>
      <w:r>
        <w:t xml:space="preserve"> </w:t>
      </w:r>
      <w:r>
        <w:t xml:space="preserve">Trial</w:t>
      </w:r>
      <w:r>
        <w:t xml:space="preserve"> </w:t>
      </w:r>
      <w:r>
        <w:t xml:space="preserve">Court</w:t>
      </w:r>
      <w:r>
        <w:t xml:space="preserve"> </w:t>
      </w:r>
      <w:r>
        <w:t xml:space="preserve">Wrongly</w:t>
      </w:r>
      <w:r>
        <w:t xml:space="preserve"> </w:t>
      </w:r>
      <w:r>
        <w:t xml:space="preserve">Sustained</w:t>
      </w:r>
      <w:r>
        <w:t xml:space="preserve"> </w:t>
      </w:r>
      <w:r>
        <w:t xml:space="preserve">DOJ’s</w:t>
      </w:r>
      <w:r>
        <w:t xml:space="preserve"> </w:t>
      </w:r>
      <w:r>
        <w:t xml:space="preserve">Demurrer</w:t>
      </w:r>
      <w:r>
        <w:t xml:space="preserve">   </w:t>
      </w:r>
      <w:r>
        <w:tab/>
      </w:r>
      <w:r>
        <w:t xml:space="preserve">21</w:t>
      </w:r>
    </w:p>
    <w:p>
      <w:pPr>
        <w:keepLines/>
        <w:tabs>
          <w:tab w:val="right" w:leader="dot" w:pos="7920"/>
        </w:tabs>
        <w:spacing w:before="156" w:after="0" w:line="338" w:lineRule="exact"/>
        <w:ind w:left="1440" w:right="720" w:hanging="720"/>
      </w:pPr>
      <w:r>
        <w:t xml:space="preserve">A.</w:t>
      </w:r>
      <w:r>
        <w:tab/>
      </w:r>
      <w:r>
        <w:t xml:space="preserve">Applicable</w:t>
      </w:r>
      <w:r>
        <w:t xml:space="preserve"> </w:t>
      </w:r>
      <w:r>
        <w:t xml:space="preserve">Legal</w:t>
      </w:r>
      <w:r>
        <w:t xml:space="preserve"> </w:t>
      </w:r>
      <w:r>
        <w:t xml:space="preserve">Standard</w:t>
      </w:r>
      <w:r>
        <w:t xml:space="preserve">   </w:t>
      </w:r>
      <w:r>
        <w:tab/>
      </w:r>
      <w:r>
        <w:t xml:space="preserve">21</w:t>
      </w:r>
    </w:p>
    <w:p>
      <w:pPr>
        <w:keepLines/>
        <w:tabs>
          <w:tab w:val="right" w:leader="dot" w:pos="7920"/>
        </w:tabs>
        <w:spacing w:before="156" w:after="0" w:line="338" w:lineRule="exact"/>
        <w:ind w:left="1440" w:right="720" w:hanging="720"/>
      </w:pPr>
      <w:r>
        <w:t xml:space="preserve">B.</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When</w:t>
      </w:r>
      <w:r>
        <w:t xml:space="preserve"> </w:t>
      </w:r>
      <w:r>
        <w:t xml:space="preserve">It</w:t>
      </w:r>
      <w:r>
        <w:t xml:space="preserve"> </w:t>
      </w:r>
      <w:r>
        <w:t xml:space="preserve">Sustained</w:t>
      </w:r>
      <w:r>
        <w:t xml:space="preserve"> </w:t>
      </w:r>
      <w:r>
        <w:t xml:space="preserve">DOJ’s</w:t>
      </w:r>
      <w:r>
        <w:t xml:space="preserve"> </w:t>
      </w:r>
      <w:r>
        <w:t xml:space="preserve">Demurrer</w:t>
      </w:r>
      <w:r>
        <w:t xml:space="preserve"> </w:t>
      </w:r>
      <w:r>
        <w:t xml:space="preserve">Because</w:t>
      </w:r>
      <w:r>
        <w:t xml:space="preserve"> </w:t>
      </w:r>
      <w:r>
        <w:t xml:space="preserve">Appellants</w:t>
      </w:r>
      <w:r>
        <w:t xml:space="preserve"> </w:t>
      </w:r>
      <w:r>
        <w:t xml:space="preserve">Are</w:t>
      </w:r>
      <w:r>
        <w:t xml:space="preserve"> </w:t>
      </w:r>
      <w:r>
        <w:t xml:space="preserve">Entitled</w:t>
      </w:r>
      <w:r>
        <w:t xml:space="preserve"> </w:t>
      </w:r>
      <w:r>
        <w:t xml:space="preserve">to</w:t>
      </w:r>
      <w:r>
        <w:t xml:space="preserve"> </w:t>
      </w:r>
      <w:r>
        <w:t xml:space="preserve">Fashion</w:t>
      </w:r>
      <w:r>
        <w:t xml:space="preserve"> </w:t>
      </w:r>
      <w:r>
        <w:t xml:space="preserve">Their</w:t>
      </w:r>
      <w:r>
        <w:t xml:space="preserve"> </w:t>
      </w:r>
      <w:r>
        <w:t xml:space="preserve">Challenge</w:t>
      </w:r>
      <w:r>
        <w:t xml:space="preserve"> </w:t>
      </w:r>
      <w:r>
        <w:t xml:space="preserve">as</w:t>
      </w:r>
      <w:r>
        <w:t xml:space="preserve"> </w:t>
      </w:r>
      <w:r>
        <w:t xml:space="preserve">a</w:t>
      </w:r>
      <w:r>
        <w:t xml:space="preserve"> </w:t>
      </w:r>
      <w:r>
        <w:t xml:space="preserve">Declaratory</w:t>
      </w:r>
      <w:r>
        <w:t xml:space="preserve"> </w:t>
      </w:r>
      <w:r>
        <w:t xml:space="preserve">Relief</w:t>
      </w:r>
      <w:r>
        <w:t xml:space="preserve"> </w:t>
      </w:r>
      <w:r>
        <w:t xml:space="preserve">Action</w:t>
      </w:r>
      <w:r>
        <w:t xml:space="preserve"> </w:t>
      </w:r>
      <w:r>
        <w:t xml:space="preserve">Under</w:t>
      </w:r>
      <w:r>
        <w:t xml:space="preserve"> </w:t>
      </w:r>
      <w:r>
        <w:t xml:space="preserve">Government</w:t>
      </w:r>
      <w:r>
        <w:t xml:space="preserve"> </w:t>
      </w:r>
      <w:r>
        <w:t xml:space="preserve">Code</w:t>
      </w:r>
      <w:r>
        <w:t xml:space="preserve"> </w:t>
      </w:r>
      <w:r>
        <w:t xml:space="preserve">Section</w:t>
      </w:r>
      <w:r>
        <w:t xml:space="preserve"> </w:t>
      </w:r>
      <w:r>
        <w:t xml:space="preserve">11350</w:t>
      </w:r>
      <w:r>
        <w:t xml:space="preserve">   </w:t>
      </w:r>
      <w:r>
        <w:tab/>
      </w:r>
      <w:r>
        <w:t xml:space="preserve">22</w:t>
      </w:r>
    </w:p>
    <w:p>
      <w:pPr>
        <w:keepLines/>
        <w:tabs>
          <w:tab w:val="right" w:leader="dot" w:pos="7920"/>
        </w:tabs>
        <w:spacing w:before="156" w:after="0" w:line="338" w:lineRule="exact"/>
        <w:ind w:left="1080" w:right="720" w:hanging="720"/>
      </w:pPr>
      <w:r>
        <w:t xml:space="preserve">II.</w:t>
      </w:r>
      <w:r>
        <w:tab/>
      </w:r>
      <w:r>
        <w:t xml:space="preserve">The</w:t>
      </w:r>
      <w:r>
        <w:t xml:space="preserve"> </w:t>
      </w:r>
      <w:r>
        <w:t xml:space="preserve">Trial</w:t>
      </w:r>
      <w:r>
        <w:t xml:space="preserve"> </w:t>
      </w:r>
      <w:r>
        <w:t xml:space="preserve">Court</w:t>
      </w:r>
      <w:r>
        <w:t xml:space="preserve"> </w:t>
      </w:r>
      <w:r>
        <w:t xml:space="preserve">Also</w:t>
      </w:r>
      <w:r>
        <w:t xml:space="preserve"> </w:t>
      </w:r>
      <w:r>
        <w:t xml:space="preserve">Erred</w:t>
      </w:r>
      <w:r>
        <w:t xml:space="preserve"> </w:t>
      </w:r>
      <w:r>
        <w:t xml:space="preserve">When</w:t>
      </w:r>
      <w:r>
        <w:t xml:space="preserve"> </w:t>
      </w:r>
      <w:r>
        <w:t xml:space="preserve">It</w:t>
      </w:r>
      <w:r>
        <w:t xml:space="preserve"> </w:t>
      </w:r>
      <w:r>
        <w:t xml:space="preserve">Denied</w:t>
      </w:r>
      <w:r>
        <w:t xml:space="preserve"> </w:t>
      </w:r>
      <w:r>
        <w:t xml:space="preserve">Appellants’</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Mandate</w:t>
      </w:r>
      <w:r>
        <w:t xml:space="preserve">   </w:t>
      </w:r>
      <w:r>
        <w:tab/>
      </w:r>
      <w:r>
        <w:t xml:space="preserve">24</w:t>
      </w:r>
    </w:p>
    <w:p>
      <w:pPr>
        <w:keepLines/>
        <w:tabs>
          <w:tab w:val="right" w:leader="dot" w:pos="7920"/>
        </w:tabs>
        <w:spacing w:before="156" w:after="0" w:line="338" w:lineRule="exact"/>
        <w:ind w:left="1440" w:right="720" w:hanging="720"/>
      </w:pPr>
      <w:r>
        <w:t xml:space="preserve">A.</w:t>
      </w:r>
      <w:r>
        <w:tab/>
      </w:r>
      <w:r>
        <w:t xml:space="preserve">Applicable</w:t>
      </w:r>
      <w:r>
        <w:t xml:space="preserve"> </w:t>
      </w:r>
      <w:r>
        <w:t xml:space="preserve">Legal</w:t>
      </w:r>
      <w:r>
        <w:t xml:space="preserve"> </w:t>
      </w:r>
      <w:r>
        <w:t xml:space="preserve">Standard</w:t>
      </w:r>
      <w:r>
        <w:t xml:space="preserve">   </w:t>
      </w:r>
      <w:r>
        <w:tab/>
      </w:r>
      <w:r>
        <w:t xml:space="preserve">25</w:t>
      </w:r>
    </w:p>
    <w:p>
      <w:pPr>
        <w:keepLines/>
        <w:tabs>
          <w:tab w:val="right" w:leader="dot" w:pos="7920"/>
        </w:tabs>
        <w:spacing w:before="156" w:after="0" w:line="338" w:lineRule="exact"/>
        <w:ind w:left="1440" w:right="720" w:hanging="720"/>
      </w:pPr>
      <w:r>
        <w:t xml:space="preserve">B.</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When</w:t>
      </w:r>
      <w:r>
        <w:t xml:space="preserve"> </w:t>
      </w:r>
      <w:r>
        <w:t xml:space="preserve">It</w:t>
      </w:r>
      <w:r>
        <w:t xml:space="preserve"> </w:t>
      </w:r>
      <w:r>
        <w:t xml:space="preserve">Upheld</w:t>
      </w:r>
      <w:r>
        <w:t xml:space="preserve"> </w:t>
      </w:r>
      <w:r>
        <w:t xml:space="preserve">the</w:t>
      </w:r>
      <w:r>
        <w:t xml:space="preserve"> </w:t>
      </w:r>
      <w:r>
        <w:t xml:space="preserve">Validity</w:t>
      </w:r>
      <w:r>
        <w:t xml:space="preserve"> </w:t>
      </w:r>
      <w:r>
        <w:t xml:space="preserve">of</w:t>
      </w:r>
      <w:r>
        <w:t xml:space="preserve"> </w:t>
      </w:r>
      <w:r>
        <w:t xml:space="preserve">the</w:t>
      </w:r>
      <w:r>
        <w:t xml:space="preserve"> </w:t>
      </w:r>
      <w:r>
        <w:t xml:space="preserve">Challenged</w:t>
      </w:r>
      <w:r>
        <w:t xml:space="preserve"> </w:t>
      </w:r>
      <w:r>
        <w:t xml:space="preserve">Regulations;</w:t>
      </w:r>
      <w:r>
        <w:t xml:space="preserve"> </w:t>
      </w:r>
      <w:r>
        <w:t xml:space="preserve">Because</w:t>
      </w:r>
      <w:r>
        <w:t xml:space="preserve"> </w:t>
      </w:r>
      <w:r>
        <w:t xml:space="preserve">the</w:t>
      </w:r>
      <w:r>
        <w:t xml:space="preserve"> </w:t>
      </w:r>
      <w:r>
        <w:t xml:space="preserve">Regulations</w:t>
      </w:r>
      <w:r>
        <w:t xml:space="preserve"> </w:t>
      </w:r>
      <w:r>
        <w:t xml:space="preserve">Are</w:t>
      </w:r>
      <w:r>
        <w:t xml:space="preserve"> </w:t>
      </w:r>
      <w:r>
        <w:t xml:space="preserve">Not</w:t>
      </w:r>
      <w:r>
        <w:t xml:space="preserve"> </w:t>
      </w:r>
      <w:r>
        <w:t xml:space="preserve">Valid,</w:t>
      </w:r>
      <w:r>
        <w:t xml:space="preserve"> </w:t>
      </w:r>
      <w:r>
        <w:t xml:space="preserve">DOJ</w:t>
      </w:r>
      <w:r>
        <w:t xml:space="preserve"> </w:t>
      </w:r>
      <w:r>
        <w:t xml:space="preserve">Has</w:t>
      </w:r>
      <w:r>
        <w:t xml:space="preserve"> </w:t>
      </w:r>
      <w:r>
        <w:t xml:space="preserve">a</w:t>
      </w:r>
      <w:r>
        <w:t xml:space="preserve"> </w:t>
      </w:r>
      <w:r>
        <w:t xml:space="preserve">Ministerial</w:t>
      </w:r>
      <w:r>
        <w:t xml:space="preserve"> </w:t>
      </w:r>
      <w:r>
        <w:t xml:space="preserve">Duty</w:t>
      </w:r>
      <w:r>
        <w:t xml:space="preserve"> </w:t>
      </w:r>
      <w:r>
        <w:t xml:space="preserve">Not</w:t>
      </w:r>
      <w:r>
        <w:t xml:space="preserve"> </w:t>
      </w:r>
      <w:r>
        <w:t xml:space="preserve">to</w:t>
      </w:r>
      <w:r>
        <w:t xml:space="preserve"> </w:t>
      </w:r>
      <w:r>
        <w:t xml:space="preserve">Enforce</w:t>
      </w:r>
      <w:r>
        <w:t xml:space="preserve"> </w:t>
      </w:r>
      <w:r>
        <w:t xml:space="preserve">Them</w:t>
      </w:r>
      <w:r>
        <w:t xml:space="preserve">   </w:t>
      </w:r>
      <w:r>
        <w:tab/>
      </w:r>
      <w:r>
        <w:t xml:space="preserve">26</w:t>
      </w:r>
    </w:p>
    <w:p>
      <w:pPr>
        <w:keepLines/>
        <w:tabs>
          <w:tab w:val="right" w:leader="dot" w:pos="7920"/>
        </w:tabs>
        <w:spacing w:before="156" w:after="0" w:line="338" w:lineRule="exact"/>
        <w:ind w:left="1800" w:right="720" w:hanging="720"/>
      </w:pPr>
      <w:r>
        <w:t xml:space="preserve">1.</w:t>
      </w:r>
      <w:r>
        <w:tab/>
      </w:r>
      <w:r>
        <w:t xml:space="preserve">The</w:t>
      </w:r>
      <w:r>
        <w:t xml:space="preserve"> </w:t>
      </w:r>
      <w:r>
        <w:t xml:space="preserve">Trial</w:t>
      </w:r>
      <w:r>
        <w:t xml:space="preserve"> </w:t>
      </w:r>
      <w:r>
        <w:t xml:space="preserve">Court</w:t>
      </w:r>
      <w:r>
        <w:t xml:space="preserve"> </w:t>
      </w:r>
      <w:r>
        <w:t xml:space="preserve">Gave</w:t>
      </w:r>
      <w:r>
        <w:t xml:space="preserve"> </w:t>
      </w:r>
      <w:r>
        <w:t xml:space="preserve">Undue</w:t>
      </w:r>
      <w:r>
        <w:t xml:space="preserve"> </w:t>
      </w:r>
      <w:r>
        <w:t xml:space="preserve">Deference</w:t>
      </w:r>
      <w:r>
        <w:t xml:space="preserve"> </w:t>
      </w:r>
      <w:r>
        <w:t xml:space="preserve">to</w:t>
      </w:r>
      <w:r>
        <w:t xml:space="preserve"> </w:t>
      </w:r>
      <w:r>
        <w:t xml:space="preserve">DOJ’s</w:t>
      </w:r>
      <w:r>
        <w:t xml:space="preserve"> </w:t>
      </w:r>
      <w:r>
        <w:t xml:space="preserve">Interpretation</w:t>
      </w:r>
      <w:r>
        <w:t xml:space="preserve"> </w:t>
      </w:r>
      <w:r>
        <w:t xml:space="preserve">of</w:t>
      </w:r>
      <w:r>
        <w:t xml:space="preserve"> </w:t>
      </w:r>
      <w:r>
        <w:t xml:space="preserve">Subdivision</w:t>
      </w:r>
      <w:r>
        <w:t xml:space="preserve"> </w:t>
      </w:r>
      <w:r>
        <w:t xml:space="preserve">(b)’s</w:t>
      </w:r>
      <w:r>
        <w:t xml:space="preserve"> </w:t>
      </w:r>
      <w:r>
        <w:t xml:space="preserve">APA</w:t>
      </w:r>
      <w:r>
        <w:t xml:space="preserve"> </w:t>
      </w:r>
      <w:r>
        <w:t xml:space="preserve">Exemption</w:t>
      </w:r>
      <w:r>
        <w:t xml:space="preserve">   </w:t>
      </w:r>
      <w:r>
        <w:tab/>
      </w:r>
      <w:r>
        <w:t xml:space="preserve">27</w:t>
      </w:r>
    </w:p>
    <w:p>
      <w:pPr>
        <w:keepLines/>
        <w:tabs>
          <w:tab w:val="right" w:leader="dot" w:pos="7920"/>
        </w:tabs>
        <w:spacing w:before="156" w:after="0" w:line="338" w:lineRule="exact"/>
        <w:ind w:left="1800" w:right="720" w:hanging="720"/>
      </w:pPr>
      <w:r>
        <w:t xml:space="preserve">2.</w:t>
      </w:r>
      <w:r>
        <w:tab/>
      </w:r>
      <w:r>
        <w:t xml:space="preserve">The</w:t>
      </w:r>
      <w:r>
        <w:t xml:space="preserve"> </w:t>
      </w:r>
      <w:r>
        <w:t xml:space="preserve">Challenged</w:t>
      </w:r>
      <w:r>
        <w:t xml:space="preserve"> </w:t>
      </w:r>
      <w:r>
        <w:t xml:space="preserve">Regulations</w:t>
      </w:r>
      <w:r>
        <w:t xml:space="preserve"> </w:t>
      </w:r>
      <w:r>
        <w:t xml:space="preserve">Are</w:t>
      </w:r>
      <w:r>
        <w:t xml:space="preserve"> </w:t>
      </w:r>
      <w:r>
        <w:t xml:space="preserve">Invalid</w:t>
      </w:r>
      <w:r>
        <w:t xml:space="preserve"> </w:t>
      </w:r>
      <w:r>
        <w:t xml:space="preserve">Both</w:t>
      </w:r>
      <w:r>
        <w:t xml:space="preserve"> </w:t>
      </w:r>
      <w:r>
        <w:t xml:space="preserve">Because</w:t>
      </w:r>
      <w:r>
        <w:t xml:space="preserve"> </w:t>
      </w:r>
      <w:r>
        <w:t xml:space="preserve">They</w:t>
      </w:r>
      <w:r>
        <w:t xml:space="preserve"> </w:t>
      </w:r>
      <w:r>
        <w:t xml:space="preserve">Failed</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APA</w:t>
      </w:r>
      <w:r>
        <w:t xml:space="preserve"> </w:t>
      </w:r>
      <w:r>
        <w:t xml:space="preserve">and</w:t>
      </w:r>
      <w:r>
        <w:t xml:space="preserve"> </w:t>
      </w:r>
      <w:r>
        <w:t xml:space="preserve">They</w:t>
      </w:r>
      <w:r>
        <w:t xml:space="preserve"> </w:t>
      </w:r>
      <w:r>
        <w:t xml:space="preserve">Unlawfully</w:t>
      </w:r>
      <w:r>
        <w:t xml:space="preserve"> </w:t>
      </w:r>
      <w:r>
        <w:t xml:space="preserve">Alter</w:t>
      </w:r>
      <w:r>
        <w:t xml:space="preserve"> </w:t>
      </w:r>
      <w:r>
        <w:t xml:space="preserve">Statutes</w:t>
      </w:r>
      <w:r>
        <w:t xml:space="preserve">   </w:t>
      </w:r>
      <w:r>
        <w:tab/>
      </w:r>
      <w:r>
        <w:t xml:space="preserve">32</w:t>
      </w:r>
    </w:p>
    <w:p>
      <w:pPr>
        <w:keepLines/>
        <w:tabs>
          <w:tab w:val="right" w:leader="dot" w:pos="7920"/>
        </w:tabs>
        <w:spacing w:before="156" w:after="0" w:line="338" w:lineRule="exact"/>
        <w:ind w:left="2160" w:right="720" w:hanging="720"/>
      </w:pPr>
      <w:r>
        <w:t xml:space="preserve">a.</w:t>
      </w:r>
      <w:r>
        <w:tab/>
      </w:r>
      <w:r>
        <w:t xml:space="preserve">Deletion</w:t>
      </w:r>
      <w:r>
        <w:t xml:space="preserve"> </w:t>
      </w:r>
      <w:r>
        <w:t xml:space="preserve">of</w:t>
      </w:r>
      <w:r>
        <w:t xml:space="preserve"> </w:t>
      </w:r>
      <w:r>
        <w:t xml:space="preserve">Lawfully</w:t>
      </w:r>
      <w:r>
        <w:t xml:space="preserve"> </w:t>
      </w:r>
      <w:r>
        <w:t xml:space="preserve">Enacted</w:t>
      </w:r>
      <w:r>
        <w:t xml:space="preserve"> </w:t>
      </w:r>
      <w:r>
        <w:t xml:space="preserve">Definitions</w:t>
      </w:r>
      <w:r>
        <w:t xml:space="preserve">   </w:t>
      </w:r>
      <w:r>
        <w:tab/>
      </w:r>
      <w:r>
        <w:t xml:space="preserve">33</w:t>
      </w:r>
    </w:p>
    <w:p>
      <w:pPr>
        <w:keepLines/>
        <w:tabs>
          <w:tab w:val="right" w:leader="dot" w:pos="7920"/>
        </w:tabs>
        <w:spacing w:before="156" w:after="0" w:line="338" w:lineRule="exact"/>
        <w:ind w:left="2160" w:right="720" w:hanging="720"/>
      </w:pPr>
      <w:r>
        <w:t xml:space="preserve">b.</w:t>
      </w:r>
      <w:r>
        <w:tab/>
      </w:r>
      <w:r>
        <w:t xml:space="preserve">Requirement</w:t>
      </w:r>
      <w:r>
        <w:t xml:space="preserve"> </w:t>
      </w:r>
      <w:r>
        <w:t xml:space="preserve">that</w:t>
      </w:r>
      <w:r>
        <w:t xml:space="preserve"> </w:t>
      </w:r>
      <w:r>
        <w:t xml:space="preserve">“Bullet-button</w:t>
      </w:r>
      <w:r>
        <w:t xml:space="preserve"> </w:t>
      </w:r>
      <w:r>
        <w:t xml:space="preserve">Shotguns”</w:t>
      </w:r>
      <w:r>
        <w:t xml:space="preserve"> </w:t>
      </w:r>
      <w:r>
        <w:t xml:space="preserve">Be</w:t>
      </w:r>
      <w:r>
        <w:t xml:space="preserve"> </w:t>
      </w:r>
      <w:r>
        <w:t xml:space="preserve">Registered</w:t>
      </w:r>
      <w:r>
        <w:t xml:space="preserve">   </w:t>
      </w:r>
      <w:r>
        <w:tab/>
      </w:r>
      <w:r>
        <w:t xml:space="preserve">34</w:t>
      </w:r>
    </w:p>
    <w:p>
      <w:pPr>
        <w:keepLines/>
        <w:tabs>
          <w:tab w:val="right" w:leader="dot" w:pos="7920"/>
        </w:tabs>
        <w:spacing w:before="156" w:after="0" w:line="338" w:lineRule="exact"/>
        <w:ind w:left="2160" w:right="720" w:hanging="720"/>
      </w:pPr>
      <w:r>
        <w:t xml:space="preserve">c.</w:t>
      </w:r>
      <w:r>
        <w:tab/>
      </w:r>
      <w:r>
        <w:t xml:space="preserve">Adoption</w:t>
      </w:r>
      <w:r>
        <w:t xml:space="preserve"> </w:t>
      </w:r>
      <w:r>
        <w:t xml:space="preserve">of</w:t>
      </w:r>
      <w:r>
        <w:t xml:space="preserve"> </w:t>
      </w:r>
      <w:r>
        <w:t xml:space="preserve">New</w:t>
      </w:r>
      <w:r>
        <w:t xml:space="preserve"> </w:t>
      </w:r>
      <w:r>
        <w:t xml:space="preserve">Definitions</w:t>
      </w:r>
      <w:r>
        <w:t xml:space="preserve">   </w:t>
      </w:r>
      <w:r>
        <w:tab/>
      </w:r>
      <w:r>
        <w:t xml:space="preserve">35</w:t>
      </w:r>
    </w:p>
    <w:p>
      <w:pPr>
        <w:keepLines/>
        <w:tabs>
          <w:tab w:val="right" w:leader="dot" w:pos="7920"/>
        </w:tabs>
        <w:spacing w:before="156" w:after="0" w:line="338" w:lineRule="exact"/>
        <w:ind w:left="2160" w:right="720" w:hanging="720"/>
      </w:pPr>
      <w:r>
        <w:t xml:space="preserve">d.</w:t>
      </w:r>
      <w:r>
        <w:tab/>
      </w:r>
      <w:r>
        <w:t xml:space="preserve">Serialization</w:t>
      </w:r>
      <w:r>
        <w:t xml:space="preserve"> </w:t>
      </w:r>
      <w:r>
        <w:t xml:space="preserve">Requirements</w:t>
      </w:r>
      <w:r>
        <w:t xml:space="preserve">   </w:t>
      </w:r>
      <w:r>
        <w:tab/>
      </w:r>
      <w:r>
        <w:t xml:space="preserve">37</w:t>
      </w:r>
    </w:p>
    <w:p>
      <w:pPr>
        <w:keepLines/>
        <w:tabs>
          <w:tab w:val="right" w:leader="dot" w:pos="7920"/>
        </w:tabs>
        <w:spacing w:before="156" w:after="0" w:line="338" w:lineRule="exact"/>
        <w:ind w:left="2160" w:right="720" w:hanging="720"/>
      </w:pPr>
      <w:r>
        <w:t xml:space="preserve">e.</w:t>
      </w:r>
      <w:r>
        <w:tab/>
      </w:r>
      <w:r>
        <w:t xml:space="preserve">Compelled</w:t>
      </w:r>
      <w:r>
        <w:t xml:space="preserve"> </w:t>
      </w:r>
      <w:r>
        <w:t xml:space="preserve">Non-liability</w:t>
      </w:r>
      <w:r>
        <w:t xml:space="preserve"> </w:t>
      </w:r>
      <w:r>
        <w:t xml:space="preserve">Clause</w:t>
      </w:r>
      <w:r>
        <w:t xml:space="preserve">   </w:t>
      </w:r>
      <w:r>
        <w:tab/>
      </w:r>
      <w:r>
        <w:t xml:space="preserve">38</w:t>
      </w:r>
    </w:p>
    <w:p>
      <w:pPr>
        <w:keepLines/>
        <w:tabs>
          <w:tab w:val="right" w:leader="dot" w:pos="7920"/>
        </w:tabs>
        <w:spacing w:before="156" w:after="0" w:line="338" w:lineRule="exact"/>
        <w:ind w:left="2160" w:right="720" w:hanging="720"/>
      </w:pPr>
      <w:r>
        <w:t xml:space="preserve">f.</w:t>
      </w:r>
      <w:r>
        <w:tab/>
      </w:r>
      <w:r>
        <w:t xml:space="preserve">Excessive</w:t>
      </w:r>
      <w:r>
        <w:t xml:space="preserve"> </w:t>
      </w:r>
      <w:r>
        <w:t xml:space="preserve">Registration</w:t>
      </w:r>
      <w:r>
        <w:t xml:space="preserve"> </w:t>
      </w:r>
      <w:r>
        <w:t xml:space="preserve">Information</w:t>
      </w:r>
      <w:r>
        <w:t xml:space="preserve"> </w:t>
      </w:r>
      <w:r>
        <w:t xml:space="preserve">Requirement</w:t>
      </w:r>
      <w:r>
        <w:t xml:space="preserve">   </w:t>
      </w:r>
      <w:r>
        <w:tab/>
      </w:r>
      <w:r>
        <w:t xml:space="preserve">39</w:t>
      </w:r>
    </w:p>
    <w:p>
      <w:pPr>
        <w:keepLines/>
        <w:tabs>
          <w:tab w:val="right" w:leader="dot" w:pos="7920"/>
        </w:tabs>
        <w:spacing w:before="156" w:after="0" w:line="338" w:lineRule="exact"/>
        <w:ind w:left="2160" w:right="720" w:hanging="720"/>
      </w:pPr>
      <w:r>
        <w:t xml:space="preserve">g.</w:t>
      </w:r>
      <w:r>
        <w:tab/>
      </w:r>
      <w:r>
        <w:t xml:space="preserve">Joint-registration</w:t>
      </w:r>
      <w:r>
        <w:t xml:space="preserve"> </w:t>
      </w:r>
      <w:r>
        <w:t xml:space="preserve">Restrictions</w:t>
      </w:r>
      <w:r>
        <w:t xml:space="preserve">   </w:t>
      </w:r>
      <w:r>
        <w:tab/>
      </w:r>
      <w:r>
        <w:t xml:space="preserve">40</w:t>
      </w:r>
    </w:p>
    <w:p>
      <w:pPr>
        <w:keepLines/>
        <w:tabs>
          <w:tab w:val="right" w:leader="dot" w:pos="7920"/>
        </w:tabs>
        <w:spacing w:before="156" w:after="0" w:line="338" w:lineRule="exact"/>
        <w:ind w:left="2160" w:right="720" w:hanging="720"/>
      </w:pPr>
      <w:r>
        <w:t xml:space="preserve">h.</w:t>
      </w:r>
      <w:r>
        <w:tab/>
      </w:r>
      <w:r>
        <w:t xml:space="preserve">Removal</w:t>
      </w:r>
      <w:r>
        <w:t xml:space="preserve"> </w:t>
      </w:r>
      <w:r>
        <w:t xml:space="preserve">of</w:t>
      </w:r>
      <w:r>
        <w:t xml:space="preserve"> </w:t>
      </w:r>
      <w:r>
        <w:t xml:space="preserve">“Bullet</w:t>
      </w:r>
      <w:r>
        <w:t xml:space="preserve"> </w:t>
      </w:r>
      <w:r>
        <w:t xml:space="preserve">button”</w:t>
      </w:r>
      <w:r>
        <w:t xml:space="preserve"> </w:t>
      </w:r>
      <w:r>
        <w:t xml:space="preserve">Restriction</w:t>
      </w:r>
      <w:r>
        <w:t xml:space="preserve">   </w:t>
      </w:r>
      <w:r>
        <w:tab/>
      </w:r>
      <w:r>
        <w:t xml:space="preserve">41</w:t>
      </w:r>
    </w:p>
    <w:p>
      <w:pPr>
        <w:keepLines/>
        <w:tabs>
          <w:tab w:val="right" w:leader="dot" w:pos="7920"/>
        </w:tabs>
        <w:spacing w:before="156" w:after="0" w:line="338" w:lineRule="exact"/>
        <w:ind w:left="1440" w:right="720" w:hanging="720"/>
      </w:pPr>
      <w:r>
        <w:t xml:space="preserve">C.</w:t>
      </w:r>
      <w:r>
        <w:tab/>
      </w:r>
      <w:r>
        <w:t xml:space="preserve">Neither</w:t>
      </w:r>
      <w:r>
        <w:t xml:space="preserve"> </w:t>
      </w:r>
      <w:r>
        <w:t xml:space="preserve">DOJ</w:t>
      </w:r>
      <w:r>
        <w:t xml:space="preserve"> </w:t>
      </w:r>
      <w:r>
        <w:t xml:space="preserve">Nor</w:t>
      </w:r>
      <w:r>
        <w:t xml:space="preserve"> </w:t>
      </w:r>
      <w:r>
        <w:t xml:space="preserve">the</w:t>
      </w:r>
      <w:r>
        <w:t xml:space="preserve"> </w:t>
      </w:r>
      <w:r>
        <w:t xml:space="preserve">Trial</w:t>
      </w:r>
      <w:r>
        <w:t xml:space="preserve"> </w:t>
      </w:r>
      <w:r>
        <w:t xml:space="preserve">Court</w:t>
      </w:r>
      <w:r>
        <w:t xml:space="preserve"> </w:t>
      </w:r>
      <w:r>
        <w:t xml:space="preserve">Dispute</w:t>
      </w:r>
      <w:r>
        <w:t xml:space="preserve"> </w:t>
      </w:r>
      <w:r>
        <w:t xml:space="preserve">that</w:t>
      </w:r>
      <w:r>
        <w:t xml:space="preserve"> </w:t>
      </w:r>
      <w:r>
        <w:t xml:space="preserve">Appellants</w:t>
      </w:r>
      <w:r>
        <w:t xml:space="preserve"> </w:t>
      </w:r>
      <w:r>
        <w:t xml:space="preserve">Meet</w:t>
      </w:r>
      <w:r>
        <w:t xml:space="preserve"> </w:t>
      </w:r>
      <w:r>
        <w:t xml:space="preserve">the</w:t>
      </w:r>
      <w:r>
        <w:t xml:space="preserve"> </w:t>
      </w:r>
      <w:r>
        <w:t xml:space="preserve">Remaining</w:t>
      </w:r>
      <w:r>
        <w:t xml:space="preserve"> </w:t>
      </w:r>
      <w:r>
        <w:t xml:space="preserve">Elements</w:t>
      </w:r>
      <w:r>
        <w:t xml:space="preserve"> </w:t>
      </w:r>
      <w:r>
        <w:t xml:space="preserve">for</w:t>
      </w:r>
      <w:r>
        <w:t xml:space="preserve"> </w:t>
      </w:r>
      <w:r>
        <w:t xml:space="preserve">a</w:t>
      </w:r>
      <w:r>
        <w:t xml:space="preserve"> </w:t>
      </w:r>
      <w:r>
        <w:t xml:space="preserve">Writ</w:t>
      </w:r>
      <w:r>
        <w:t xml:space="preserve"> </w:t>
      </w:r>
      <w:r>
        <w:t xml:space="preserve">of</w:t>
      </w:r>
      <w:r>
        <w:t xml:space="preserve"> </w:t>
      </w:r>
      <w:r>
        <w:t xml:space="preserve">Mandate</w:t>
      </w:r>
      <w:r>
        <w:t xml:space="preserve"> </w:t>
      </w:r>
      <w:r>
        <w:t xml:space="preserve">to</w:t>
      </w:r>
      <w:r>
        <w:t xml:space="preserve"> </w:t>
      </w:r>
      <w:r>
        <w:t xml:space="preserve">Issue</w:t>
      </w:r>
      <w:r>
        <w:t xml:space="preserve">   </w:t>
      </w:r>
      <w:r>
        <w:tab/>
      </w:r>
      <w:r>
        <w:t xml:space="preserve">42</w:t>
      </w:r>
    </w:p>
    <w:p>
      <w:pPr>
        <w:keepLines/>
        <w:tabs>
          <w:tab w:val="right" w:leader="dot" w:pos="7920"/>
        </w:tabs>
        <w:spacing w:before="156" w:after="0" w:line="338" w:lineRule="exact"/>
        <w:ind w:left="0" w:right="720" w:firstLine="0"/>
      </w:pPr>
      <w:r>
        <w:t xml:space="preserve">Conclusion</w:t>
      </w:r>
      <w:r>
        <w:t xml:space="preserve">   </w:t>
      </w:r>
      <w:r>
        <w:tab/>
      </w:r>
      <w:r>
        <w:t xml:space="preserve">43</w:t>
      </w:r>
    </w:p>
    <w:p>
      <w:pPr>
        <w:pageBreakBefore/>
        <w:spacing w:before="0" w:after="0" w:line="1" w:lineRule="exact"/>
      </w:pPr>
    </w:p>
    <w:p>
      <w:pPr>
        <w:keepNext/>
        <w:keepLines/>
        <w:spacing w:before="0" w:after="260" w:line="338"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12" w:after="52" w:line="338" w:lineRule="exact"/>
        <w:ind w:left="0" w:firstLine="0"/>
        <w:jc w:val="left"/>
      </w:pPr>
      <w:r>
        <w:rPr>
          <w:b/>
          <w:bCs/>
        </w:rPr>
        <w:t xml:space="preserve">Cases:</w:t>
      </w:r>
      <w:r>
        <w:rPr>
          <w:b/>
          <w:bCs/>
        </w:rPr>
        <w:tab/>
      </w:r>
      <w:r>
        <w:rPr>
          <w:b/>
          <w:bCs/>
        </w:rPr>
        <w:t xml:space="preserve">Page(s)</w:t>
      </w:r>
    </w:p>
    <w:p>
      <w:pPr>
        <w:keepLines/>
        <w:tabs>
          <w:tab w:val="right" w:leader="dot" w:pos="7920"/>
        </w:tabs>
        <w:spacing w:before="156" w:after="0" w:line="338" w:lineRule="exact"/>
        <w:ind w:left="720" w:right="1120" w:hanging="720"/>
      </w:pPr>
      <w:r>
        <w:rPr>
          <w:i/>
          <w:iCs/>
        </w:rPr>
        <w:t xml:space="preserve">Agnew</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Equalization</w:t>
      </w:r>
      <w:r>
        <w:t xml:space="preserve"> </w:t>
      </w:r>
      <w:r>
        <w:t xml:space="preserve">(1999)</w:t>
      </w:r>
      <w:r>
        <w:t xml:space="preserve"> </w:t>
      </w:r>
      <w:r>
        <w:t xml:space="preserve">21</w:t>
      </w:r>
      <w:r>
        <w:t xml:space="preserve"> </w:t>
      </w:r>
      <w:r>
        <w:t xml:space="preserve">Cal.4th</w:t>
      </w:r>
      <w:r>
        <w:t xml:space="preserve"> </w:t>
      </w:r>
      <w:r>
        <w:t xml:space="preserve">310</w:t>
      </w:r>
      <w:r>
        <w:t xml:space="preserve">   </w:t>
      </w:r>
      <w:r>
        <w:tab/>
      </w:r>
      <w:r>
        <w:t xml:space="preserve">26</w:t>
      </w:r>
    </w:p>
    <w:p>
      <w:pPr>
        <w:keepLines/>
        <w:tabs>
          <w:tab w:val="right" w:leader="dot" w:pos="7920"/>
        </w:tabs>
        <w:spacing w:before="156" w:after="0" w:line="338" w:lineRule="exact"/>
        <w:ind w:left="720" w:right="1120" w:hanging="720"/>
      </w:pPr>
      <w:r>
        <w:rPr>
          <w:i/>
          <w:iCs/>
        </w:rPr>
        <w:t xml:space="preserve">Am.</w:t>
      </w:r>
      <w:r>
        <w:rPr>
          <w:i/>
          <w:iCs/>
        </w:rPr>
        <w:t xml:space="preserve"> </w:t>
      </w:r>
      <w:r>
        <w:rPr>
          <w:i/>
          <w:iCs/>
        </w:rPr>
        <w:t xml:space="preserve">Coatings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w:t>
      </w:r>
      <w:r>
        <w:rPr>
          <w:i/>
          <w:iCs/>
        </w:rPr>
        <w:t xml:space="preserve"> </w:t>
      </w:r>
      <w:r>
        <w:rPr>
          <w:i/>
          <w:iCs/>
        </w:rPr>
        <w:t xml:space="preserve">Coast</w:t>
      </w:r>
      <w:r>
        <w:rPr>
          <w:i/>
          <w:iCs/>
        </w:rPr>
        <w:t xml:space="preserve"> </w:t>
      </w:r>
      <w:r>
        <w:rPr>
          <w:i/>
          <w:iCs/>
        </w:rPr>
        <w:t xml:space="preserve">Air.</w:t>
      </w:r>
      <w:r>
        <w:rPr>
          <w:i/>
          <w:iCs/>
        </w:rPr>
        <w:t xml:space="preserve"> </w:t>
      </w:r>
      <w:r>
        <w:rPr>
          <w:i/>
          <w:iCs/>
        </w:rPr>
        <w:t xml:space="preserve">Q.</w:t>
      </w:r>
      <w:r>
        <w:rPr>
          <w:i/>
          <w:iCs/>
        </w:rPr>
        <w:t xml:space="preserve"> </w:t>
      </w:r>
      <w:r>
        <w:rPr>
          <w:i/>
          <w:iCs/>
        </w:rPr>
        <w:t xml:space="preserve">Mgmt.</w:t>
      </w:r>
      <w:r>
        <w:rPr>
          <w:i/>
          <w:iCs/>
        </w:rPr>
        <w:t xml:space="preserve"> </w:t>
      </w:r>
      <w:r>
        <w:rPr>
          <w:i/>
          <w:iCs/>
        </w:rPr>
        <w:t xml:space="preserve">Dist.</w:t>
      </w:r>
      <w:r>
        <w:t xml:space="preserve"> </w:t>
      </w:r>
      <w:r>
        <w:t xml:space="preserve">(2012)</w:t>
      </w:r>
      <w:r>
        <w:t xml:space="preserve"> </w:t>
      </w:r>
      <w:r>
        <w:t xml:space="preserve">54</w:t>
      </w:r>
      <w:r>
        <w:t xml:space="preserve"> </w:t>
      </w:r>
      <w:r>
        <w:t xml:space="preserve">Cal.4th</w:t>
      </w:r>
      <w:r>
        <w:t xml:space="preserve"> </w:t>
      </w:r>
      <w:r>
        <w:t xml:space="preserve">446</w:t>
      </w:r>
      <w:r>
        <w:t xml:space="preserve">   </w:t>
      </w:r>
      <w:r>
        <w:tab/>
      </w:r>
      <w:r>
        <w:t xml:space="preserve">29</w:t>
      </w:r>
    </w:p>
    <w:p>
      <w:pPr>
        <w:keepLines/>
        <w:tabs>
          <w:tab w:val="right" w:leader="dot" w:pos="7920"/>
        </w:tabs>
        <w:spacing w:before="156" w:after="0" w:line="338" w:lineRule="exact"/>
        <w:ind w:left="720" w:right="1120" w:hanging="720"/>
      </w:pPr>
      <w:r>
        <w:rPr>
          <w:i/>
          <w:iCs/>
        </w:rPr>
        <w:t xml:space="preserve">Assn.</w:t>
      </w:r>
      <w:r>
        <w:rPr>
          <w:i/>
          <w:iCs/>
        </w:rPr>
        <w:t xml:space="preserve"> </w:t>
      </w:r>
      <w:r>
        <w:rPr>
          <w:i/>
          <w:iCs/>
        </w:rPr>
        <w:t xml:space="preserve">of</w:t>
      </w:r>
      <w:r>
        <w:rPr>
          <w:i/>
          <w:iCs/>
        </w:rPr>
        <w:t xml:space="preserve"> </w:t>
      </w:r>
      <w:r>
        <w:rPr>
          <w:i/>
          <w:iCs/>
        </w:rPr>
        <w:t xml:space="preserve">Cal.</w:t>
      </w:r>
      <w:r>
        <w:rPr>
          <w:i/>
          <w:iCs/>
        </w:rPr>
        <w:t xml:space="preserve"> </w:t>
      </w:r>
      <w:r>
        <w:rPr>
          <w:i/>
          <w:iCs/>
        </w:rPr>
        <w:t xml:space="preserve">Ins.</w:t>
      </w:r>
      <w:r>
        <w:rPr>
          <w:i/>
          <w:iCs/>
        </w:rPr>
        <w:t xml:space="preserve"> </w:t>
      </w:r>
      <w:r>
        <w:rPr>
          <w:i/>
          <w:iCs/>
        </w:rPr>
        <w:t xml:space="preserve">Cos.</w:t>
      </w:r>
      <w:r>
        <w:rPr>
          <w:i/>
          <w:iCs/>
        </w:rPr>
        <w:t xml:space="preserve"> </w:t>
      </w:r>
      <w:r>
        <w:rPr>
          <w:i/>
          <w:iCs/>
        </w:rPr>
        <w:t xml:space="preserve">v.</w:t>
      </w:r>
      <w:r>
        <w:rPr>
          <w:i/>
          <w:iCs/>
        </w:rPr>
        <w:t xml:space="preserve"> </w:t>
      </w:r>
      <w:r>
        <w:rPr>
          <w:i/>
          <w:iCs/>
        </w:rPr>
        <w:t xml:space="preserve">Jones</w:t>
      </w:r>
      <w:r>
        <w:t xml:space="preserve"> </w:t>
      </w:r>
      <w:r>
        <w:t xml:space="preserve">(2017)</w:t>
      </w:r>
      <w:r>
        <w:t xml:space="preserve"> </w:t>
      </w:r>
      <w:r>
        <w:t xml:space="preserve">2</w:t>
      </w:r>
      <w:r>
        <w:t xml:space="preserve"> </w:t>
      </w:r>
      <w:r>
        <w:t xml:space="preserve">Cal.5th</w:t>
      </w:r>
      <w:r>
        <w:t xml:space="preserve"> </w:t>
      </w:r>
      <w:r>
        <w:t xml:space="preserve">376</w:t>
      </w:r>
      <w:r>
        <w:t xml:space="preserve">   </w:t>
      </w:r>
      <w:r>
        <w:tab/>
      </w:r>
      <w:r>
        <w:t xml:space="preserve">27</w:t>
      </w:r>
    </w:p>
    <w:p>
      <w:pPr>
        <w:keepLines/>
        <w:tabs>
          <w:tab w:val="right" w:leader="dot" w:pos="7920"/>
        </w:tabs>
        <w:spacing w:before="156" w:after="0" w:line="338" w:lineRule="exact"/>
        <w:ind w:left="720" w:right="1120" w:hanging="720"/>
      </w:pPr>
      <w:r>
        <w:rPr>
          <w:i/>
          <w:iCs/>
        </w:rPr>
        <w:t xml:space="preserve">Bess</w:t>
      </w:r>
      <w:r>
        <w:rPr>
          <w:i/>
          <w:iCs/>
        </w:rPr>
        <w:t xml:space="preserve"> </w:t>
      </w:r>
      <w:r>
        <w:rPr>
          <w:i/>
          <w:iCs/>
        </w:rPr>
        <w:t xml:space="preserve">v.</w:t>
      </w:r>
      <w:r>
        <w:rPr>
          <w:i/>
          <w:iCs/>
        </w:rPr>
        <w:t xml:space="preserve"> </w:t>
      </w:r>
      <w:r>
        <w:rPr>
          <w:i/>
          <w:iCs/>
        </w:rPr>
        <w:t xml:space="preserve">Park</w:t>
      </w:r>
      <w:r>
        <w:t xml:space="preserve"> </w:t>
      </w:r>
      <w:r>
        <w:t xml:space="preserve">(1955)</w:t>
      </w:r>
      <w:r>
        <w:t xml:space="preserve"> </w:t>
      </w:r>
      <w:r>
        <w:t xml:space="preserve">132</w:t>
      </w:r>
      <w:r>
        <w:t xml:space="preserve"> </w:t>
      </w:r>
      <w:r>
        <w:t xml:space="preserve">Cal.App.2d</w:t>
      </w:r>
      <w:r>
        <w:t xml:space="preserve"> </w:t>
      </w:r>
      <w:r>
        <w:t xml:space="preserve">49</w:t>
      </w:r>
      <w:r>
        <w:t xml:space="preserve">   </w:t>
      </w:r>
      <w:r>
        <w:tab/>
      </w:r>
      <w:r>
        <w:t xml:space="preserve">22, 23</w:t>
      </w:r>
    </w:p>
    <w:p>
      <w:pPr>
        <w:keepLines/>
        <w:tabs>
          <w:tab w:val="right" w:leader="dot" w:pos="7920"/>
        </w:tabs>
        <w:spacing w:before="156" w:after="0" w:line="338" w:lineRule="exact"/>
        <w:ind w:left="720" w:right="1120" w:hanging="720"/>
      </w:pPr>
      <w:r>
        <w:rPr>
          <w:i/>
          <w:iCs/>
        </w:rPr>
        <w:t xml:space="preserve">Cal.</w:t>
      </w:r>
      <w:r>
        <w:rPr>
          <w:i/>
          <w:iCs/>
        </w:rPr>
        <w:t xml:space="preserve"> </w:t>
      </w:r>
      <w:r>
        <w:rPr>
          <w:i/>
          <w:iCs/>
        </w:rPr>
        <w:t xml:space="preserve">Advocates</w:t>
      </w:r>
      <w:r>
        <w:rPr>
          <w:i/>
          <w:iCs/>
        </w:rPr>
        <w:t xml:space="preserve"> </w:t>
      </w:r>
      <w:r>
        <w:rPr>
          <w:i/>
          <w:iCs/>
        </w:rPr>
        <w:t xml:space="preserve">for</w:t>
      </w:r>
      <w:r>
        <w:rPr>
          <w:i/>
          <w:iCs/>
        </w:rPr>
        <w:t xml:space="preserve"> </w:t>
      </w:r>
      <w:r>
        <w:rPr>
          <w:i/>
          <w:iCs/>
        </w:rPr>
        <w:t xml:space="preserve">Nursing</w:t>
      </w:r>
      <w:r>
        <w:rPr>
          <w:i/>
          <w:iCs/>
        </w:rPr>
        <w:t xml:space="preserve"> </w:t>
      </w:r>
      <w:r>
        <w:rPr>
          <w:i/>
          <w:iCs/>
        </w:rPr>
        <w:t xml:space="preserve">Home</w:t>
      </w:r>
      <w:r>
        <w:rPr>
          <w:i/>
          <w:iCs/>
        </w:rPr>
        <w:t xml:space="preserve"> </w:t>
      </w:r>
      <w:r>
        <w:rPr>
          <w:i/>
          <w:iCs/>
        </w:rPr>
        <w:t xml:space="preserve">Reform</w:t>
      </w:r>
      <w:r>
        <w:rPr>
          <w:i/>
          <w:iCs/>
        </w:rPr>
        <w:t xml:space="preserve"> </w:t>
      </w:r>
      <w:r>
        <w:rPr>
          <w:i/>
          <w:iCs/>
        </w:rPr>
        <w:t xml:space="preserve">v.</w:t>
      </w:r>
      <w:r>
        <w:rPr>
          <w:i/>
          <w:iCs/>
        </w:rPr>
        <w:t xml:space="preserve"> </w:t>
      </w:r>
      <w:r>
        <w:rPr>
          <w:i/>
          <w:iCs/>
        </w:rPr>
        <w:t xml:space="preserve">Bonta</w:t>
      </w:r>
      <w:r>
        <w:t xml:space="preserve"> </w:t>
      </w:r>
      <w:r>
        <w:t xml:space="preserve">(2003)</w:t>
      </w:r>
      <w:r>
        <w:t xml:space="preserve"> </w:t>
      </w:r>
      <w:r>
        <w:t xml:space="preserve">106</w:t>
      </w:r>
      <w:r>
        <w:t xml:space="preserve"> </w:t>
      </w:r>
      <w:r>
        <w:t xml:space="preserve">Cal.App.4th</w:t>
      </w:r>
      <w:r>
        <w:t xml:space="preserve"> </w:t>
      </w:r>
      <w:r>
        <w:t xml:space="preserve">498</w:t>
      </w:r>
      <w:r>
        <w:t xml:space="preserve">   </w:t>
      </w:r>
      <w:r>
        <w:tab/>
      </w:r>
      <w:r>
        <w:t xml:space="preserve">6</w:t>
      </w:r>
    </w:p>
    <w:p>
      <w:pPr>
        <w:keepLines/>
        <w:tabs>
          <w:tab w:val="right" w:leader="dot" w:pos="7920"/>
        </w:tabs>
        <w:spacing w:before="156" w:after="0" w:line="338" w:lineRule="exact"/>
        <w:ind w:left="720" w:right="1120" w:hanging="720"/>
      </w:pPr>
      <w:r>
        <w:rPr>
          <w:i/>
          <w:iCs/>
        </w:rPr>
        <w:t xml:space="preserve">Cal.</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Psych.</w:t>
      </w:r>
      <w:r>
        <w:rPr>
          <w:i/>
          <w:iCs/>
        </w:rPr>
        <w:t xml:space="preserve"> </w:t>
      </w:r>
      <w:r>
        <w:rPr>
          <w:i/>
          <w:iCs/>
        </w:rPr>
        <w:t xml:space="preserve">Providers</w:t>
      </w:r>
      <w:r>
        <w:rPr>
          <w:i/>
          <w:iCs/>
        </w:rPr>
        <w:t xml:space="preserve"> </w:t>
      </w:r>
      <w:r>
        <w:rPr>
          <w:i/>
          <w:iCs/>
        </w:rPr>
        <w:t xml:space="preserve">v.</w:t>
      </w:r>
      <w:r>
        <w:rPr>
          <w:i/>
          <w:iCs/>
        </w:rPr>
        <w:t xml:space="preserve"> </w:t>
      </w:r>
      <w:r>
        <w:rPr>
          <w:i/>
          <w:iCs/>
        </w:rPr>
        <w:t xml:space="preserve">Rank</w:t>
      </w:r>
      <w:r>
        <w:t xml:space="preserve"> </w:t>
      </w:r>
      <w:r>
        <w:t xml:space="preserve">(1990)</w:t>
      </w:r>
      <w:r>
        <w:t xml:space="preserve"> </w:t>
      </w:r>
      <w:r>
        <w:t xml:space="preserve">51</w:t>
      </w:r>
      <w:r>
        <w:t xml:space="preserve"> </w:t>
      </w:r>
      <w:r>
        <w:t xml:space="preserve">Cal.3d</w:t>
      </w:r>
      <w:r>
        <w:t xml:space="preserve"> </w:t>
      </w:r>
      <w:r>
        <w:t xml:space="preserve">1</w:t>
      </w:r>
      <w:r>
        <w:t xml:space="preserve">   </w:t>
      </w:r>
      <w:r>
        <w:tab/>
      </w:r>
      <w:r>
        <w:t xml:space="preserve">28</w:t>
      </w:r>
    </w:p>
    <w:p>
      <w:pPr>
        <w:keepLines/>
        <w:tabs>
          <w:tab w:val="right" w:leader="dot" w:pos="7920"/>
        </w:tabs>
        <w:spacing w:before="156" w:after="0" w:line="338" w:lineRule="exact"/>
        <w:ind w:left="720" w:right="1120" w:hanging="720"/>
      </w:pPr>
      <w:r>
        <w:rPr>
          <w:i/>
          <w:iCs/>
        </w:rPr>
        <w:t xml:space="preserve">Cal.</w:t>
      </w:r>
      <w:r>
        <w:rPr>
          <w:i/>
          <w:iCs/>
        </w:rPr>
        <w:t xml:space="preserve"> </w:t>
      </w:r>
      <w:r>
        <w:rPr>
          <w:i/>
          <w:iCs/>
        </w:rPr>
        <w:t xml:space="preserve">Sch.</w:t>
      </w:r>
      <w:r>
        <w:rPr>
          <w:i/>
          <w:iCs/>
        </w:rPr>
        <w:t xml:space="preserve"> </w:t>
      </w:r>
      <w:r>
        <w:rPr>
          <w:i/>
          <w:iCs/>
        </w:rPr>
        <w:t xml:space="preserve">Bds.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 </w:t>
      </w:r>
      <w:r>
        <w:t xml:space="preserve">(2010)</w:t>
      </w:r>
      <w:r>
        <w:t xml:space="preserve"> </w:t>
      </w:r>
      <w:r>
        <w:t xml:space="preserve">186</w:t>
      </w:r>
      <w:r>
        <w:t xml:space="preserve"> </w:t>
      </w:r>
      <w:r>
        <w:t xml:space="preserve">Cal.App.4th</w:t>
      </w:r>
      <w:r>
        <w:t xml:space="preserve"> </w:t>
      </w:r>
      <w:r>
        <w:t xml:space="preserve">1298</w:t>
      </w:r>
      <w:r>
        <w:t xml:space="preserve">   </w:t>
      </w:r>
      <w:r>
        <w:tab/>
      </w:r>
      <w:r>
        <w:t xml:space="preserve">26, 31, 34</w:t>
      </w:r>
    </w:p>
    <w:p>
      <w:pPr>
        <w:keepLines/>
        <w:tabs>
          <w:tab w:val="right" w:leader="dot" w:pos="7920"/>
        </w:tabs>
        <w:spacing w:before="156" w:after="0" w:line="338" w:lineRule="exact"/>
        <w:ind w:left="720" w:right="1120" w:hanging="720"/>
      </w:pPr>
      <w:r>
        <w:rPr>
          <w:i/>
          <w:iCs/>
        </w:rPr>
        <w:t xml:space="preserve">Californians</w:t>
      </w:r>
      <w:r>
        <w:rPr>
          <w:i/>
          <w:iCs/>
        </w:rPr>
        <w:t xml:space="preserve"> </w:t>
      </w:r>
      <w:r>
        <w:rPr>
          <w:i/>
          <w:iCs/>
        </w:rPr>
        <w:t xml:space="preserve">for</w:t>
      </w:r>
      <w:r>
        <w:rPr>
          <w:i/>
          <w:iCs/>
        </w:rPr>
        <w:t xml:space="preserve"> </w:t>
      </w:r>
      <w:r>
        <w:rPr>
          <w:i/>
          <w:iCs/>
        </w:rPr>
        <w:t xml:space="preserve">Native</w:t>
      </w:r>
      <w:r>
        <w:rPr>
          <w:i/>
          <w:iCs/>
        </w:rPr>
        <w:t xml:space="preserve"> </w:t>
      </w:r>
      <w:r>
        <w:rPr>
          <w:i/>
          <w:iCs/>
        </w:rPr>
        <w:t xml:space="preserve">Salmon</w:t>
      </w:r>
      <w:r>
        <w:rPr>
          <w:i/>
          <w:iCs/>
        </w:rPr>
        <w:t xml:space="preserve"> </w:t>
      </w:r>
      <w:r>
        <w:rPr>
          <w:i/>
          <w:iCs/>
        </w:rPr>
        <w:t xml:space="preserve">&amp;</w:t>
      </w:r>
      <w:r>
        <w:rPr>
          <w:i/>
          <w:iCs/>
        </w:rPr>
        <w:t xml:space="preserve"> </w:t>
      </w:r>
      <w:r>
        <w:rPr>
          <w:i/>
          <w:iCs/>
        </w:rPr>
        <w:t xml:space="preserve">Steelhead</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Forestry</w:t>
      </w:r>
      <w:r>
        <w:t xml:space="preserve"> </w:t>
      </w:r>
      <w:r>
        <w:t xml:space="preserve">(1990)</w:t>
      </w:r>
      <w:r>
        <w:t xml:space="preserve"> </w:t>
      </w:r>
      <w:r>
        <w:t xml:space="preserve">221</w:t>
      </w:r>
      <w:r>
        <w:t xml:space="preserve"> </w:t>
      </w:r>
      <w:r>
        <w:t xml:space="preserve">Cal.App.3d</w:t>
      </w:r>
      <w:r>
        <w:t xml:space="preserve"> </w:t>
      </w:r>
      <w:r>
        <w:t xml:space="preserve">1419</w:t>
      </w:r>
      <w:r>
        <w:t xml:space="preserve">   </w:t>
      </w:r>
      <w:r>
        <w:tab/>
      </w:r>
      <w:r>
        <w:t xml:space="preserve">23</w:t>
      </w:r>
    </w:p>
    <w:p>
      <w:pPr>
        <w:keepLines/>
        <w:tabs>
          <w:tab w:val="right" w:leader="dot" w:pos="7920"/>
        </w:tabs>
        <w:spacing w:before="156" w:after="0" w:line="338" w:lineRule="exact"/>
        <w:ind w:left="720" w:right="1120" w:hanging="720"/>
      </w:pPr>
      <w:r>
        <w:rPr>
          <w:i/>
          <w:iCs/>
        </w:rPr>
        <w:t xml:space="preserve">Cantu</w:t>
      </w:r>
      <w:r>
        <w:rPr>
          <w:i/>
          <w:iCs/>
        </w:rPr>
        <w:t xml:space="preserve"> </w:t>
      </w:r>
      <w:r>
        <w:rPr>
          <w:i/>
          <w:iCs/>
        </w:rPr>
        <w:t xml:space="preserve">v.</w:t>
      </w:r>
      <w:r>
        <w:rPr>
          <w:i/>
          <w:iCs/>
        </w:rPr>
        <w:t xml:space="preserve"> </w:t>
      </w:r>
      <w:r>
        <w:rPr>
          <w:i/>
          <w:iCs/>
        </w:rPr>
        <w:t xml:space="preserve">Resolution</w:t>
      </w:r>
      <w:r>
        <w:rPr>
          <w:i/>
          <w:iCs/>
        </w:rPr>
        <w:t xml:space="preserve"> </w:t>
      </w:r>
      <w:r>
        <w:rPr>
          <w:i/>
          <w:iCs/>
        </w:rPr>
        <w:t xml:space="preserve">Trust</w:t>
      </w:r>
      <w:r>
        <w:rPr>
          <w:i/>
          <w:iCs/>
        </w:rPr>
        <w:t xml:space="preserve"> </w:t>
      </w:r>
      <w:r>
        <w:rPr>
          <w:i/>
          <w:iCs/>
        </w:rPr>
        <w:t xml:space="preserve">Corp.</w:t>
      </w:r>
      <w:r>
        <w:t xml:space="preserve"> </w:t>
      </w:r>
      <w:r>
        <w:t xml:space="preserve">(1992)</w:t>
      </w:r>
      <w:r>
        <w:t xml:space="preserve"> </w:t>
      </w:r>
      <w:r>
        <w:t xml:space="preserve">4</w:t>
      </w:r>
      <w:r>
        <w:t xml:space="preserve"> </w:t>
      </w:r>
      <w:r>
        <w:t xml:space="preserve">Cal.App.4th</w:t>
      </w:r>
      <w:r>
        <w:t xml:space="preserve"> </w:t>
      </w:r>
      <w:r>
        <w:t xml:space="preserve">857</w:t>
      </w:r>
      <w:r>
        <w:t xml:space="preserve">   </w:t>
      </w:r>
      <w:r>
        <w:tab/>
      </w:r>
      <w:r>
        <w:t xml:space="preserve">21</w:t>
      </w:r>
    </w:p>
    <w:p>
      <w:pPr>
        <w:keepLines/>
        <w:tabs>
          <w:tab w:val="right" w:leader="dot" w:pos="7920"/>
        </w:tabs>
        <w:spacing w:before="156" w:after="0" w:line="338" w:lineRule="exact"/>
        <w:ind w:left="720" w:right="1120" w:hanging="720"/>
      </w:pPr>
      <w:r>
        <w:rPr>
          <w:i/>
          <w:iCs/>
        </w:rPr>
        <w:t xml:space="preserve">Clean</w:t>
      </w:r>
      <w:r>
        <w:rPr>
          <w:i/>
          <w:iCs/>
        </w:rPr>
        <w:t xml:space="preserve"> </w:t>
      </w:r>
      <w:r>
        <w:rPr>
          <w:i/>
          <w:iCs/>
        </w:rPr>
        <w:t xml:space="preserve">Air</w:t>
      </w:r>
      <w:r>
        <w:rPr>
          <w:i/>
          <w:iCs/>
        </w:rPr>
        <w:t xml:space="preserve"> </w:t>
      </w:r>
      <w:r>
        <w:rPr>
          <w:i/>
          <w:iCs/>
        </w:rPr>
        <w:t xml:space="preserve">Constituency</w:t>
      </w:r>
      <w:r>
        <w:rPr>
          <w:i/>
          <w:iCs/>
        </w:rPr>
        <w:t xml:space="preserve"> </w:t>
      </w:r>
      <w:r>
        <w:rPr>
          <w:i/>
          <w:iCs/>
        </w:rPr>
        <w:t xml:space="preserve">v.</w:t>
      </w:r>
      <w:r>
        <w:rPr>
          <w:i/>
          <w:iCs/>
        </w:rPr>
        <w:t xml:space="preserve"> </w:t>
      </w:r>
      <w:r>
        <w:rPr>
          <w:i/>
          <w:iCs/>
        </w:rPr>
        <w:t xml:space="preserve">Cal.</w:t>
      </w:r>
      <w:r>
        <w:rPr>
          <w:i/>
          <w:iCs/>
        </w:rPr>
        <w:t xml:space="preserve"> </w:t>
      </w:r>
      <w:r>
        <w:rPr>
          <w:i/>
          <w:iCs/>
        </w:rPr>
        <w:t xml:space="preserve">State</w:t>
      </w:r>
      <w:r>
        <w:rPr>
          <w:i/>
          <w:iCs/>
        </w:rPr>
        <w:t xml:space="preserve"> </w:t>
      </w:r>
      <w:r>
        <w:rPr>
          <w:i/>
          <w:iCs/>
        </w:rPr>
        <w:t xml:space="preserve">Air</w:t>
      </w:r>
      <w:r>
        <w:rPr>
          <w:i/>
          <w:iCs/>
        </w:rPr>
        <w:t xml:space="preserve"> </w:t>
      </w:r>
      <w:r>
        <w:rPr>
          <w:i/>
          <w:iCs/>
        </w:rPr>
        <w:t xml:space="preserve">Res.</w:t>
      </w:r>
      <w:r>
        <w:rPr>
          <w:i/>
          <w:iCs/>
        </w:rPr>
        <w:t xml:space="preserve"> </w:t>
      </w:r>
      <w:r>
        <w:rPr>
          <w:i/>
          <w:iCs/>
        </w:rPr>
        <w:t xml:space="preserve">Bd.</w:t>
      </w:r>
      <w:r>
        <w:t xml:space="preserve"> </w:t>
      </w:r>
      <w:r>
        <w:t xml:space="preserve">(1974)</w:t>
      </w:r>
      <w:r>
        <w:t xml:space="preserve"> </w:t>
      </w:r>
      <w:r>
        <w:t xml:space="preserve">11</w:t>
      </w:r>
      <w:r>
        <w:t xml:space="preserve"> </w:t>
      </w:r>
      <w:r>
        <w:t xml:space="preserve">Cal.3d</w:t>
      </w:r>
      <w:r>
        <w:t xml:space="preserve"> </w:t>
      </w:r>
      <w:r>
        <w:t xml:space="preserve">801</w:t>
      </w:r>
      <w:r>
        <w:t xml:space="preserve">   </w:t>
      </w:r>
      <w:r>
        <w:tab/>
      </w:r>
      <w:r>
        <w:t xml:space="preserve">25</w:t>
      </w:r>
    </w:p>
    <w:p>
      <w:pPr>
        <w:keepLines/>
        <w:tabs>
          <w:tab w:val="right" w:leader="dot" w:pos="7920"/>
        </w:tabs>
        <w:spacing w:before="156" w:after="0" w:line="338" w:lineRule="exact"/>
        <w:ind w:left="720" w:right="1120" w:hanging="720"/>
      </w:pP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Diego</w:t>
      </w:r>
      <w:r>
        <w:rPr>
          <w:i/>
          <w:iCs/>
        </w:rPr>
        <w:t xml:space="preserve"> </w:t>
      </w:r>
      <w:r>
        <w:rPr>
          <w:i/>
          <w:iCs/>
        </w:rPr>
        <w:t xml:space="preserve">v.</w:t>
      </w:r>
      <w:r>
        <w:rPr>
          <w:i/>
          <w:iCs/>
        </w:rPr>
        <w:t xml:space="preserve"> </w:t>
      </w:r>
      <w:r>
        <w:rPr>
          <w:i/>
          <w:iCs/>
        </w:rPr>
        <w:t xml:space="preserve">State</w:t>
      </w:r>
      <w:r>
        <w:t xml:space="preserve"> </w:t>
      </w:r>
      <w:r>
        <w:t xml:space="preserve">(2008)</w:t>
      </w:r>
      <w:r>
        <w:t xml:space="preserve"> </w:t>
      </w:r>
      <w:r>
        <w:t xml:space="preserve">164</w:t>
      </w:r>
      <w:r>
        <w:t xml:space="preserve"> </w:t>
      </w:r>
      <w:r>
        <w:t xml:space="preserve">Cal.App.4th</w:t>
      </w:r>
      <w:r>
        <w:t xml:space="preserve"> </w:t>
      </w:r>
      <w:r>
        <w:t xml:space="preserve">580</w:t>
      </w:r>
      <w:r>
        <w:t xml:space="preserve">   </w:t>
      </w:r>
      <w:r>
        <w:tab/>
      </w:r>
      <w:r>
        <w:t xml:space="preserve">26</w:t>
      </w:r>
    </w:p>
    <w:p>
      <w:pPr>
        <w:keepLines/>
        <w:tabs>
          <w:tab w:val="right" w:leader="dot" w:pos="7920"/>
        </w:tabs>
        <w:spacing w:before="156" w:after="0" w:line="338" w:lineRule="exact"/>
        <w:ind w:left="720" w:right="1120" w:hanging="720"/>
      </w:pPr>
      <w:r>
        <w:rPr>
          <w:i/>
          <w:iCs/>
        </w:rPr>
        <w:t xml:space="preserve">Common</w:t>
      </w:r>
      <w:r>
        <w:rPr>
          <w:i/>
          <w:iCs/>
        </w:rPr>
        <w:t xml:space="preserve"> </w:t>
      </w:r>
      <w:r>
        <w:rPr>
          <w:i/>
          <w:iCs/>
        </w:rPr>
        <w:t xml:space="preserve">Cause</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Supers.</w:t>
      </w:r>
      <w:r>
        <w:t xml:space="preserve"> </w:t>
      </w:r>
      <w:r>
        <w:t xml:space="preserve">(1989)</w:t>
      </w:r>
      <w:r>
        <w:t xml:space="preserve"> </w:t>
      </w:r>
      <w:r>
        <w:t xml:space="preserve">49</w:t>
      </w:r>
      <w:r>
        <w:t xml:space="preserve"> </w:t>
      </w:r>
      <w:r>
        <w:t xml:space="preserve">Cal.3d</w:t>
      </w:r>
      <w:r>
        <w:t xml:space="preserve"> </w:t>
      </w:r>
      <w:r>
        <w:t xml:space="preserve">432</w:t>
      </w:r>
      <w:r>
        <w:t xml:space="preserve">   </w:t>
      </w:r>
      <w:r>
        <w:tab/>
      </w:r>
      <w:r>
        <w:t xml:space="preserve">23</w:t>
      </w:r>
    </w:p>
    <w:p>
      <w:pPr>
        <w:keepLines/>
        <w:tabs>
          <w:tab w:val="right" w:leader="dot" w:pos="7920"/>
        </w:tabs>
        <w:spacing w:before="156" w:after="0" w:line="338" w:lineRule="exact"/>
        <w:ind w:left="720" w:right="1120" w:hanging="720"/>
      </w:pPr>
      <w:r>
        <w:rPr>
          <w:i/>
          <w:iCs/>
        </w:rPr>
        <w:t xml:space="preserve">Ellena</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Ins.</w:t>
      </w:r>
      <w:r>
        <w:t xml:space="preserve"> </w:t>
      </w:r>
      <w:r>
        <w:t xml:space="preserve">(2014)</w:t>
      </w:r>
      <w:r>
        <w:t xml:space="preserve"> </w:t>
      </w:r>
      <w:r>
        <w:t xml:space="preserve">230</w:t>
      </w:r>
      <w:r>
        <w:t xml:space="preserve"> </w:t>
      </w:r>
      <w:r>
        <w:t xml:space="preserve">Cal.App.4th</w:t>
      </w:r>
      <w:r>
        <w:t xml:space="preserve"> </w:t>
      </w:r>
      <w:r>
        <w:t xml:space="preserve">198</w:t>
      </w:r>
      <w:r>
        <w:t xml:space="preserve">   </w:t>
      </w:r>
      <w:r>
        <w:tab/>
      </w:r>
      <w:r>
        <w:t xml:space="preserve">26</w:t>
      </w:r>
    </w:p>
    <w:p>
      <w:pPr>
        <w:keepLines/>
        <w:tabs>
          <w:tab w:val="right" w:leader="dot" w:pos="7920"/>
        </w:tabs>
        <w:spacing w:before="156" w:after="0" w:line="338" w:lineRule="exact"/>
        <w:ind w:left="720" w:right="1120" w:hanging="720"/>
      </w:pPr>
      <w:r>
        <w:rPr>
          <w:i/>
          <w:iCs/>
        </w:rPr>
        <w:t xml:space="preserve">Filet</w:t>
      </w:r>
      <w:r>
        <w:rPr>
          <w:i/>
          <w:iCs/>
        </w:rPr>
        <w:t xml:space="preserve"> </w:t>
      </w:r>
      <w:r>
        <w:rPr>
          <w:i/>
          <w:iCs/>
        </w:rPr>
        <w:t xml:space="preserve">Menu,</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Cheng</w:t>
      </w:r>
      <w:r>
        <w:t xml:space="preserve"> </w:t>
      </w:r>
      <w:r>
        <w:t xml:space="preserve">(1999)</w:t>
      </w:r>
      <w:r>
        <w:t xml:space="preserve"> </w:t>
      </w:r>
      <w:r>
        <w:t xml:space="preserve">71</w:t>
      </w:r>
      <w:r>
        <w:t xml:space="preserve"> </w:t>
      </w:r>
      <w:r>
        <w:t xml:space="preserve">Cal.App.4th</w:t>
      </w:r>
      <w:r>
        <w:t xml:space="preserve"> </w:t>
      </w:r>
      <w:r>
        <w:t xml:space="preserve">1276</w:t>
      </w:r>
      <w:r>
        <w:t xml:space="preserve">   </w:t>
      </w:r>
      <w:r>
        <w:tab/>
      </w:r>
      <w:r>
        <w:t xml:space="preserve">21</w:t>
      </w:r>
    </w:p>
    <w:p>
      <w:pPr>
        <w:keepLines/>
        <w:tabs>
          <w:tab w:val="right" w:leader="dot" w:pos="7920"/>
        </w:tabs>
        <w:spacing w:before="156" w:after="0" w:line="338" w:lineRule="exact"/>
        <w:ind w:left="720" w:right="1120" w:hanging="720"/>
      </w:pPr>
      <w:r>
        <w:rPr>
          <w:i/>
          <w:iCs/>
        </w:rPr>
        <w:t xml:space="preserve">Grimes</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w:t>
      </w:r>
      <w:r>
        <w:rPr>
          <w:i/>
          <w:iCs/>
        </w:rPr>
        <w:t xml:space="preserve"> </w:t>
      </w:r>
      <w:r>
        <w:rPr>
          <w:i/>
          <w:iCs/>
        </w:rPr>
        <w:t xml:space="preserve">Servs.</w:t>
      </w:r>
      <w:r>
        <w:t xml:space="preserve"> </w:t>
      </w:r>
      <w:r>
        <w:t xml:space="preserve">(1999)</w:t>
      </w:r>
      <w:r>
        <w:t xml:space="preserve"> </w:t>
      </w:r>
      <w:r>
        <w:t xml:space="preserve">70</w:t>
      </w:r>
      <w:r>
        <w:t xml:space="preserve"> </w:t>
      </w:r>
      <w:r>
        <w:t xml:space="preserve">Cal.App.4th</w:t>
      </w:r>
      <w:r>
        <w:t xml:space="preserve"> </w:t>
      </w:r>
      <w:r>
        <w:t xml:space="preserve">1065</w:t>
      </w:r>
      <w:r>
        <w:t xml:space="preserve">   </w:t>
      </w:r>
      <w:r>
        <w:tab/>
      </w:r>
      <w:r>
        <w:t xml:space="preserve">28</w:t>
      </w:r>
    </w:p>
    <w:p>
      <w:pPr>
        <w:keepLines/>
        <w:tabs>
          <w:tab w:val="right" w:leader="dot" w:pos="7920"/>
        </w:tabs>
        <w:spacing w:before="156" w:after="0" w:line="338" w:lineRule="exact"/>
        <w:ind w:left="720" w:right="1120" w:hanging="720"/>
      </w:pPr>
      <w:r>
        <w:rPr>
          <w:i/>
          <w:iCs/>
        </w:rPr>
        <w:t xml:space="preserve">Kasler</w:t>
      </w:r>
      <w:r>
        <w:rPr>
          <w:i/>
          <w:iCs/>
        </w:rPr>
        <w:t xml:space="preserve"> </w:t>
      </w:r>
      <w:r>
        <w:rPr>
          <w:i/>
          <w:iCs/>
        </w:rPr>
        <w:t xml:space="preserve">v.</w:t>
      </w:r>
      <w:r>
        <w:rPr>
          <w:i/>
          <w:iCs/>
        </w:rPr>
        <w:t xml:space="preserve"> </w:t>
      </w:r>
      <w:r>
        <w:rPr>
          <w:i/>
          <w:iCs/>
        </w:rPr>
        <w:t xml:space="preserve">Lockyer</w:t>
      </w:r>
      <w:r>
        <w:t xml:space="preserve"> </w:t>
      </w:r>
      <w:r>
        <w:t xml:space="preserve">(2000)</w:t>
      </w:r>
      <w:r>
        <w:t xml:space="preserve"> </w:t>
      </w:r>
      <w:r>
        <w:t xml:space="preserve">23</w:t>
      </w:r>
      <w:r>
        <w:t xml:space="preserve"> </w:t>
      </w:r>
      <w:r>
        <w:t xml:space="preserve">Cal.4th</w:t>
      </w:r>
      <w:r>
        <w:t xml:space="preserve"> </w:t>
      </w:r>
      <w:r>
        <w:t xml:space="preserve">472</w:t>
      </w:r>
      <w:r>
        <w:t xml:space="preserve">   </w:t>
      </w:r>
      <w:r>
        <w:tab/>
      </w:r>
      <w:r>
        <w:t xml:space="preserve">10</w:t>
      </w:r>
    </w:p>
    <w:p>
      <w:pPr>
        <w:keepLines/>
        <w:tabs>
          <w:tab w:val="right" w:leader="dot" w:pos="7920"/>
        </w:tabs>
        <w:spacing w:before="156" w:after="0" w:line="338" w:lineRule="exact"/>
        <w:ind w:left="720" w:right="1120" w:hanging="720"/>
      </w:pPr>
      <w:r>
        <w:rPr>
          <w:i/>
          <w:iCs/>
        </w:rPr>
        <w:t xml:space="preserve">Littoral</w:t>
      </w:r>
      <w:r>
        <w:rPr>
          <w:i/>
          <w:iCs/>
        </w:rPr>
        <w:t xml:space="preserve"> </w:t>
      </w:r>
      <w:r>
        <w:rPr>
          <w:i/>
          <w:iCs/>
        </w:rPr>
        <w:t xml:space="preserve">Devel.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S.F.</w:t>
      </w:r>
      <w:r>
        <w:rPr>
          <w:i/>
          <w:iCs/>
        </w:rPr>
        <w:t xml:space="preserve"> </w:t>
      </w:r>
      <w:r>
        <w:rPr>
          <w:i/>
          <w:iCs/>
        </w:rPr>
        <w:t xml:space="preserve">Bay</w:t>
      </w:r>
      <w:r>
        <w:rPr>
          <w:i/>
          <w:iCs/>
        </w:rPr>
        <w:t xml:space="preserve"> </w:t>
      </w:r>
      <w:r>
        <w:rPr>
          <w:i/>
          <w:iCs/>
        </w:rPr>
        <w:t xml:space="preserve">Conserv.</w:t>
      </w:r>
      <w:r>
        <w:t xml:space="preserve"> </w:t>
      </w:r>
      <w:r>
        <w:t xml:space="preserve">(1994)</w:t>
      </w:r>
      <w:r>
        <w:t xml:space="preserve"> </w:t>
      </w:r>
      <w:r>
        <w:t xml:space="preserve">24</w:t>
      </w:r>
      <w:r>
        <w:t xml:space="preserve"> </w:t>
      </w:r>
      <w:r>
        <w:t xml:space="preserve">Cal.App.4th</w:t>
      </w:r>
      <w:r>
        <w:t xml:space="preserve"> </w:t>
      </w:r>
      <w:r>
        <w:t xml:space="preserve">1050</w:t>
      </w:r>
      <w:r>
        <w:t xml:space="preserve">   </w:t>
      </w:r>
      <w:r>
        <w:tab/>
      </w:r>
      <w:r>
        <w:t xml:space="preserve">28</w:t>
      </w:r>
    </w:p>
    <w:p>
      <w:pPr>
        <w:keepLines/>
        <w:tabs>
          <w:tab w:val="right" w:leader="dot" w:pos="7920"/>
        </w:tabs>
        <w:spacing w:before="156" w:after="0" w:line="338" w:lineRule="exact"/>
        <w:ind w:left="720" w:right="1120" w:hanging="720"/>
      </w:pPr>
      <w:r>
        <w:rPr>
          <w:i/>
          <w:iCs/>
        </w:rPr>
        <w:t xml:space="preserve">PaintCare</w:t>
      </w:r>
      <w:r>
        <w:rPr>
          <w:i/>
          <w:iCs/>
        </w:rPr>
        <w:t xml:space="preserve"> </w:t>
      </w:r>
      <w:r>
        <w:rPr>
          <w:i/>
          <w:iCs/>
        </w:rPr>
        <w:t xml:space="preserve">v.</w:t>
      </w:r>
      <w:r>
        <w:rPr>
          <w:i/>
          <w:iCs/>
        </w:rPr>
        <w:t xml:space="preserve"> </w:t>
      </w:r>
      <w:r>
        <w:rPr>
          <w:i/>
          <w:iCs/>
        </w:rPr>
        <w:t xml:space="preserve">Mortensen</w:t>
      </w:r>
      <w:r>
        <w:t xml:space="preserve"> </w:t>
      </w:r>
      <w:r>
        <w:t xml:space="preserve">(2015)</w:t>
      </w:r>
      <w:r>
        <w:t xml:space="preserve"> </w:t>
      </w:r>
      <w:r>
        <w:t xml:space="preserve">233</w:t>
      </w:r>
      <w:r>
        <w:t xml:space="preserve"> </w:t>
      </w:r>
      <w:r>
        <w:t xml:space="preserve">Cal.App.4th</w:t>
      </w:r>
      <w:r>
        <w:t xml:space="preserve"> </w:t>
      </w:r>
      <w:r>
        <w:t xml:space="preserve">1292</w:t>
      </w:r>
      <w:r>
        <w:t xml:space="preserve">   </w:t>
      </w:r>
      <w:r>
        <w:tab/>
      </w:r>
      <w:r>
        <w:t xml:space="preserve">27</w:t>
      </w:r>
    </w:p>
    <w:p>
      <w:pPr>
        <w:keepLines/>
        <w:tabs>
          <w:tab w:val="right" w:leader="dot" w:pos="7920"/>
        </w:tabs>
        <w:spacing w:before="156" w:after="0" w:line="338" w:lineRule="exact"/>
        <w:ind w:left="720" w:right="1120" w:hanging="72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Younger</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El</w:t>
      </w:r>
      <w:r>
        <w:rPr>
          <w:i/>
          <w:iCs/>
        </w:rPr>
        <w:t xml:space="preserve"> </w:t>
      </w:r>
      <w:r>
        <w:rPr>
          <w:i/>
          <w:iCs/>
        </w:rPr>
        <w:t xml:space="preserve">Dorado</w:t>
      </w:r>
      <w:r>
        <w:t xml:space="preserve"> </w:t>
      </w:r>
      <w:r>
        <w:t xml:space="preserve">(1971)</w:t>
      </w:r>
      <w:r>
        <w:t xml:space="preserve"> </w:t>
      </w:r>
      <w:r>
        <w:t xml:space="preserve">5</w:t>
      </w:r>
      <w:r>
        <w:t xml:space="preserve"> </w:t>
      </w:r>
      <w:r>
        <w:t xml:space="preserve">Cal.3d</w:t>
      </w:r>
      <w:r>
        <w:t xml:space="preserve"> </w:t>
      </w:r>
      <w:r>
        <w:t xml:space="preserve">480</w:t>
      </w:r>
      <w:r>
        <w:t xml:space="preserve">   </w:t>
      </w:r>
      <w:r>
        <w:tab/>
      </w:r>
      <w:r>
        <w:t xml:space="preserve">25</w:t>
      </w:r>
    </w:p>
    <w:p>
      <w:pPr>
        <w:keepLines/>
        <w:tabs>
          <w:tab w:val="right" w:leader="dot" w:pos="7920"/>
        </w:tabs>
        <w:spacing w:before="156" w:after="0" w:line="338" w:lineRule="exact"/>
        <w:ind w:left="720" w:right="1120" w:hanging="720"/>
      </w:pPr>
      <w:r>
        <w:rPr>
          <w:i/>
          <w:iCs/>
        </w:rPr>
        <w:t xml:space="preserve">Sara</w:t>
      </w:r>
      <w:r>
        <w:rPr>
          <w:i/>
          <w:iCs/>
        </w:rPr>
        <w:t xml:space="preserve"> </w:t>
      </w:r>
      <w:r>
        <w:rPr>
          <w:i/>
          <w:iCs/>
        </w:rPr>
        <w:t xml:space="preserve">M.</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 </w:t>
      </w:r>
      <w:r>
        <w:t xml:space="preserve">(2005)</w:t>
      </w:r>
      <w:r>
        <w:t xml:space="preserve"> </w:t>
      </w:r>
      <w:r>
        <w:t xml:space="preserve">36</w:t>
      </w:r>
      <w:r>
        <w:t xml:space="preserve"> </w:t>
      </w:r>
      <w:r>
        <w:t xml:space="preserve">Cal.4th</w:t>
      </w:r>
      <w:r>
        <w:t xml:space="preserve"> </w:t>
      </w:r>
      <w:r>
        <w:t xml:space="preserve">998</w:t>
      </w:r>
      <w:r>
        <w:t xml:space="preserve">   </w:t>
      </w:r>
      <w:r>
        <w:tab/>
      </w:r>
      <w:r>
        <w:t xml:space="preserve">30</w:t>
      </w:r>
    </w:p>
    <w:p>
      <w:pPr>
        <w:keepLines/>
        <w:tabs>
          <w:tab w:val="right" w:leader="dot" w:pos="7920"/>
        </w:tabs>
        <w:spacing w:before="156" w:after="0" w:line="338" w:lineRule="exact"/>
        <w:ind w:left="720" w:right="1120" w:hanging="720"/>
      </w:pPr>
      <w:r>
        <w:rPr>
          <w:i/>
          <w:iCs/>
        </w:rPr>
        <w:t xml:space="preserve">Sheet</w:t>
      </w:r>
      <w:r>
        <w:rPr>
          <w:i/>
          <w:iCs/>
        </w:rPr>
        <w:t xml:space="preserve"> </w:t>
      </w:r>
      <w:r>
        <w:rPr>
          <w:i/>
          <w:iCs/>
        </w:rPr>
        <w:t xml:space="preserve">Metal</w:t>
      </w:r>
      <w:r>
        <w:rPr>
          <w:i/>
          <w:iCs/>
        </w:rPr>
        <w:t xml:space="preserve"> </w:t>
      </w:r>
      <w:r>
        <w:rPr>
          <w:i/>
          <w:iCs/>
        </w:rPr>
        <w:t xml:space="preserve">Workers</w:t>
      </w:r>
      <w:r>
        <w:rPr>
          <w:i/>
          <w:iCs/>
        </w:rPr>
        <w:t xml:space="preserve"> </w:t>
      </w:r>
      <w:r>
        <w:rPr>
          <w:i/>
          <w:iCs/>
        </w:rPr>
        <w:t xml:space="preserve">Internat.</w:t>
      </w:r>
      <w:r>
        <w:rPr>
          <w:i/>
          <w:iCs/>
        </w:rPr>
        <w:t xml:space="preserve"> </w:t>
      </w:r>
      <w:r>
        <w:rPr>
          <w:i/>
          <w:iCs/>
        </w:rPr>
        <w:t xml:space="preserve">Assn.,</w:t>
      </w:r>
      <w:r>
        <w:rPr>
          <w:i/>
          <w:iCs/>
        </w:rPr>
        <w:t xml:space="preserve"> </w:t>
      </w:r>
      <w:r>
        <w:rPr>
          <w:i/>
          <w:iCs/>
        </w:rPr>
        <w:t xml:space="preserve">Local</w:t>
      </w:r>
      <w:r>
        <w:rPr>
          <w:i/>
          <w:iCs/>
        </w:rPr>
        <w:t xml:space="preserve"> </w:t>
      </w:r>
      <w:r>
        <w:rPr>
          <w:i/>
          <w:iCs/>
        </w:rPr>
        <w:t xml:space="preserve">104</w:t>
      </w:r>
      <w:r>
        <w:rPr>
          <w:i/>
          <w:iCs/>
        </w:rPr>
        <w:t xml:space="preserve"> </w:t>
      </w:r>
      <w:r>
        <w:rPr>
          <w:i/>
          <w:iCs/>
        </w:rPr>
        <w:t xml:space="preserve">v.</w:t>
      </w:r>
      <w:r>
        <w:rPr>
          <w:i/>
          <w:iCs/>
        </w:rPr>
        <w:t xml:space="preserve"> </w:t>
      </w:r>
      <w:r>
        <w:rPr>
          <w:i/>
          <w:iCs/>
        </w:rPr>
        <w:t xml:space="preserve">Duncan</w:t>
      </w:r>
      <w:r>
        <w:t xml:space="preserve"> </w:t>
      </w:r>
      <w:r>
        <w:t xml:space="preserve">(2014)</w:t>
      </w:r>
      <w:r>
        <w:t xml:space="preserve"> </w:t>
      </w:r>
      <w:r>
        <w:t xml:space="preserve">229</w:t>
      </w:r>
      <w:r>
        <w:t xml:space="preserve"> </w:t>
      </w:r>
      <w:r>
        <w:t xml:space="preserve">Cal.App.4th</w:t>
      </w:r>
      <w:r>
        <w:t xml:space="preserve"> </w:t>
      </w:r>
      <w:r>
        <w:t xml:space="preserve">192</w:t>
      </w:r>
      <w:r>
        <w:t xml:space="preserve">   </w:t>
      </w:r>
      <w:r>
        <w:tab/>
      </w:r>
      <w:r>
        <w:t xml:space="preserve">30</w:t>
      </w:r>
    </w:p>
    <w:p>
      <w:pPr>
        <w:keepLines/>
        <w:tabs>
          <w:tab w:val="right" w:leader="dot" w:pos="7920"/>
        </w:tabs>
        <w:spacing w:before="156" w:after="0" w:line="338" w:lineRule="exact"/>
        <w:ind w:left="720" w:right="1120" w:hanging="720"/>
      </w:pPr>
      <w:r>
        <w:rPr>
          <w:i/>
          <w:iCs/>
        </w:rPr>
        <w:t xml:space="preserve">Slocum</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Equalization</w:t>
      </w:r>
      <w:r>
        <w:t xml:space="preserve"> </w:t>
      </w:r>
      <w:r>
        <w:t xml:space="preserve">(2005)</w:t>
      </w:r>
      <w:r>
        <w:t xml:space="preserve"> </w:t>
      </w:r>
      <w:r>
        <w:t xml:space="preserve">134</w:t>
      </w:r>
      <w:r>
        <w:t xml:space="preserve"> </w:t>
      </w:r>
      <w:r>
        <w:t xml:space="preserve">Cal.App.4th</w:t>
      </w:r>
      <w:r>
        <w:t xml:space="preserve"> </w:t>
      </w:r>
      <w:r>
        <w:t xml:space="preserve">969</w:t>
      </w:r>
      <w:r>
        <w:t xml:space="preserve">   </w:t>
      </w:r>
      <w:r>
        <w:tab/>
      </w:r>
      <w:r>
        <w:t xml:space="preserve">26</w:t>
      </w:r>
    </w:p>
    <w:p>
      <w:pPr>
        <w:keepLines/>
        <w:tabs>
          <w:tab w:val="right" w:leader="dot" w:pos="7920"/>
        </w:tabs>
        <w:spacing w:before="156" w:after="0" w:line="338" w:lineRule="exact"/>
        <w:ind w:left="720" w:right="1120" w:hanging="720"/>
      </w:pPr>
      <w:r>
        <w:rPr>
          <w:i/>
          <w:iCs/>
        </w:rPr>
        <w:t xml:space="preserve">Terhune</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Ct.</w:t>
      </w:r>
      <w:r>
        <w:t xml:space="preserve"> </w:t>
      </w:r>
      <w:r>
        <w:t xml:space="preserve">(1998)</w:t>
      </w:r>
      <w:r>
        <w:t xml:space="preserve"> </w:t>
      </w:r>
      <w:r>
        <w:t xml:space="preserve">65</w:t>
      </w:r>
      <w:r>
        <w:t xml:space="preserve"> </w:t>
      </w:r>
      <w:r>
        <w:t xml:space="preserve">Cal.App.4th</w:t>
      </w:r>
      <w:r>
        <w:t xml:space="preserve"> </w:t>
      </w:r>
      <w:r>
        <w:t xml:space="preserve">864</w:t>
      </w:r>
      <w:r>
        <w:t xml:space="preserve">   </w:t>
      </w:r>
      <w:r>
        <w:tab/>
      </w:r>
      <w:r>
        <w:t xml:space="preserve">26</w:t>
      </w:r>
    </w:p>
    <w:p>
      <w:pPr>
        <w:keepLines/>
        <w:tabs>
          <w:tab w:val="right" w:leader="dot" w:pos="7920"/>
        </w:tabs>
        <w:spacing w:before="156" w:after="0" w:line="338" w:lineRule="exact"/>
        <w:ind w:left="720" w:right="1120" w:hanging="720"/>
      </w:pPr>
      <w:r>
        <w:rPr>
          <w:i/>
          <w:iCs/>
        </w:rPr>
        <w:t xml:space="preserve">Venice</w:t>
      </w:r>
      <w:r>
        <w:rPr>
          <w:i/>
          <w:iCs/>
        </w:rPr>
        <w:t xml:space="preserve"> </w:t>
      </w:r>
      <w:r>
        <w:rPr>
          <w:i/>
          <w:iCs/>
        </w:rPr>
        <w:t xml:space="preserve">Town</w:t>
      </w:r>
      <w:r>
        <w:rPr>
          <w:i/>
          <w:iCs/>
        </w:rPr>
        <w:t xml:space="preserve"> </w:t>
      </w:r>
      <w:r>
        <w:rPr>
          <w:i/>
          <w:iCs/>
        </w:rPr>
        <w:t xml:space="preserve">Council,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(1996)</w:t>
      </w:r>
      <w:r>
        <w:t xml:space="preserve"> </w:t>
      </w:r>
      <w:r>
        <w:t xml:space="preserve">47</w:t>
      </w:r>
      <w:r>
        <w:t xml:space="preserve"> </w:t>
      </w:r>
      <w:r>
        <w:t xml:space="preserve">Cal.App.4th</w:t>
      </w:r>
      <w:r>
        <w:t xml:space="preserve"> </w:t>
      </w:r>
      <w:r>
        <w:t xml:space="preserve">1547</w:t>
      </w:r>
      <w:r>
        <w:t xml:space="preserve">   </w:t>
      </w:r>
      <w:r>
        <w:tab/>
      </w:r>
      <w:r>
        <w:t xml:space="preserve">23</w:t>
      </w:r>
    </w:p>
    <w:p>
      <w:pPr>
        <w:keepLines/>
        <w:tabs>
          <w:tab w:val="right" w:leader="dot" w:pos="7920"/>
        </w:tabs>
        <w:spacing w:before="156" w:after="0" w:line="338" w:lineRule="exact"/>
        <w:ind w:left="720" w:right="1120" w:hanging="720"/>
      </w:pPr>
      <w:r>
        <w:rPr>
          <w:i/>
          <w:iCs/>
        </w:rPr>
        <w:t xml:space="preserve">Winzler</w:t>
      </w:r>
      <w:r>
        <w:rPr>
          <w:i/>
          <w:iCs/>
        </w:rPr>
        <w:t xml:space="preserve"> </w:t>
      </w:r>
      <w:r>
        <w:rPr>
          <w:i/>
          <w:iCs/>
        </w:rPr>
        <w:t xml:space="preserve">&amp;</w:t>
      </w:r>
      <w:r>
        <w:rPr>
          <w:i/>
          <w:iCs/>
        </w:rPr>
        <w:t xml:space="preserve"> </w:t>
      </w:r>
      <w:r>
        <w:rPr>
          <w:i/>
          <w:iCs/>
        </w:rPr>
        <w:t xml:space="preserve">Kelly</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Indus.</w:t>
      </w:r>
      <w:r>
        <w:rPr>
          <w:i/>
          <w:iCs/>
        </w:rPr>
        <w:t xml:space="preserve"> </w:t>
      </w:r>
      <w:r>
        <w:rPr>
          <w:i/>
          <w:iCs/>
        </w:rPr>
        <w:t xml:space="preserve">Rels.</w:t>
      </w:r>
      <w:r>
        <w:t xml:space="preserve"> </w:t>
      </w:r>
      <w:r>
        <w:t xml:space="preserve">(1981)</w:t>
      </w:r>
      <w:r>
        <w:t xml:space="preserve"> </w:t>
      </w:r>
      <w:r>
        <w:t xml:space="preserve">121</w:t>
      </w:r>
      <w:r>
        <w:t xml:space="preserve"> </w:t>
      </w:r>
      <w:r>
        <w:t xml:space="preserve">Cal.App.3d</w:t>
      </w:r>
      <w:r>
        <w:t xml:space="preserve"> </w:t>
      </w:r>
      <w:r>
        <w:t xml:space="preserve">120</w:t>
      </w:r>
      <w:r>
        <w:t xml:space="preserve">   </w:t>
      </w:r>
      <w:r>
        <w:tab/>
      </w:r>
      <w:r>
        <w:t xml:space="preserve">26</w:t>
      </w:r>
    </w:p>
    <w:p>
      <w:pPr>
        <w:keepLines/>
        <w:tabs>
          <w:tab w:val="right" w:leader="dot" w:pos="7920"/>
        </w:tabs>
        <w:spacing w:before="156" w:after="0" w:line="338" w:lineRule="exact"/>
        <w:ind w:left="720" w:right="1120" w:hanging="720"/>
      </w:pPr>
      <w:r>
        <w:rPr>
          <w:i/>
          <w:iCs/>
        </w:rPr>
        <w:t xml:space="preserve">Yamaha</w:t>
      </w:r>
      <w:r>
        <w:rPr>
          <w:i/>
          <w:iCs/>
        </w:rPr>
        <w:t xml:space="preserve"> </w:t>
      </w:r>
      <w:r>
        <w:rPr>
          <w:i/>
          <w:iCs/>
        </w:rPr>
        <w:t xml:space="preserve">Corp.</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Equalization</w:t>
      </w:r>
      <w:r>
        <w:t xml:space="preserve"> </w:t>
      </w:r>
      <w:r>
        <w:t xml:space="preserve">(1998)</w:t>
      </w:r>
      <w:r>
        <w:t xml:space="preserve"> </w:t>
      </w:r>
      <w:r>
        <w:t xml:space="preserve">19</w:t>
      </w:r>
      <w:r>
        <w:t xml:space="preserve"> </w:t>
      </w:r>
      <w:r>
        <w:t xml:space="preserve">Cal.4th</w:t>
      </w:r>
      <w:r>
        <w:t xml:space="preserve"> </w:t>
      </w:r>
      <w:r>
        <w:t xml:space="preserve">1</w:t>
      </w:r>
      <w:r>
        <w:t xml:space="preserve">   </w:t>
      </w:r>
      <w:r>
        <w:tab/>
      </w:r>
      <w:r>
        <w:t xml:space="preserve">27</w:t>
      </w:r>
    </w:p>
    <w:p>
      <w:pPr>
        <w:keepNext/>
        <w:keepLines/>
        <w:spacing w:before="312" w:after="52" w:line="338" w:lineRule="exact"/>
        <w:ind w:left="0" w:firstLine="0"/>
        <w:jc w:val="left"/>
      </w:pPr>
      <w:r>
        <w:rPr>
          <w:b/>
          <w:bCs/>
        </w:rPr>
        <w:t xml:space="preserve">Statutes:</w:t>
      </w:r>
    </w:p>
    <w:p>
      <w:pPr>
        <w:keepLines/>
        <w:tabs>
          <w:tab w:val="right" w:leader="dot" w:pos="7920"/>
        </w:tabs>
        <w:spacing w:before="156" w:after="0" w:line="338" w:lineRule="exact"/>
        <w:ind w:left="720" w:right="1120" w:hanging="720"/>
      </w:pPr>
      <w:r>
        <w:t xml:space="preserve">Code</w:t>
      </w:r>
      <w:r>
        <w:t xml:space="preserve"> </w:t>
      </w:r>
      <w:r>
        <w:t xml:space="preserve">Civ.</w:t>
      </w:r>
      <w:r>
        <w:t xml:space="preserve"> </w:t>
      </w:r>
      <w:r>
        <w:t xml:space="preserve">Proc.,</w:t>
      </w:r>
      <w:r>
        <w:t xml:space="preserve"> </w:t>
      </w:r>
      <w:r>
        <w:t xml:space="preserve">§</w:t>
      </w:r>
      <w:r>
        <w:t xml:space="preserve"> </w:t>
      </w:r>
      <w:r>
        <w:t xml:space="preserve">1085</w:t>
      </w:r>
      <w:r>
        <w:t xml:space="preserve">   </w:t>
      </w:r>
      <w:r>
        <w:tab/>
      </w:r>
      <w:r>
        <w:t xml:space="preserve">25</w:t>
      </w:r>
    </w:p>
    <w:p>
      <w:pPr>
        <w:keepLines/>
        <w:tabs>
          <w:tab w:val="right" w:leader="dot" w:pos="7920"/>
        </w:tabs>
        <w:spacing w:before="156" w:after="0" w:line="338" w:lineRule="exact"/>
        <w:ind w:left="720" w:right="1120" w:hanging="720"/>
      </w:pPr>
      <w:r>
        <w:t xml:space="preserve">Code</w:t>
      </w:r>
      <w:r>
        <w:t xml:space="preserve"> </w:t>
      </w:r>
      <w:r>
        <w:t xml:space="preserve">Civ.</w:t>
      </w:r>
      <w:r>
        <w:t xml:space="preserve"> </w:t>
      </w:r>
      <w:r>
        <w:t xml:space="preserve">Proc.,</w:t>
      </w:r>
      <w:r>
        <w:t xml:space="preserve"> </w:t>
      </w:r>
      <w:r>
        <w:t xml:space="preserve">§</w:t>
      </w:r>
      <w:r>
        <w:t xml:space="preserve"> </w:t>
      </w:r>
      <w:r>
        <w:t xml:space="preserve">1086</w:t>
      </w:r>
      <w:r>
        <w:t xml:space="preserve">   </w:t>
      </w:r>
      <w:r>
        <w:tab/>
      </w:r>
      <w:r>
        <w:t xml:space="preserve">25</w:t>
      </w:r>
    </w:p>
    <w:p>
      <w:pPr>
        <w:keepLines/>
        <w:tabs>
          <w:tab w:val="right" w:leader="dot" w:pos="7920"/>
        </w:tabs>
        <w:spacing w:before="156" w:after="0" w:line="338" w:lineRule="exact"/>
        <w:ind w:left="720" w:right="1120" w:hanging="720"/>
      </w:pPr>
      <w:r>
        <w:t xml:space="preserve">Gov.</w:t>
      </w:r>
      <w:r>
        <w:t xml:space="preserve"> </w:t>
      </w:r>
      <w:r>
        <w:t xml:space="preserve">Code,</w:t>
      </w:r>
      <w:r>
        <w:t xml:space="preserve"> </w:t>
      </w:r>
      <w:r>
        <w:t xml:space="preserve">§</w:t>
      </w:r>
      <w:r>
        <w:t xml:space="preserve"> </w:t>
      </w:r>
      <w:r>
        <w:t xml:space="preserve">11340</w:t>
      </w:r>
      <w:r>
        <w:t xml:space="preserve"> </w:t>
      </w:r>
      <w:r>
        <w:t xml:space="preserve">et</w:t>
      </w:r>
      <w:r>
        <w:t xml:space="preserve"> </w:t>
      </w:r>
      <w:r>
        <w:t xml:space="preserve">seq.</w:t>
      </w:r>
      <w:r>
        <w:t xml:space="preserve">   </w:t>
      </w:r>
      <w:r>
        <w:tab/>
      </w:r>
      <w:r>
        <w:t xml:space="preserve">8, 9, 26, 27</w:t>
      </w:r>
    </w:p>
    <w:p>
      <w:pPr>
        <w:keepLines/>
        <w:tabs>
          <w:tab w:val="right" w:leader="dot" w:pos="7920"/>
        </w:tabs>
        <w:spacing w:before="156" w:after="0" w:line="338" w:lineRule="exact"/>
        <w:ind w:left="720" w:right="1120" w:hanging="720"/>
      </w:pPr>
      <w:r>
        <w:t xml:space="preserve">Gov.</w:t>
      </w:r>
      <w:r>
        <w:t xml:space="preserve"> </w:t>
      </w:r>
      <w:r>
        <w:t xml:space="preserve">Code,</w:t>
      </w:r>
      <w:r>
        <w:t xml:space="preserve"> </w:t>
      </w:r>
      <w:r>
        <w:t xml:space="preserve">§</w:t>
      </w:r>
      <w:r>
        <w:t xml:space="preserve"> </w:t>
      </w:r>
      <w:r>
        <w:t xml:space="preserve">11342.1</w:t>
      </w:r>
      <w:r>
        <w:t xml:space="preserve">   </w:t>
      </w:r>
      <w:r>
        <w:tab/>
      </w:r>
      <w:r>
        <w:t xml:space="preserve">8, 26</w:t>
      </w:r>
    </w:p>
    <w:p>
      <w:pPr>
        <w:keepLines/>
        <w:tabs>
          <w:tab w:val="right" w:leader="dot" w:pos="7920"/>
        </w:tabs>
        <w:spacing w:before="156" w:after="0" w:line="338" w:lineRule="exact"/>
        <w:ind w:left="720" w:right="1446" w:hanging="720"/>
      </w:pPr>
      <w:r>
        <w:t xml:space="preserve">Gov.</w:t>
      </w:r>
      <w:r>
        <w:t xml:space="preserve"> </w:t>
      </w:r>
      <w:r>
        <w:t xml:space="preserve">Code,</w:t>
      </w:r>
      <w:r>
        <w:t xml:space="preserve"> </w:t>
      </w:r>
      <w:r>
        <w:t xml:space="preserve">§</w:t>
      </w:r>
      <w:r>
        <w:t xml:space="preserve"> </w:t>
      </w:r>
      <w:r>
        <w:t xml:space="preserve">11350</w:t>
      </w:r>
      <w:r>
        <w:t xml:space="preserve">   </w:t>
      </w:r>
      <w:r>
        <w:tab/>
      </w:r>
      <w:r>
        <w:t xml:space="preserve">6, 9, 18, 22, 23</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30515</w:t>
      </w:r>
      <w:r>
        <w:t xml:space="preserve">   </w:t>
      </w:r>
      <w:r>
        <w:tab/>
      </w:r>
      <w:r>
        <w:rPr>
          <w:i/>
          <w:iCs/>
        </w:rPr>
        <w:t xml:space="preserve">passim</w:t>
      </w:r>
    </w:p>
    <w:p>
      <w:pPr>
        <w:keepLines/>
        <w:tabs>
          <w:tab w:val="right" w:leader="dot" w:pos="7920"/>
        </w:tabs>
        <w:spacing w:before="156" w:after="0" w:line="338" w:lineRule="exact"/>
        <w:ind w:left="720" w:right="1120" w:hanging="720"/>
      </w:pPr>
      <w:r>
        <w:t xml:space="preserve">Pen.</w:t>
      </w:r>
      <w:r>
        <w:t xml:space="preserve"> </w:t>
      </w:r>
      <w:r>
        <w:t xml:space="preserve">Code,</w:t>
      </w:r>
      <w:r>
        <w:t xml:space="preserve"> </w:t>
      </w:r>
      <w:r>
        <w:t xml:space="preserve">§</w:t>
      </w:r>
      <w:r>
        <w:t xml:space="preserve"> </w:t>
      </w:r>
      <w:r>
        <w:t xml:space="preserve">30900</w:t>
      </w:r>
      <w:r>
        <w:t xml:space="preserve">   </w:t>
      </w:r>
      <w:r>
        <w:tab/>
      </w:r>
      <w:r>
        <w:rPr>
          <w:i/>
          <w:iCs/>
        </w:rPr>
        <w:t xml:space="preserve">passim</w:t>
      </w:r>
    </w:p>
    <w:p>
      <w:pPr>
        <w:keepNext/>
        <w:keepLines/>
        <w:spacing w:before="312" w:after="52" w:line="338" w:lineRule="exact"/>
        <w:ind w:left="0" w:firstLine="0"/>
        <w:jc w:val="left"/>
      </w:pPr>
      <w:r>
        <w:rPr>
          <w:b/>
          <w:bCs/>
        </w:rPr>
        <w:t xml:space="preserve">Regulations:</w:t>
      </w:r>
    </w:p>
    <w:p>
      <w:pPr>
        <w:keepLines/>
        <w:tabs>
          <w:tab w:val="right" w:leader="dot" w:pos="7920"/>
        </w:tabs>
        <w:spacing w:before="156" w:after="0" w:line="338" w:lineRule="exact"/>
        <w:ind w:left="720" w:right="1334"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5469</w:t>
      </w:r>
      <w:r>
        <w:t xml:space="preserve">   </w:t>
      </w:r>
      <w:r>
        <w:tab/>
      </w:r>
      <w:r>
        <w:t xml:space="preserve">15, 16, 17, 33</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5470</w:t>
      </w:r>
      <w:r>
        <w:t xml:space="preserve">   </w:t>
      </w:r>
      <w:r>
        <w:tab/>
      </w:r>
      <w:r>
        <w:t xml:space="preserve">16, 34</w:t>
      </w:r>
    </w:p>
    <w:p>
      <w:pPr>
        <w:keepLines/>
        <w:tabs>
          <w:tab w:val="right" w:leader="dot" w:pos="7920"/>
        </w:tabs>
        <w:spacing w:before="156" w:after="0" w:line="338" w:lineRule="exact"/>
        <w:ind w:left="720" w:right="1120"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5471</w:t>
      </w:r>
      <w:r>
        <w:t xml:space="preserve">   </w:t>
      </w:r>
      <w:r>
        <w:tab/>
      </w:r>
      <w:r>
        <w:rPr>
          <w:i/>
          <w:iCs/>
        </w:rPr>
        <w:t xml:space="preserve">passim</w:t>
      </w:r>
    </w:p>
    <w:p>
      <w:pPr>
        <w:keepLines/>
        <w:tabs>
          <w:tab w:val="right" w:leader="dot" w:pos="7920"/>
        </w:tabs>
        <w:spacing w:before="156" w:after="0" w:line="338" w:lineRule="exact"/>
        <w:ind w:left="720" w:right="1334" w:hanging="720"/>
      </w:pPr>
      <w:r>
        <w:t xml:space="preserve">Cal.</w:t>
      </w:r>
      <w:r>
        <w:t xml:space="preserve"> </w:t>
      </w:r>
      <w:r>
        <w:t xml:space="preserve">Code</w:t>
      </w:r>
      <w:r>
        <w:t xml:space="preserve"> </w:t>
      </w:r>
      <w:r>
        <w:t xml:space="preserve">Regs.,</w:t>
      </w:r>
      <w:r>
        <w:t xml:space="preserve"> </w:t>
      </w:r>
      <w:r>
        <w:t xml:space="preserve">tit.</w:t>
      </w:r>
      <w:r>
        <w:t xml:space="preserve"> </w:t>
      </w:r>
      <w:r>
        <w:t xml:space="preserve">11,</w:t>
      </w:r>
      <w:r>
        <w:t xml:space="preserve"> </w:t>
      </w:r>
      <w:r>
        <w:t xml:space="preserve">§</w:t>
      </w:r>
      <w:r>
        <w:t xml:space="preserve"> </w:t>
      </w:r>
      <w:r>
        <w:t xml:space="preserve">5477</w:t>
      </w:r>
      <w:r>
        <w:t xml:space="preserve">   </w:t>
      </w:r>
      <w:r>
        <w:tab/>
      </w:r>
      <w:r>
        <w:t xml:space="preserve">17, 21, 31, 41</w:t>
      </w:r>
    </w:p>
    <w:p>
      <w:pPr>
        <w:pageBreakBefore/>
        <w:spacing w:before="0" w:after="0" w:line="1" w:lineRule="exact"/>
      </w:pPr>
    </w:p>
    <w:p>
      <w:pPr>
        <w:keepNext/>
        <w:keepLines/>
        <w:spacing w:before="0" w:after="260" w:line="338" w:lineRule="exact"/>
        <w:ind w:left="0" w:firstLine="0"/>
        <w:jc w:val="center"/>
      </w:pPr>
      <w:r>
        <w:rPr>
          <w:b/>
          <w:bCs/>
        </w:rPr>
        <w:t xml:space="preserve">INTRODUCTION</w:t>
      </w:r>
    </w:p>
    <w:p>
      <w:pPr>
        <w:pStyle w:val="BodyText"/>
      </w:pPr>
      <w:r>
        <w:t xml:space="preserve">This appeal arises out of the lower court’s refusal to declare invalid and enjoin various regulations adopted by the California Department of Justice (DOJ) for either flouting the Administrative Procedure Act (APA) or for illegally altering the scope of statutes. While undeniably exempt from the APA in making regulations specific to implementing the “bullet-button assault weapon” registration process, DOJ wrongly interpreted that very narrow APA exemption as an invitation to bypass formal rulemaking to adopt a slew of regulations having tenuous, if any, connections to that process. In any event, DOJ never has authority to adopt regulations that alter the scope of statutes, as it has done here.</w:t>
      </w:r>
    </w:p>
    <w:p>
      <w:pPr>
        <w:pStyle w:val="BodyText"/>
      </w:pPr>
      <w:r>
        <w:t xml:space="preserve">In upholding the challenged regulations, the trial court gave undue deference to DOJ’s interpretation of the relevant APA exemption’s scope and ignored Appellants’ arguments that DOJ’s regulations unlawfully alter statutes. Not only is the trial court’s ruling contrary to law, but by endorsing DOJ’s actions it sends the perverse message to the state’s many regulatory bodies that the legal tools designed to provide “security against bureaucratic tyranny” when making regulations, like the APA, can be ignored with impunity. (</w:t>
      </w:r>
      <w:r>
        <w:rPr>
          <w:i/>
          <w:iCs/>
        </w:rPr>
        <w:t xml:space="preserve">Cal.</w:t>
      </w:r>
      <w:r>
        <w:rPr>
          <w:i/>
          <w:iCs/>
        </w:rPr>
        <w:t xml:space="preserve"> </w:t>
      </w:r>
      <w:r>
        <w:rPr>
          <w:i/>
          <w:iCs/>
        </w:rPr>
        <w:t xml:space="preserve">Advocates for Nursing Home Reform v. Bonta</w:t>
      </w:r>
      <w:r>
        <w:t xml:space="preserve">, 106 Cal.App.4th 498, 507-⁠508, as modified (Mar. 6, 2003).)</w:t>
      </w:r>
    </w:p>
    <w:p>
      <w:pPr>
        <w:pStyle w:val="BodyText"/>
      </w:pPr>
      <w:r>
        <w:t xml:space="preserve">The trial court’s earlier ruling erroneously sustaining DOJ’s demurrer is similarly problematic. Government</w:t>
      </w:r>
      <w:r>
        <w:t xml:space="preserve"> </w:t>
      </w:r>
      <w:r>
        <w:t xml:space="preserve">Code § 11350, subdivision (a) confers a statutory right to bring a declaratory relief action challenging the validity or the repeal of any regulation. Even so, the trial court rejected Appellants’ action seeking declaratory relief from DOJ’s regulations, construing it as a challenge to DOJ’s “administrative decision” to interpret the scope of its regulatory authority under the APA exemption rather than to the validity of the regulations themselves. In doing so, the trial court effectively nullified Government Code section 11350, subdivision (a). For every challenge to a regulation would be a challenge to the agency’s “administrative decision” to adopt it.</w:t>
      </w:r>
    </w:p>
    <w:p>
      <w:pPr>
        <w:pStyle w:val="BodyText"/>
      </w:pPr>
      <w:r>
        <w:t xml:space="preserve">Appellants thus implore this Court to correct the trial court’s error by reversing the order sustaining DOJ’s demurrer denying Appellants their statutory right to seek declaratory relief and the ruling on Appellants’ writ of mandate upholding the challenged regulations.</w:t>
      </w:r>
    </w:p>
    <w:p>
      <w:pPr>
        <w:keepNext/>
        <w:keepLines/>
        <w:spacing w:before="312" w:after="260" w:line="33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(1) Interested individuals are entitled to challenge the validity of any regulation through an action for declaratory relief. Mandamus is only required when challenging an agency’s discretionary “administrative decision.” Appellants brought a declaratory relief action to challenge several regulations adopted to implement the Assault Weapons Control Act (AWCA). Did the trial court err when it held that Appellants needed to bring a writ of mandate and not a declaratory relief action?</w:t>
      </w:r>
    </w:p>
    <w:p>
      <w:pPr>
        <w:pStyle w:val="BodyText"/>
      </w:pPr>
      <w:r>
        <w:t xml:space="preserve">(2) The APA requires DOJ to adhere to strict requirements to adopt regulations, unless compliance is clearly exempted. If it flouts APA procedures and lacks a clear exemption, the regulations are invalid. Relying on a narrow exemption for regulations implementing the “bullet-button assault weapon” registration process, DOJ adopted a slate of regulations aimed at implementing unrelated sections of the AWCA. Did the trial court err in upholding those regulations because they were exempt from APA procedures?</w:t>
      </w:r>
    </w:p>
    <w:p>
      <w:pPr>
        <w:pStyle w:val="BodyText"/>
      </w:pPr>
      <w:r>
        <w:t xml:space="preserve">(3) Alternatively, did the trial court err in holding that none of the regulations at issue unlawfully altered any statute?</w:t>
      </w:r>
    </w:p>
    <w:p>
      <w:pPr>
        <w:keepNext/>
        <w:keepLines/>
        <w:spacing w:before="312" w:after="260" w:line="33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APPEALABILITY</w:t>
      </w:r>
    </w:p>
    <w:p>
      <w:pPr>
        <w:pStyle w:val="BodyText"/>
      </w:pPr>
      <w:r>
        <w:t xml:space="preserve">This appeal is from the final judgment of the County of Fresno Superior Court denying the Appellant’s petition for writ of mandate, and for declaratory and injunctive relief. It is expressly authorized by California Code of Civil Procedure, section 904.1, subdivision (a)⁠(1).</w:t>
      </w:r>
    </w:p>
    <w:p>
      <w:pPr>
        <w:keepNext/>
        <w:keepLines/>
        <w:spacing w:before="312" w:after="260" w:line="338"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CASE</w:t>
      </w:r>
    </w:p>
    <w:p>
      <w:pPr>
        <w:keepNext/>
        <w:keepLines/>
        <w:spacing w:before="260" w:after="208" w:line="338" w:lineRule="exact"/>
        <w:ind w:left="720" w:hanging="720"/>
        <w:jc w:val="left"/>
      </w:pPr>
      <w:r>
        <w:rPr>
          <w:b/>
          <w:bCs/>
        </w:rPr>
        <w:t xml:space="preserve">I.</w:t>
      </w:r>
      <w:r>
        <w:rPr>
          <w:b/>
          <w:bCs/>
        </w:rPr>
        <w:tab/>
      </w:r>
      <w:r>
        <w:rPr>
          <w:b/>
          <w:bCs/>
        </w:rPr>
        <w:t xml:space="preserve">Factual</w:t>
      </w:r>
      <w:r>
        <w:rPr>
          <w:b/>
          <w:bCs/>
        </w:rPr>
        <w:t xml:space="preserve"> </w:t>
      </w:r>
      <w:r>
        <w:rPr>
          <w:b/>
          <w:bCs/>
        </w:rPr>
        <w:t xml:space="preserve">Background</w:t>
      </w:r>
    </w:p>
    <w:p>
      <w:pPr>
        <w:keepNext/>
        <w:keepLines/>
        <w:spacing w:before="260" w:after="208" w:line="338" w:lineRule="exact"/>
        <w:ind w:left="1440" w:hanging="720"/>
        <w:jc w:val="left"/>
      </w:pPr>
      <w:r>
        <w:rPr>
          <w:b/>
          <w:bCs/>
        </w:rPr>
        <w:t xml:space="preserve">A.</w:t>
      </w:r>
      <w:r>
        <w:rPr>
          <w:b/>
          <w:bCs/>
        </w:rPr>
        <w:tab/>
      </w:r>
      <w:r>
        <w:rPr>
          <w:b/>
          <w:bCs/>
        </w:rPr>
        <w:t xml:space="preserve">Relevant</w:t>
      </w:r>
      <w:r>
        <w:rPr>
          <w:b/>
          <w:bCs/>
        </w:rPr>
        <w:t xml:space="preserve"> </w:t>
      </w:r>
      <w:r>
        <w:rPr>
          <w:b/>
          <w:bCs/>
        </w:rPr>
        <w:t xml:space="preserve">Statutory</w:t>
      </w:r>
      <w:r>
        <w:rPr>
          <w:b/>
          <w:bCs/>
        </w:rPr>
        <w:t xml:space="preserve"> </w:t>
      </w:r>
      <w:r>
        <w:rPr>
          <w:b/>
          <w:bCs/>
        </w:rPr>
        <w:t xml:space="preserve">Law</w:t>
      </w:r>
    </w:p>
    <w:p>
      <w:pPr>
        <w:keepNext/>
        <w:keepLines/>
        <w:spacing w:before="260" w:after="208" w:line="338" w:lineRule="exact"/>
        <w:ind w:left="2160" w:hanging="720"/>
        <w:jc w:val="left"/>
      </w:pPr>
      <w:r>
        <w:rPr>
          <w:b/>
          <w:bCs/>
          <w:i/>
          <w:iCs/>
        </w:rPr>
        <w:t xml:space="preserve">1.</w:t>
      </w:r>
      <w:r>
        <w:rPr>
          <w:b/>
          <w:bCs/>
          <w:i/>
          <w:iCs/>
        </w:rPr>
        <w:tab/>
      </w:r>
      <w:r>
        <w:rPr>
          <w:b/>
          <w:bCs/>
          <w:i/>
          <w:iCs/>
        </w:rPr>
        <w:t xml:space="preserve">Administrative</w:t>
      </w:r>
      <w:r>
        <w:rPr>
          <w:b/>
          <w:bCs/>
          <w:i/>
          <w:iCs/>
        </w:rPr>
        <w:t xml:space="preserve"> </w:t>
      </w:r>
      <w:r>
        <w:rPr>
          <w:b/>
          <w:bCs/>
          <w:i/>
          <w:iCs/>
        </w:rPr>
        <w:t xml:space="preserve">Procedure</w:t>
      </w:r>
      <w:r>
        <w:rPr>
          <w:b/>
          <w:bCs/>
          <w:i/>
          <w:iCs/>
        </w:rPr>
        <w:t xml:space="preserve"> </w:t>
      </w:r>
      <w:r>
        <w:rPr>
          <w:b/>
          <w:bCs/>
          <w:i/>
          <w:iCs/>
        </w:rPr>
        <w:t xml:space="preserve">Act</w:t>
      </w:r>
      <w:r>
        <w:rPr>
          <w:b/>
          <w:bCs/>
          <w:i/>
          <w:iCs/>
        </w:rPr>
        <w:t xml:space="preserve"> </w:t>
      </w:r>
      <w:r>
        <w:rPr>
          <w:b/>
          <w:bCs/>
          <w:i/>
          <w:iCs/>
        </w:rPr>
        <w:t xml:space="preserve">(APA)</w:t>
      </w:r>
    </w:p>
    <w:p>
      <w:pPr>
        <w:pStyle w:val="BodyText"/>
      </w:pPr>
      <w:r>
        <w:t xml:space="preserve">The APA was enacted in response to an “unprecedented growth” in the number of administrative regulations, many of which were “unclear and unnecessarily complex, even when the complicated and technical nature of the subject matter is taken into account.” (Gov. Code,</w:t>
      </w:r>
      <w:r>
        <w:t xml:space="preserve"> </w:t>
      </w:r>
      <w:r>
        <w:t xml:space="preserve">§ 11340.) The APA provides a detailed statutory scheme for state agencies to follow when proposing and adopting regulations. (See Gov. Code,</w:t>
      </w:r>
      <w:r>
        <w:t xml:space="preserve"> </w:t>
      </w:r>
      <w:r>
        <w:t xml:space="preserve">§ 11340, et seq.) Specifically, the APA requires that for any regulation to be effective, it must “be within the scope of authority conferred and in accordance with standards prescribed by other provisions of law.” (Gov. Code,</w:t>
      </w:r>
      <w:r>
        <w:t xml:space="preserve"> </w:t>
      </w:r>
      <w:r>
        <w:t xml:space="preserve">§ 11342.1.) To have appropriate “authority,” a regulation must be supported by a provision of law that permits or obligates the agency to adopt, amend, or repeal the regulation. (Gov. Code,</w:t>
      </w:r>
      <w:r>
        <w:t xml:space="preserve"> </w:t>
      </w:r>
      <w:r>
        <w:t xml:space="preserve">§ 11349, subd. (b).)</w:t>
      </w:r>
    </w:p>
    <w:p>
      <w:pPr>
        <w:pStyle w:val="BodyText"/>
      </w:pPr>
      <w:r>
        <w:t xml:space="preserve">If a rule constitutes a “regulation,” and there is no statutory provision expressly excusing the agency from complying with the APA, the rule is invalid and cannot be enforced unless it is enacted in accordance with the APA’s procedural requirements. (See Gov. Code,</w:t>
      </w:r>
      <w:r>
        <w:t xml:space="preserve"> </w:t>
      </w:r>
      <w:r>
        <w:t xml:space="preserve">§ 11346.) “Any interested person may obtain a judicial declaration as to the validity of any regulation . . . by bringing an action for declaratory relief in the superior court in accordance with the Code of Civil Procedure.” (Gov. Code,</w:t>
      </w:r>
      <w:r>
        <w:t xml:space="preserve"> </w:t>
      </w:r>
      <w:r>
        <w:t xml:space="preserve">§ 11350, subd. (a).)</w:t>
      </w:r>
    </w:p>
    <w:p>
      <w:pPr>
        <w:keepNext/>
        <w:keepLines/>
        <w:spacing w:before="260" w:after="208" w:line="338" w:lineRule="exact"/>
        <w:ind w:left="216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Assault</w:t>
      </w:r>
      <w:r>
        <w:rPr>
          <w:b/>
          <w:bCs/>
          <w:i/>
          <w:iCs/>
        </w:rPr>
        <w:t xml:space="preserve"> </w:t>
      </w:r>
      <w:r>
        <w:rPr>
          <w:b/>
          <w:bCs/>
          <w:i/>
          <w:iCs/>
        </w:rPr>
        <w:t xml:space="preserve">Weapon</w:t>
      </w:r>
      <w:r>
        <w:rPr>
          <w:b/>
          <w:bCs/>
          <w:i/>
          <w:iCs/>
        </w:rPr>
        <w:t xml:space="preserve"> </w:t>
      </w:r>
      <w:r>
        <w:rPr>
          <w:b/>
          <w:bCs/>
          <w:i/>
          <w:iCs/>
        </w:rPr>
        <w:t xml:space="preserve">Control</w:t>
      </w:r>
      <w:r>
        <w:rPr>
          <w:b/>
          <w:bCs/>
          <w:i/>
          <w:iCs/>
        </w:rPr>
        <w:t xml:space="preserve"> </w:t>
      </w:r>
      <w:r>
        <w:rPr>
          <w:b/>
          <w:bCs/>
          <w:i/>
          <w:iCs/>
        </w:rPr>
        <w:t xml:space="preserve">Act</w:t>
      </w:r>
      <w:r>
        <w:rPr>
          <w:b/>
          <w:bCs/>
          <w:i/>
          <w:iCs/>
        </w:rPr>
        <w:t xml:space="preserve"> </w:t>
      </w:r>
      <w:r>
        <w:rPr>
          <w:b/>
          <w:bCs/>
          <w:i/>
          <w:iCs/>
        </w:rPr>
        <w:t xml:space="preserve">(AWCA)</w:t>
      </w:r>
    </w:p>
    <w:p>
      <w:pPr>
        <w:pStyle w:val="BodyText"/>
      </w:pPr>
      <w:r>
        <w:t xml:space="preserve">The AWCA makes it illegal to manufacture or cause to be manufactured, distribute, transport, or import into the state for sale, keep for sale, offer or expose for sale, or give, or lend an “assault weapon.” (Pen.</w:t>
      </w:r>
      <w:r>
        <w:t xml:space="preserve"> </w:t>
      </w:r>
      <w:r>
        <w:t xml:space="preserve">Code, § 30600, subd. (a).) A violation is punishable as a felony by imprisonment for four, six, or eight years. (</w:t>
      </w:r>
      <w:r>
        <w:rPr>
          <w:i/>
          <w:iCs/>
        </w:rPr>
        <w:t xml:space="preserve">Ibid.</w:t>
      </w:r>
      <w:r>
        <w:t xml:space="preserve">) The law also generally prohibits the possession of any “assault weapon.” (Pen.</w:t>
      </w:r>
      <w:r>
        <w:t xml:space="preserve"> </w:t>
      </w:r>
      <w:r>
        <w:t xml:space="preserve">Code, § 30605, subd. (a).) Violation of the possession restriction is punishable as either a misdemeanor or felony. (</w:t>
      </w:r>
      <w:r>
        <w:rPr>
          <w:i/>
          <w:iCs/>
        </w:rPr>
        <w:t xml:space="preserve">Ibid.</w:t>
      </w:r>
      <w:r>
        <w:t xml:space="preserve">)</w:t>
      </w:r>
    </w:p>
    <w:p>
      <w:pPr>
        <w:pStyle w:val="BodyText"/>
      </w:pPr>
      <w:r>
        <w:t xml:space="preserve">As described below, the class of firearms that California considers “assault weapons” has changed (and expanded) many times since the Legislature first enacted the AWCA in 1989.</w:t>
      </w:r>
    </w:p>
    <w:p>
      <w:pPr>
        <w:keepNext/>
        <w:keepLines/>
        <w:spacing w:before="260" w:after="208" w:line="338" w:lineRule="exact"/>
        <w:ind w:left="2880" w:hanging="720"/>
        <w:jc w:val="left"/>
      </w:pPr>
      <w:r>
        <w:rPr>
          <w:b/>
          <w:bCs/>
          <w:i/>
          <w:iCs/>
        </w:rPr>
        <w:t xml:space="preserve">a.</w:t>
      </w:r>
      <w:r>
        <w:rPr>
          <w:b/>
          <w:bCs/>
          <w:i/>
          <w:iCs/>
        </w:rPr>
        <w:tab/>
      </w:r>
      <w:r>
        <w:rPr>
          <w:b/>
          <w:bCs/>
          <w:i/>
          <w:iCs/>
        </w:rPr>
        <w:t xml:space="preserve">Category</w:t>
      </w:r>
      <w:r>
        <w:rPr>
          <w:b/>
          <w:bCs/>
          <w:i/>
          <w:iCs/>
        </w:rPr>
        <w:t xml:space="preserve"> </w:t>
      </w:r>
      <w:r>
        <w:rPr>
          <w:b/>
          <w:bCs/>
          <w:i/>
          <w:iCs/>
        </w:rPr>
        <w:t xml:space="preserve">1</w:t>
      </w:r>
      <w:r>
        <w:rPr>
          <w:b/>
          <w:bCs/>
          <w:i/>
          <w:iCs/>
        </w:rPr>
        <w:t xml:space="preserve"> </w:t>
      </w:r>
      <w:r>
        <w:rPr>
          <w:b/>
          <w:bCs/>
          <w:i/>
          <w:iCs/>
        </w:rPr>
        <w:t xml:space="preserve">and</w:t>
      </w:r>
      <w:r>
        <w:rPr>
          <w:b/>
          <w:bCs/>
          <w:i/>
          <w:iCs/>
        </w:rPr>
        <w:t xml:space="preserve"> </w:t>
      </w:r>
      <w:r>
        <w:rPr>
          <w:b/>
          <w:bCs/>
          <w:i/>
          <w:iCs/>
        </w:rPr>
        <w:t xml:space="preserve">Category</w:t>
      </w:r>
      <w:r>
        <w:rPr>
          <w:b/>
          <w:bCs/>
          <w:i/>
          <w:iCs/>
        </w:rPr>
        <w:t xml:space="preserve"> </w:t>
      </w:r>
      <w:r>
        <w:rPr>
          <w:b/>
          <w:bCs/>
          <w:i/>
          <w:iCs/>
        </w:rPr>
        <w:t xml:space="preserve">2</w:t>
      </w:r>
      <w:r>
        <w:rPr>
          <w:b/>
          <w:bCs/>
          <w:i/>
          <w:iCs/>
        </w:rPr>
        <w:t xml:space="preserve"> </w:t>
      </w:r>
      <w:r>
        <w:rPr>
          <w:b/>
          <w:bCs/>
          <w:i/>
          <w:iCs/>
        </w:rPr>
        <w:t xml:space="preserve">“Assault</w:t>
      </w:r>
      <w:r>
        <w:rPr>
          <w:b/>
          <w:bCs/>
          <w:i/>
          <w:iCs/>
        </w:rPr>
        <w:t xml:space="preserve"> </w:t>
      </w:r>
      <w:r>
        <w:rPr>
          <w:b/>
          <w:bCs/>
          <w:i/>
          <w:iCs/>
        </w:rPr>
        <w:t xml:space="preserve">Weapons”</w:t>
      </w:r>
    </w:p>
    <w:p>
      <w:pPr>
        <w:pStyle w:val="BodyTextNote"/>
      </w:pPr>
      <w:r>
        <w:t xml:space="preserve">As originally written, the AWCA declared some 55 firearms, listed by make and model, to be “assault weapons” under Penal</w:t>
      </w:r>
      <w:r>
        <w:t xml:space="preserve"> </w:t>
      </w:r>
      <w:r>
        <w:t xml:space="preserve">Code section 30520 (former section 12276.5).</w:t>
      </w:r>
      <w:r>
        <w:rPr>
          <w:rStyle w:val="FootnoteReference"/>
        </w:rPr>
        <w:footnoteReference w:id="9"/>
      </w:r>
      <w:r>
        <w:t xml:space="preserve"> </w:t>
      </w:r>
      <w:r>
        <w:t xml:space="preserve">In 1991, the legislature amended the AWCA to add several new firearms to that list. (Sen. Bill</w:t>
      </w:r>
      <w:r>
        <w:t xml:space="preserve"> </w:t>
      </w:r>
      <w:r>
        <w:t xml:space="preserve">No. 263 (1991-⁠1992 Reg. Sess.) § 2 [codified at Pen. Code, § 30510 (former § 12276)].) At that time, the legislature also adopted section 30520, subdivision (c) (former § 12276.5), conferring on DOJ the authority “to adopt those rules and regulations that may be necessary or proper to carry out the purposes and intent of [the AWCA].” (</w:t>
      </w:r>
      <w:r>
        <w:rPr>
          <w:i/>
          <w:iCs/>
        </w:rPr>
        <w:t xml:space="preserve">Id.</w:t>
      </w:r>
      <w:r>
        <w:t xml:space="preserve">, § 3.) The originally listed firearms, as well as the 1991 additions, are commonly known as “Category 1 assault weapons.”</w:t>
      </w:r>
    </w:p>
    <w:p>
      <w:pPr>
        <w:pStyle w:val="BodyText"/>
      </w:pPr>
      <w:r>
        <w:t xml:space="preserve">In 2000, the California Supreme Court clarified the requirements necessary for DOJ to add a firearm to the list of “assault weapons.” (</w:t>
      </w:r>
      <w:r>
        <w:rPr>
          <w:i/>
          <w:iCs/>
        </w:rPr>
        <w:t xml:space="preserve">Kasler</w:t>
      </w:r>
      <w:r>
        <w:rPr>
          <w:i/>
          <w:iCs/>
        </w:rPr>
        <w:t xml:space="preserve"> </w:t>
      </w:r>
      <w:r>
        <w:rPr>
          <w:i/>
          <w:iCs/>
        </w:rPr>
        <w:t xml:space="preserve">v. Lockyer</w:t>
      </w:r>
      <w:r>
        <w:t xml:space="preserve"> </w:t>
      </w:r>
      <w:r>
        <w:t xml:space="preserve">(2000) 23 Cal.4th 472.) Immediately afterward, DOJ added more than 60 firearms to the list. (See Cal. Code Regs., tit. 11, § 5499.) These firearms became known as “Category 2 assault weapons.” In 2006, the legislature repealed DOJ’s authority to add firearms to the list of “assault weapons.” (Assem. Bill No. 2728 (2005-⁠2006 Reg. Sess.).) The lists of Category 1 and 2 “assault weapons” thus became static.</w:t>
      </w:r>
    </w:p>
    <w:p>
      <w:pPr>
        <w:pStyle w:val="BodyTextNote"/>
      </w:pPr>
      <w:r>
        <w:t xml:space="preserve">Persons in possession of either Category 1 or Category 2 “assault weapons” before their classification as such had to register the firearms with DOJ before a date certain. (Pen.</w:t>
      </w:r>
      <w:r>
        <w:t xml:space="preserve"> </w:t>
      </w:r>
      <w:r>
        <w:t xml:space="preserve">Code, § 30960, subd. (a) (former § 12285, subd. (f)).) To register a “Category 1 assault weapon,” individuals completed a registration form under penalty of perjury and provided a thumbprint, a $20 fee, and specific information about their firearm, including the serial number, make, model, and caliber.</w:t>
      </w:r>
      <w:r>
        <w:rPr>
          <w:rStyle w:val="FootnoteReference"/>
        </w:rPr>
        <w:footnoteReference w:id="10"/>
      </w:r>
      <w:r>
        <w:t xml:space="preserve"> </w:t>
      </w:r>
      <w:r>
        <w:t xml:space="preserve">Category 2 registration was largely the same. (See former Cal. Code Regs., tit. 11, §§ 978.30–⁠978.31 [renumbered as §§ 5470 and 5471 in 2006].) The respective dates for registering these firearms have long since passed and, with the exception of peace officer, it is no longer possible to register Category 1 or 2 “assault weapons.” Individuals who still possess such firearms may do so only if they properly registered them before the deadline.</w:t>
      </w:r>
    </w:p>
    <w:p>
      <w:pPr>
        <w:keepNext/>
        <w:keepLines/>
        <w:spacing w:before="260" w:after="208" w:line="338" w:lineRule="exact"/>
        <w:ind w:left="2880" w:hanging="720"/>
        <w:jc w:val="left"/>
      </w:pPr>
      <w:r>
        <w:rPr>
          <w:b/>
          <w:bCs/>
          <w:i/>
          <w:iCs/>
        </w:rPr>
        <w:t xml:space="preserve">b.</w:t>
      </w:r>
      <w:r>
        <w:rPr>
          <w:b/>
          <w:bCs/>
          <w:i/>
          <w:iCs/>
        </w:rPr>
        <w:tab/>
      </w:r>
      <w:r>
        <w:rPr>
          <w:b/>
          <w:bCs/>
          <w:i/>
          <w:iCs/>
        </w:rPr>
        <w:t xml:space="preserve">Category</w:t>
      </w:r>
      <w:r>
        <w:rPr>
          <w:b/>
          <w:bCs/>
          <w:i/>
          <w:iCs/>
        </w:rPr>
        <w:t xml:space="preserve"> </w:t>
      </w:r>
      <w:r>
        <w:rPr>
          <w:b/>
          <w:bCs/>
          <w:i/>
          <w:iCs/>
        </w:rPr>
        <w:t xml:space="preserve">3</w:t>
      </w:r>
      <w:r>
        <w:rPr>
          <w:b/>
          <w:bCs/>
          <w:i/>
          <w:iCs/>
        </w:rPr>
        <w:t xml:space="preserve"> </w:t>
      </w:r>
      <w:r>
        <w:rPr>
          <w:b/>
          <w:bCs/>
          <w:i/>
          <w:iCs/>
        </w:rPr>
        <w:t xml:space="preserve">“Assault</w:t>
      </w:r>
      <w:r>
        <w:rPr>
          <w:b/>
          <w:bCs/>
          <w:i/>
          <w:iCs/>
        </w:rPr>
        <w:t xml:space="preserve"> </w:t>
      </w:r>
      <w:r>
        <w:rPr>
          <w:b/>
          <w:bCs/>
          <w:i/>
          <w:iCs/>
        </w:rPr>
        <w:t xml:space="preserve">Weapons”</w:t>
      </w:r>
    </w:p>
    <w:p>
      <w:pPr>
        <w:pStyle w:val="BodyTextNote"/>
      </w:pPr>
      <w:r>
        <w:t xml:space="preserve">In 1999, the legislature again amended the AWCA to expand the definition of an “assault weapon.” Unlike Category 1 and 2 “assault weapons,” which are listed by make and model, the legislature crafted a new definition—identifying firearms based on their features and configuration. (Sen. Bill</w:t>
      </w:r>
      <w:r>
        <w:t xml:space="preserve"> </w:t>
      </w:r>
      <w:r>
        <w:t xml:space="preserve">No. 23 (1999-⁠2000 Reg. Sess.) [codified at Pen. Code, § 30515 (former § 12276.1)].) Firearms meeting this definition became known as “Category 3 assault weapons.” They included semiautomatic rifles, pistols, and shotguns with “the capacity to accept a detachable magazine” and at least one of several “features,” like a pistol grip, thumbhole stock, folding or telescoping stock, grenade or flare launcher, flash suppressor, or a forward pistol grip. (</w:t>
      </w:r>
      <w:r>
        <w:rPr>
          <w:i/>
          <w:iCs/>
        </w:rPr>
        <w:t xml:space="preserve">Id.</w:t>
      </w:r>
      <w:r>
        <w:t xml:space="preserve">, § 30515, subd. (a), bold and italics added; see also Appx. at p. 47 [for the full text of section 30515, subdivision (a) (1999)].) As with Category 1 and 2 “assault weapons,” persons in possession of Category 3 firearms before their classification as “assault weapons” had to register them with DOJ.</w:t>
      </w:r>
      <w:r>
        <w:rPr>
          <w:rStyle w:val="FootnoteReference"/>
        </w:rPr>
        <w:footnoteReference w:id="11"/>
      </w:r>
      <w:r>
        <w:t xml:space="preserve"> </w:t>
      </w:r>
      <w:r>
        <w:t xml:space="preserve">The period for registering Category 3 firearms closed on December 31, 2001. So individuals who still possess such firearms may do so only if they properly registered them before the deadline.</w:t>
      </w:r>
    </w:p>
    <w:p>
      <w:pPr>
        <w:pStyle w:val="BodyText"/>
      </w:pPr>
      <w:r>
        <w:t xml:space="preserve">Interestingly, because the law identifies Category 3 firearms by their features, DOJ adopted APA-compliant regulations defining several terms used to identify these “assault weapons” under Penal</w:t>
      </w:r>
      <w:r>
        <w:t xml:space="preserve"> </w:t>
      </w:r>
      <w:r>
        <w:t xml:space="preserve">Code section 30520, subdivision (c)⁠(1), its general authority to adopt AWCA regulations. (See Cal. Code Regs., tit. 11, § 978.20 (2000) [renumbered to section 5469 in 2006; repealed and replaced in 2017]; see also J.A. II 287-⁠291.) DOJ reasoned that the regulations were “necessary to promote a clear understanding” of the new laws. (Cal. Dept. of Justice, Initial Statement of Reasons https://​www.​oag.​ca.​gov/​sites/​all/​files/​agweb/​pdfs/​firearms/​regs/​isor.​pdf.)</w:t>
      </w:r>
    </w:p>
    <w:p>
      <w:pPr>
        <w:keepNext/>
        <w:keepLines/>
        <w:spacing w:before="260" w:after="208" w:line="338" w:lineRule="exact"/>
        <w:ind w:left="2880" w:hanging="720"/>
        <w:jc w:val="left"/>
      </w:pPr>
      <w:r>
        <w:rPr>
          <w:b/>
          <w:bCs/>
          <w:i/>
          <w:iCs/>
        </w:rPr>
        <w:t xml:space="preserve">c.</w:t>
      </w:r>
      <w:r>
        <w:rPr>
          <w:b/>
          <w:bCs/>
          <w:i/>
          <w:iCs/>
        </w:rPr>
        <w:tab/>
      </w:r>
      <w:r>
        <w:rPr>
          <w:b/>
          <w:bCs/>
          <w:i/>
          <w:iCs/>
        </w:rPr>
        <w:t xml:space="preserve">“Bullet-button</w:t>
      </w:r>
      <w:r>
        <w:rPr>
          <w:b/>
          <w:bCs/>
          <w:i/>
          <w:iCs/>
        </w:rPr>
        <w:t xml:space="preserve"> </w:t>
      </w:r>
      <w:r>
        <w:rPr>
          <w:b/>
          <w:bCs/>
          <w:i/>
          <w:iCs/>
        </w:rPr>
        <w:t xml:space="preserve">Assault</w:t>
      </w:r>
      <w:r>
        <w:rPr>
          <w:b/>
          <w:bCs/>
          <w:i/>
          <w:iCs/>
        </w:rPr>
        <w:t xml:space="preserve"> </w:t>
      </w:r>
      <w:r>
        <w:rPr>
          <w:b/>
          <w:bCs/>
          <w:i/>
          <w:iCs/>
        </w:rPr>
        <w:t xml:space="preserve">Weapons”</w:t>
      </w:r>
    </w:p>
    <w:p>
      <w:pPr>
        <w:pStyle w:val="BodyText"/>
      </w:pPr>
      <w:r>
        <w:t xml:space="preserve">Because “Category 3 assault weapons” must have “the capacity to accept a detachable magazine,” owners of semiautomatic firearms who preferred to keep safety and accuracy-enhancing features like pistol grips, thumbhole stocks, flash suppressors, or adjustable stocks could keep their firearms with these features from being classified as an “assault weapon” by disabling their capacity to accept a detachable magazine. To do so, they typically retrofitted their firearms with an aftermarket product called a “magazine lock.”</w:t>
      </w:r>
    </w:p>
    <w:p>
      <w:pPr>
        <w:pStyle w:val="BodyText"/>
      </w:pPr>
      <w:r>
        <w:t xml:space="preserve">While the standard release for a “detachable magazine” operates with the push of a finger, the typical “magazine lock” replaces the one-piece magazine release with a two-piece assembly requiring the use of a “tool” to access the magazine release button. One of the most common of the “magazine locks” was the “bullet button.” So named because the firearm operator could push the magazine release button using a bullet, once expressly considered a “tool” by California law. (See Cal. Code Regs., tit. 11, § 978.20 (repealed); see also J.A. II 288; J.A. IV 2307.) Because the “bullet button” required a tool to release the magazine, and because California did not consider a magazine “detachable” if a tool was so required (J.A. IV 1207), firearms equipped with a “bullet button” did not have “the capacity to accept a detachable magazine” (Pen.</w:t>
      </w:r>
      <w:r>
        <w:t xml:space="preserve"> </w:t>
      </w:r>
      <w:r>
        <w:t xml:space="preserve">Code, § 30515, subd. (a) (1999)). And thus, they did not qualify as Category 3 “assault weapons” subject to the AWCA. (</w:t>
      </w:r>
      <w:r>
        <w:rPr>
          <w:i/>
          <w:iCs/>
        </w:rPr>
        <w:t xml:space="preserve">Ibid.</w:t>
      </w:r>
      <w:r>
        <w:t xml:space="preserve">)</w:t>
      </w:r>
    </w:p>
    <w:p>
      <w:pPr>
        <w:pStyle w:val="BodyTextNote"/>
      </w:pPr>
      <w:r>
        <w:t xml:space="preserve">In 2016, however, the legislature introduced Assembly Bill 1135 and Senate Bill 880, which once again amended the definition of an “assault weapon,” but only as to rifles and pistols. (Assem. Bill No. 1135 (2015-⁠2016 Reg. Sess.) § 1; Sen. Bill No. 880 (2015-⁠2016 Reg. Sess.) § 1; see also Pen.</w:t>
      </w:r>
      <w:r>
        <w:t xml:space="preserve"> </w:t>
      </w:r>
      <w:r>
        <w:t xml:space="preserve">Code, § 30515 (2016); see also Appx. at pp. 48-⁠49 [for full text of section 30515, subdivisions (a)-(b) (2016)].)</w:t>
      </w:r>
      <w:r>
        <w:rPr>
          <w:rStyle w:val="FootnoteReference"/>
        </w:rPr>
        <w:footnoteReference w:id="12"/>
      </w:r>
      <w:r>
        <w:t xml:space="preserve"> </w:t>
      </w:r>
      <w:r>
        <w:t xml:space="preserve">Both bills left the “assault weapon” definitions for shotguns unchanged. (Assem. Bill No. 1135 (2015-⁠2016 Reg. Sess.) § 1; Sen. Bill No. 880 (2015-⁠2016 Reg. Sess.) § 1.) The bills’ purpose was to make equipping a rifle or pistol with a “magazine lock,” including a “bullet button,” an insufficient alteration to exempt that firearm from the AWCA. Firearms now classified as “assault weapons” under AB 1135 and SB 880 are called “bullet-button assault weapons.”</w:t>
      </w:r>
    </w:p>
    <w:p>
      <w:pPr>
        <w:pStyle w:val="BodyText"/>
      </w:pPr>
      <w:r>
        <w:t xml:space="preserve">The law has prohibited sale, transfer, and manufacture of these firearms since January 1, 2017. (Pen.</w:t>
      </w:r>
      <w:r>
        <w:t xml:space="preserve"> </w:t>
      </w:r>
      <w:r>
        <w:t xml:space="preserve">Code, § 30600.) But because prior “assault weapon” registration periods have long been closed, the legislature also enacted Penal</w:t>
      </w:r>
      <w:r>
        <w:t xml:space="preserve"> </w:t>
      </w:r>
      <w:r>
        <w:t xml:space="preserve">Code section 30900, subdivision (b), opening a new registration window for “bullet-button assault weapons” so that existing owners could continue to possess them lawfully. This new subdivision lays out several express requirements for the registration of “bullet-button assault weapons,” but also directed DOJ to “adopt regulations for the purpose of implementing this subdivision.” (Pen. Code, § 30900, subd. (b) (“Subdivision (b)”), italics added.) AB 1135 and SB 880 made clear that Subdivision (b) “assault weapon” registration regulations are exempt from the APA. (</w:t>
      </w:r>
      <w:r>
        <w:rPr>
          <w:i/>
          <w:iCs/>
        </w:rPr>
        <w:t xml:space="preserve">Id.</w:t>
      </w:r>
      <w:r>
        <w:t xml:space="preserve">, § 30900, subd. (b)⁠(5).) But they left unchanged section</w:t>
      </w:r>
      <w:r>
        <w:t xml:space="preserve"> </w:t>
      </w:r>
      <w:r>
        <w:t xml:space="preserve">30520, subdivision (c), the provision conferring regulatory authority on DOJ to implement the broader provisions of the AWCA under the APA rulemaking procedures.</w:t>
      </w:r>
    </w:p>
    <w:p>
      <w:pPr>
        <w:pStyle w:val="BodyText"/>
      </w:pPr>
      <w:r>
        <w:t xml:space="preserve">Individuals who currently possess a “bullet-button assault weapon” can only legally do so if they lawfully acquired and possessed it before January 1, 2017, and properly registered it by July 1, 2018. With the registration period for these firearms now closed, it is illegal to possess an unregistered “bullet-button assault weapon,” even if it were lawfully acquired. (Pen.</w:t>
      </w:r>
      <w:r>
        <w:t xml:space="preserve"> </w:t>
      </w:r>
      <w:r>
        <w:t xml:space="preserve">Code, §§ 30605, 30680.)</w:t>
      </w:r>
    </w:p>
    <w:p>
      <w:pPr>
        <w:keepNext/>
        <w:keepLines/>
        <w:spacing w:before="260" w:after="208" w:line="338" w:lineRule="exact"/>
        <w:ind w:left="1440" w:hanging="720"/>
        <w:jc w:val="left"/>
      </w:pPr>
      <w:r>
        <w:rPr>
          <w:b/>
          <w:bCs/>
        </w:rPr>
        <w:t xml:space="preserve">B.</w:t>
      </w:r>
      <w:r>
        <w:rPr>
          <w:b/>
          <w:bCs/>
        </w:rPr>
        <w:tab/>
      </w:r>
      <w:r>
        <w:rPr>
          <w:b/>
          <w:bCs/>
        </w:rPr>
        <w:t xml:space="preserve">DOJ’s</w:t>
      </w:r>
      <w:r>
        <w:rPr>
          <w:b/>
          <w:bCs/>
        </w:rPr>
        <w:t xml:space="preserve"> </w:t>
      </w:r>
      <w:r>
        <w:rPr>
          <w:b/>
          <w:bCs/>
        </w:rPr>
        <w:t xml:space="preserve">AWCA</w:t>
      </w:r>
      <w:r>
        <w:rPr>
          <w:b/>
          <w:bCs/>
        </w:rPr>
        <w:t xml:space="preserve"> </w:t>
      </w:r>
      <w:r>
        <w:rPr>
          <w:b/>
          <w:bCs/>
        </w:rPr>
        <w:t xml:space="preserve">Regulatory</w:t>
      </w:r>
      <w:r>
        <w:rPr>
          <w:b/>
          <w:bCs/>
        </w:rPr>
        <w:t xml:space="preserve"> </w:t>
      </w:r>
      <w:r>
        <w:rPr>
          <w:b/>
          <w:bCs/>
        </w:rPr>
        <w:t xml:space="preserve">Activity</w:t>
      </w:r>
    </w:p>
    <w:p>
      <w:pPr>
        <w:keepNext/>
        <w:keepLines/>
        <w:spacing w:before="260" w:after="208" w:line="338"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Original</w:t>
      </w:r>
      <w:r>
        <w:rPr>
          <w:b/>
          <w:bCs/>
          <w:i/>
          <w:iCs/>
        </w:rPr>
        <w:t xml:space="preserve"> </w:t>
      </w:r>
      <w:r>
        <w:rPr>
          <w:b/>
          <w:bCs/>
          <w:i/>
          <w:iCs/>
        </w:rPr>
        <w:t xml:space="preserve">AWCA</w:t>
      </w:r>
      <w:r>
        <w:rPr>
          <w:b/>
          <w:bCs/>
          <w:i/>
          <w:iCs/>
        </w:rPr>
        <w:t xml:space="preserve"> </w:t>
      </w:r>
      <w:r>
        <w:rPr>
          <w:b/>
          <w:bCs/>
          <w:i/>
          <w:iCs/>
        </w:rPr>
        <w:t xml:space="preserve">Regulations</w:t>
      </w:r>
    </w:p>
    <w:p>
      <w:pPr>
        <w:pStyle w:val="BodyText"/>
      </w:pPr>
      <w:r>
        <w:t xml:space="preserve">In 2000, DOJ went through the APA process, including holding public hearings and a public comment period, to adopt implementing regulations for the then-recently amended AWCA. That process resulted in significant amendments to most of the provisions that DOJ originally proposed. (See J.A. II 287-⁠291.) And, ultimately, DOJ adopted a regulation defining the following “assault weapon” terms: “detachable magazine,” “flash suppressor,” “forward pistol grip,” “pistol grip that protrudes conspicuously beneath the action of the weapon,” and “thumbhole stock.” (See Cal.</w:t>
      </w:r>
      <w:r>
        <w:t xml:space="preserve"> </w:t>
      </w:r>
      <w:r>
        <w:t xml:space="preserve">Code Regs., tit. 11, § 978.20 (repealed); see also J.A. II 287-⁠291.) Each of those definitional regulations was expressly and exclusively adopted to “identif[y] . . . assault weapons pursuant to Penal Code section 30515.” (Cal. Code Regs., tit. 11 § 978.20 (repealed).)</w:t>
      </w:r>
    </w:p>
    <w:p>
      <w:pPr>
        <w:keepNext/>
        <w:keepLines/>
        <w:spacing w:before="260" w:after="208" w:line="338" w:lineRule="exact"/>
        <w:ind w:left="216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AWCA</w:t>
      </w:r>
      <w:r>
        <w:rPr>
          <w:b/>
          <w:bCs/>
          <w:i/>
          <w:iCs/>
        </w:rPr>
        <w:t xml:space="preserve"> </w:t>
      </w:r>
      <w:r>
        <w:rPr>
          <w:b/>
          <w:bCs/>
          <w:i/>
          <w:iCs/>
        </w:rPr>
        <w:t xml:space="preserve">Regulations</w:t>
      </w:r>
    </w:p>
    <w:p>
      <w:pPr>
        <w:pStyle w:val="BodyText"/>
      </w:pPr>
      <w:r>
        <w:t xml:space="preserve">DOJ first submitted a package of proposed regulations to the Office of Administrative Law (OAL) to implement Subdivision (b) in December 2016. It submitted that package per the “File and Print” procedure, meaning the DOJ determined that the package was exempt from the APA and would not be subject to public comment or any of the APA requirements meant to ensure regulatory accountability and transparency. (J.A. IV 1492.)</w:t>
      </w:r>
    </w:p>
    <w:p>
      <w:pPr>
        <w:pStyle w:val="BodyTextNote"/>
      </w:pPr>
      <w:r>
        <w:t xml:space="preserve">The proposed package included several provisions that did qualify for Subdivision (b)’s APA exemption. Appellants do not challenge those regulations here. But many of its provisions have no connection to Subdivision (b), for they have nothing to do with registration procedures. (See Pen.</w:t>
      </w:r>
      <w:r>
        <w:t xml:space="preserve"> </w:t>
      </w:r>
      <w:r>
        <w:t xml:space="preserve">Code, § 30900, subd. (b)⁠(1)-(4).) And they illegally alter various statutory provisions. The objectionable provisions at the heart of this case (the “Challenged Regulations”) are as follows:</w:t>
      </w:r>
      <w:r>
        <w:rPr>
          <w:rStyle w:val="FootnoteReference"/>
        </w:rPr>
        <w:footnoteReference w:id="13"/>
      </w:r>
    </w:p>
    <w:p>
      <w:pPr>
        <w:pStyle w:val="BodyText"/>
      </w:pPr>
      <w:r>
        <w:t xml:space="preserve">(1) Cal.</w:t>
      </w:r>
      <w:r>
        <w:t xml:space="preserve"> </w:t>
      </w:r>
      <w:r>
        <w:t xml:space="preserve">Code Regs, tit. 11, § 5469: Repealing and replacing existing regulations defining terms for “assault weapons” under Penal Code section 30515, which were lawfully adopted according to APA rulemaking requirements (see J.A. IV 1496);</w:t>
      </w:r>
    </w:p>
    <w:p>
      <w:pPr>
        <w:pStyle w:val="BodyText"/>
      </w:pPr>
      <w:r>
        <w:t xml:space="preserve">(2) Cal.</w:t>
      </w:r>
      <w:r>
        <w:t xml:space="preserve"> </w:t>
      </w:r>
      <w:r>
        <w:t xml:space="preserve">Code Regs, tit. 11, § 5470, subd. (d): Requiring “bullet button” shotguns to be registered, despite not falling under any definition of “assault weapon” (see Pen.</w:t>
      </w:r>
      <w:r>
        <w:t xml:space="preserve"> </w:t>
      </w:r>
      <w:r>
        <w:t xml:space="preserve">Code, § 30515, subd. (a)⁠(6)-(7));</w:t>
      </w:r>
    </w:p>
    <w:p>
      <w:pPr>
        <w:pStyle w:val="BodyText"/>
      </w:pPr>
      <w:r>
        <w:t xml:space="preserve">(3) Cal.</w:t>
      </w:r>
      <w:r>
        <w:t xml:space="preserve"> </w:t>
      </w:r>
      <w:r>
        <w:t xml:space="preserve">Code Regs, tit. 11, § 5471: Creating over 40 new definitions for terms—the majority of which are not related to the terms amended under AB 1135 or SB 880, and several of which expand the scope of the AWCA, including subdivisions (a) and (pp), which define terms relating to magazine systems that cause certain shotguns to be required to be registered, despite not being “assault weapons”—and subdivisions (d) and (x)—defining terms relating to “barrel length” and “overall length” that do not apply to “assault weapons” affected by AB 1135 and SB 880;</w:t>
      </w:r>
    </w:p>
    <w:p>
      <w:pPr>
        <w:pStyle w:val="BodyText"/>
      </w:pPr>
      <w:r>
        <w:t xml:space="preserve">(4) Cal.</w:t>
      </w:r>
      <w:r>
        <w:t xml:space="preserve"> </w:t>
      </w:r>
      <w:r>
        <w:t xml:space="preserve">Code Regs, tit. 11, §§ 5472, subds. (f)-(g), and 5474.2: Requiring that firearms lacking a manufacturer’s serial number have a DOJ-approved serial number inscribed on them as a condition of registration;</w:t>
      </w:r>
    </w:p>
    <w:p>
      <w:pPr>
        <w:pStyle w:val="BodyText"/>
      </w:pPr>
      <w:r>
        <w:t xml:space="preserve">(5) Cal.</w:t>
      </w:r>
      <w:r>
        <w:t xml:space="preserve"> </w:t>
      </w:r>
      <w:r>
        <w:t xml:space="preserve">Code Regs, tit. 11, § 5473, subd. (b)⁠(1): Requiring that registrants agree to hold DOJ harmless “for any indirect, incidental, special, or consequential damages” suffered as a result of registering a firearm;</w:t>
      </w:r>
    </w:p>
    <w:p>
      <w:pPr>
        <w:pStyle w:val="BodyText"/>
      </w:pPr>
      <w:r>
        <w:t xml:space="preserve">(6) Cal.</w:t>
      </w:r>
      <w:r>
        <w:t xml:space="preserve"> </w:t>
      </w:r>
      <w:r>
        <w:t xml:space="preserve">Code Regs, tit. 11, §§ 5474, subds. (a) &amp; (c) and 5478, subd. (a)⁠(2): Requiring registrants to provide U.S. citizenship status, place of birth, country of citizenship, alien registration number or I-⁠94, and “clear digital photographs” of the firearms to be registered;</w:t>
      </w:r>
    </w:p>
    <w:p>
      <w:pPr>
        <w:pStyle w:val="BodyText"/>
      </w:pPr>
      <w:r>
        <w:t xml:space="preserve">(7) Cal.</w:t>
      </w:r>
      <w:r>
        <w:t xml:space="preserve"> </w:t>
      </w:r>
      <w:r>
        <w:t xml:space="preserve">Code Regs, tit. 11, § 5474.1, subds. (b)-(c): Restricting the statutory definition of the term “family members” who qualify for joint-registration under Penal</w:t>
      </w:r>
      <w:r>
        <w:t xml:space="preserve"> </w:t>
      </w:r>
      <w:r>
        <w:t xml:space="preserve">Code section 30955 and requiring documentation from a joint registrant to prove a common address; and</w:t>
      </w:r>
    </w:p>
    <w:p>
      <w:pPr>
        <w:pStyle w:val="BodyText"/>
      </w:pPr>
      <w:r>
        <w:t xml:space="preserve">(8) Cal.</w:t>
      </w:r>
      <w:r>
        <w:t xml:space="preserve"> </w:t>
      </w:r>
      <w:r>
        <w:t xml:space="preserve">Code Regs, tit. 11, § 5477: Prohibiting removal of the “release mechanism for an ammunition feeding device on an assault weapon pursuant to Penal Code section 30900(b)⁠(1) . . . after the assault weapon is registered.”</w:t>
      </w:r>
    </w:p>
    <w:p>
      <w:pPr>
        <w:pStyle w:val="BodyTextNote"/>
      </w:pPr>
      <w:r>
        <w:t xml:space="preserve">Only after DOJ voluntarily withdrew the first package and the OAL rejected a second (nearly identical) package, did OAL finally approve DOJ’s third “File and Print” submission of the proposed regulations. (J.A. IV 1494-⁠1495.)</w:t>
      </w:r>
      <w:r>
        <w:rPr>
          <w:rStyle w:val="FootnoteReference"/>
        </w:rPr>
        <w:footnoteReference w:id="14"/>
      </w:r>
      <w:r>
        <w:t xml:space="preserve"> </w:t>
      </w:r>
      <w:r>
        <w:t xml:space="preserve">The adopted package was nearly identical to DOJ’s original proposal. The only substantive changes were: (1) an extension of the registration deadline from January 1 to July 1, 2018 (Cal.</w:t>
      </w:r>
      <w:r>
        <w:t xml:space="preserve"> </w:t>
      </w:r>
      <w:r>
        <w:t xml:space="preserve">Code Regs., tit. 11, § 5469); and (2) a clarification that the proposed definitions applied only Section 30900, subdivision (b) registration and not to section 30515 generally (Cal.</w:t>
      </w:r>
      <w:r>
        <w:t xml:space="preserve"> </w:t>
      </w:r>
      <w:r>
        <w:t xml:space="preserve">Code Regs, tit. 11, § 5471).</w:t>
      </w:r>
    </w:p>
    <w:p>
      <w:pPr>
        <w:pStyle w:val="BodyText"/>
      </w:pPr>
      <w:r>
        <w:t xml:space="preserve">But this limitation did not stop DOJ from ultimately expanding the application of their definitions. Unable to use their limited APA exemption under Subsection (b) to adopt regulations for broader AWCA purposes, DOJ proposed another regulation in November 2017 that simply read: “The definitions of terms in section 5471 of this chapter shall apply to the identification of assault weapons pursuant to Penal Code section 30515.” (Cal.</w:t>
      </w:r>
      <w:r>
        <w:t xml:space="preserve"> </w:t>
      </w:r>
      <w:r>
        <w:t xml:space="preserve">Code Regs., tit. 11, § 5460.) Read together with section 5471, this new regulation effectively nullified the requirement, under section 30520, that AWCA regulations are generally subject to the APA. For the public had no meaningful opportunity to comment on the proposed definitions because DOJ earlier adopted them through the “File and Print” procedure. The OAL approved the regulation anyway. (</w:t>
      </w:r>
      <w:r>
        <w:rPr>
          <w:i/>
          <w:iCs/>
        </w:rPr>
        <w:t xml:space="preserve">Ibid.</w:t>
      </w:r>
      <w:r>
        <w:t xml:space="preserve">)</w:t>
      </w:r>
    </w:p>
    <w:p>
      <w:pPr>
        <w:keepNext/>
        <w:keepLines/>
        <w:spacing w:before="260" w:after="208" w:line="338" w:lineRule="exact"/>
        <w:ind w:left="720" w:hanging="720"/>
        <w:jc w:val="left"/>
      </w:pPr>
      <w:r>
        <w:rPr>
          <w:b/>
          <w:bCs/>
        </w:rPr>
        <w:t xml:space="preserve">II.</w:t>
      </w:r>
      <w:r>
        <w:rPr>
          <w:b/>
          <w:bCs/>
        </w:rPr>
        <w:tab/>
      </w:r>
      <w:r>
        <w:rPr>
          <w:b/>
          <w:bCs/>
        </w:rPr>
        <w:t xml:space="preserve">Case</w:t>
      </w:r>
      <w:r>
        <w:rPr>
          <w:b/>
          <w:bCs/>
        </w:rPr>
        <w:t xml:space="preserve"> </w:t>
      </w:r>
      <w:r>
        <w:rPr>
          <w:b/>
          <w:bCs/>
        </w:rPr>
        <w:t xml:space="preserve">Background</w:t>
      </w:r>
    </w:p>
    <w:p>
      <w:pPr>
        <w:keepNext/>
        <w:keepLines/>
        <w:spacing w:before="260" w:after="208" w:line="338" w:lineRule="exact"/>
        <w:ind w:left="1440" w:hanging="720"/>
        <w:jc w:val="left"/>
      </w:pPr>
      <w:r>
        <w:rPr>
          <w:b/>
          <w:bCs/>
        </w:rPr>
        <w:t xml:space="preserve">A.</w:t>
      </w:r>
      <w:r>
        <w:rPr>
          <w:b/>
          <w:bCs/>
        </w:rPr>
        <w:tab/>
      </w:r>
      <w:r>
        <w:rPr>
          <w:b/>
          <w:bCs/>
        </w:rPr>
        <w:t xml:space="preserve">Procedural</w:t>
      </w:r>
      <w:r>
        <w:rPr>
          <w:b/>
          <w:bCs/>
        </w:rPr>
        <w:t xml:space="preserve"> </w:t>
      </w:r>
      <w:r>
        <w:rPr>
          <w:b/>
          <w:bCs/>
        </w:rPr>
        <w:t xml:space="preserve">History</w:t>
      </w:r>
    </w:p>
    <w:p>
      <w:pPr>
        <w:pStyle w:val="BodyText"/>
      </w:pPr>
      <w:r>
        <w:t xml:space="preserve">Appellants filed a complaint in Fresno Superior Court seeking declaratory and injunctive relief under Government</w:t>
      </w:r>
      <w:r>
        <w:t xml:space="preserve"> </w:t>
      </w:r>
      <w:r>
        <w:t xml:space="preserve">Code section 11350, subdivision (a). They asked the court to declare the Challenged Regulations invalid and enjoin their enforcement because they (1) had to be, but were not, adopted in compliance with the APA; and (2) improperly altered the scope of statutory law.</w:t>
      </w:r>
    </w:p>
    <w:p>
      <w:pPr>
        <w:pStyle w:val="BodyTextNote"/>
      </w:pPr>
      <w:r>
        <w:t xml:space="preserve">Citing two grounds, DOJ demurred. First, DOJ argued that a declaratory relief action was improper because Appellants were not challenging regulations but DOJ’s “administrative decision” to adopt those regulations, which can be reviewed only by a writ of mandate. (J.A. I 18, 20-⁠21.) Second, DOJ argued that Appellants’ claims failed because its regulations were valid because they “are within the scope of the authority delegated by the legislature and are reasonably necessary to implement the registration.” (J.A. I 18, 22-⁠32.) Appellants filed a timely opposition.</w:t>
      </w:r>
      <w:r>
        <w:rPr>
          <w:rStyle w:val="FootnoteReference"/>
        </w:rPr>
        <w:footnoteReference w:id="15"/>
      </w:r>
    </w:p>
    <w:p>
      <w:pPr>
        <w:pStyle w:val="BodyTextNote"/>
      </w:pPr>
      <w:r>
        <w:t xml:space="preserve">After a hearing, the lower court sustained the demurrer, holding only that Appellants needed to fashion their challenge as a writ of mandate rather than a declaratory relief action. (J.A. IV 1473-⁠1474.)</w:t>
      </w:r>
      <w:r>
        <w:rPr>
          <w:rStyle w:val="FootnoteReference"/>
        </w:rPr>
        <w:footnoteReference w:id="16"/>
      </w:r>
      <w:r>
        <w:t xml:space="preserve"> </w:t>
      </w:r>
      <w:r>
        <w:t xml:space="preserve">The trial court granted Appellants leave to amend. And Appellants promptly amended their complaint, fashioning it as a petition for writ of mandate per the court’s order, as well as a complaint for declaratory relief to preserve the issue. (J.A. IV 1476.)</w:t>
      </w:r>
    </w:p>
    <w:p>
      <w:pPr>
        <w:pStyle w:val="BodyText"/>
      </w:pPr>
      <w:r>
        <w:t xml:space="preserve">The district court received full briefing on the merits of Appellants’ writ petition and held a hearing. After taking the matter under submission, the court ruled May 30, 2018, denying Appellants’ petition in its entirety. (J.A. V 1904-⁠1934.) The court entered final judgment denying the petition on June 21, 2018. (J.A. V 1935.)</w:t>
      </w:r>
    </w:p>
    <w:p>
      <w:pPr>
        <w:pStyle w:val="BodyText"/>
      </w:pPr>
      <w:r>
        <w:t xml:space="preserve">Appellants filed notice of entry of judgment, then timely appealed. (J.A. V 1972, 2012.)</w:t>
      </w:r>
    </w:p>
    <w:p>
      <w:pPr>
        <w:keepNext/>
        <w:keepLines/>
        <w:spacing w:before="260" w:after="208" w:line="338" w:lineRule="exact"/>
        <w:ind w:left="1440" w:hanging="720"/>
        <w:jc w:val="left"/>
      </w:pPr>
      <w:r>
        <w:rPr>
          <w:b/>
          <w:bCs/>
        </w:rPr>
        <w:t xml:space="preserve">B.</w:t>
      </w:r>
      <w:r>
        <w:rPr>
          <w:b/>
          <w:bCs/>
        </w:rPr>
        <w:tab/>
      </w:r>
      <w:r>
        <w:rPr>
          <w:b/>
          <w:bCs/>
        </w:rPr>
        <w:t xml:space="preserve">The</w:t>
      </w:r>
      <w:r>
        <w:rPr>
          <w:b/>
          <w:bCs/>
        </w:rPr>
        <w:t xml:space="preserve"> </w:t>
      </w:r>
      <w:r>
        <w:rPr>
          <w:b/>
          <w:bCs/>
        </w:rPr>
        <w:t xml:space="preserve">Orders</w:t>
      </w:r>
      <w:r>
        <w:rPr>
          <w:b/>
          <w:bCs/>
        </w:rPr>
        <w:t xml:space="preserve"> </w:t>
      </w:r>
      <w:r>
        <w:rPr>
          <w:b/>
          <w:bCs/>
        </w:rPr>
        <w:t xml:space="preserve">on</w:t>
      </w:r>
      <w:r>
        <w:rPr>
          <w:b/>
          <w:bCs/>
        </w:rPr>
        <w:t xml:space="preserve"> </w:t>
      </w:r>
      <w:r>
        <w:rPr>
          <w:b/>
          <w:bCs/>
        </w:rPr>
        <w:t xml:space="preserve">Appeal</w:t>
      </w:r>
    </w:p>
    <w:p>
      <w:pPr>
        <w:pStyle w:val="BodyText"/>
      </w:pPr>
      <w:r>
        <w:t xml:space="preserve">At issue on appeal are both the order granting DOJ’s demurrer and the order denying Appellants’ writ petition.</w:t>
      </w:r>
    </w:p>
    <w:p>
      <w:pPr>
        <w:pStyle w:val="BodyText"/>
      </w:pPr>
      <w:r>
        <w:t xml:space="preserve">Again, in granting the DOJ’s demurrer, the court reasoned that Appellants were challenging DOJ’s “administrative decision” to interpret Subdivision (b) as exempting the Challenged Regulations from the APA. (J.A. IV 1473-⁠1474.) Such decisions, the court held, must be reviewed through a writ, not declaratory relief. (</w:t>
      </w:r>
      <w:r>
        <w:rPr>
          <w:i/>
          <w:iCs/>
        </w:rPr>
        <w:t xml:space="preserve">Ibid.</w:t>
      </w:r>
      <w:r>
        <w:t xml:space="preserve">)</w:t>
      </w:r>
    </w:p>
    <w:p>
      <w:pPr>
        <w:pStyle w:val="BodyText"/>
      </w:pPr>
      <w:r>
        <w:t xml:space="preserve">As for the order denying Appellant’s writ, the lower court held that Appellants had failed to show that DOJ abused its discretion because its interpretation of Subdivision (b) as exempting the Challenged Regulations from the APA was reasonable. (J.A. V 1927.) Noting that it is to give “great weight” to DOJ’s interpretation of Subdivision (b), the trial court gave two reasons it believed DOJ’s interpretation did “not appear contrary to law.” (J.A. V 1933.)</w:t>
      </w:r>
    </w:p>
    <w:p>
      <w:pPr>
        <w:pStyle w:val="BodyText"/>
      </w:pPr>
      <w:r>
        <w:t xml:space="preserve">First, the court held that the Challenged Regulations simply “‘fill up the details’ of the authorizing statute.” (J.A. V 1933.) The court reasoned that because the “challenged regulations ensure that eligible weapons are registered, by eligible applicants, through an understandable registration process,” they “appear to” implement “the authorizing statute” “such that the APA exemption would apply.” (</w:t>
      </w:r>
      <w:r>
        <w:rPr>
          <w:i/>
          <w:iCs/>
        </w:rPr>
        <w:t xml:space="preserve">Ibid.</w:t>
      </w:r>
      <w:r>
        <w:t xml:space="preserve">) Second, the court held that because ensuring that “firearms with enhanced firepower from a bullet button” are registered is “in line with the intent of the AWCA” and “appears to carry out the Legislature’s intent for section 30900, subdivision (b) (1),” (J.A. V 1927), “the challenged regulations appear to carry out the intention of the Legislature.” (J.A. V 1933.)</w:t>
      </w:r>
    </w:p>
    <w:p>
      <w:pPr>
        <w:pStyle w:val="BodyText"/>
      </w:pPr>
      <w:r>
        <w:t xml:space="preserve">The trial court did not review any of the Challenged Regulations individually. In fact, it never even mentioned one of them—the requirement that the “bullet button” remain on the firearm post-registration (Cal.</w:t>
      </w:r>
      <w:r>
        <w:t xml:space="preserve"> </w:t>
      </w:r>
      <w:r>
        <w:t xml:space="preserve">Code Regs., tit. 11, § 5477)—⁠at all. (J.A. V 1924.) The trial court did note that the APA exemption “would appear to include the power to define terms to enable the public to understand and comply with the registration process.” (</w:t>
      </w:r>
      <w:r>
        <w:rPr>
          <w:i/>
          <w:iCs/>
        </w:rPr>
        <w:t xml:space="preserve">Ibid.</w:t>
      </w:r>
      <w:r>
        <w:t xml:space="preserve">) But it went no further. It did not explain how the DOJ’s definitions in section 5471 meet that standard or whether those definitions alter statutory law. Nor did it explain how DOJ has authority to repeal regulatory definitions adopted to implement section 30515, not Subdivision (b) of 30900. As for the regulation requiring registration of “bullet-button” shotguns, the trial court simply describes the positions of both sides and then simply defers to DOJ’s interpretation as a reasonable one, without engaging in any meaningful analysis of the statute.</w:t>
      </w:r>
    </w:p>
    <w:p>
      <w:pPr>
        <w:keepNext/>
        <w:keepLines/>
        <w:spacing w:before="312" w:after="260" w:line="338" w:lineRule="exact"/>
        <w:ind w:left="0" w:firstLine="0"/>
        <w:jc w:val="center"/>
      </w:pPr>
      <w:r>
        <w:rPr>
          <w:b/>
          <w:bCs/>
        </w:rPr>
        <w:t xml:space="preserve">ARGUMENT</w:t>
      </w:r>
    </w:p>
    <w:p>
      <w:pPr>
        <w:keepNext/>
        <w:keepLines/>
        <w:spacing w:before="260" w:after="208" w:line="338" w:lineRule="exact"/>
        <w:ind w:left="720" w:hanging="720"/>
        <w:jc w:val="left"/>
      </w:pPr>
      <w:r>
        <w:rPr>
          <w:b/>
          <w:bCs/>
        </w:rPr>
        <w:t xml:space="preserve">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Wrongly</w:t>
      </w:r>
      <w:r>
        <w:rPr>
          <w:b/>
          <w:bCs/>
        </w:rPr>
        <w:t xml:space="preserve"> </w:t>
      </w:r>
      <w:r>
        <w:rPr>
          <w:b/>
          <w:bCs/>
        </w:rPr>
        <w:t xml:space="preserve">Sustained</w:t>
      </w:r>
      <w:r>
        <w:rPr>
          <w:b/>
          <w:bCs/>
        </w:rPr>
        <w:t xml:space="preserve"> </w:t>
      </w:r>
      <w:r>
        <w:rPr>
          <w:b/>
          <w:bCs/>
        </w:rPr>
        <w:t xml:space="preserve">DOJ’s</w:t>
      </w:r>
      <w:r>
        <w:rPr>
          <w:b/>
          <w:bCs/>
        </w:rPr>
        <w:t xml:space="preserve"> </w:t>
      </w:r>
      <w:r>
        <w:rPr>
          <w:b/>
          <w:bCs/>
        </w:rPr>
        <w:t xml:space="preserve">Demurrer</w:t>
      </w:r>
    </w:p>
    <w:p>
      <w:pPr>
        <w:keepNext/>
        <w:keepLines/>
        <w:spacing w:before="260" w:after="208" w:line="338" w:lineRule="exact"/>
        <w:ind w:left="1440" w:hanging="720"/>
        <w:jc w:val="left"/>
      </w:pPr>
      <w:r>
        <w:rPr>
          <w:b/>
          <w:bCs/>
        </w:rPr>
        <w:t xml:space="preserve">A.</w:t>
      </w:r>
      <w:r>
        <w:rPr>
          <w:b/>
          <w:bCs/>
        </w:rPr>
        <w:tab/>
      </w:r>
      <w:r>
        <w:rPr>
          <w:b/>
          <w:bCs/>
        </w:rPr>
        <w:t xml:space="preserve">Applicable</w:t>
      </w:r>
      <w:r>
        <w:rPr>
          <w:b/>
          <w:bCs/>
        </w:rPr>
        <w:t xml:space="preserve"> </w:t>
      </w:r>
      <w:r>
        <w:rPr>
          <w:b/>
          <w:bCs/>
        </w:rPr>
        <w:t xml:space="preserve">Legal</w:t>
      </w:r>
      <w:r>
        <w:rPr>
          <w:b/>
          <w:bCs/>
        </w:rPr>
        <w:t xml:space="preserve"> </w:t>
      </w:r>
      <w:r>
        <w:rPr>
          <w:b/>
          <w:bCs/>
        </w:rPr>
        <w:t xml:space="preserve">Standard</w:t>
      </w:r>
    </w:p>
    <w:p>
      <w:pPr>
        <w:pStyle w:val="BodyText"/>
      </w:pPr>
      <w:r>
        <w:t xml:space="preserve">The Court reviews orders sustaining a demurrer de novo. (</w:t>
      </w:r>
      <w:r>
        <w:rPr>
          <w:i/>
          <w:iCs/>
        </w:rPr>
        <w:t xml:space="preserve">Filet</w:t>
      </w:r>
      <w:r>
        <w:rPr>
          <w:i/>
          <w:iCs/>
        </w:rPr>
        <w:t xml:space="preserve"> </w:t>
      </w:r>
      <w:r>
        <w:rPr>
          <w:i/>
          <w:iCs/>
        </w:rPr>
        <w:t xml:space="preserve">Menu, Inc. v. Cheng</w:t>
      </w:r>
      <w:r>
        <w:t xml:space="preserve"> </w:t>
      </w:r>
      <w:r>
        <w:t xml:space="preserve">(1999) 71 Cal.App.4th 1276, 1279 (</w:t>
      </w:r>
      <w:r>
        <w:rPr>
          <w:i/>
          <w:iCs/>
        </w:rPr>
        <w:t xml:space="preserve">Filet Menu</w:t>
      </w:r>
      <w:r>
        <w:t xml:space="preserve">).) “‘Because a demurrer both tests the legal sufficiency of the complaint and involves the trial court’s discretion, an appellate court employs two separate standards of review on appeal.’” (</w:t>
      </w:r>
      <w:r>
        <w:rPr>
          <w:i/>
          <w:iCs/>
        </w:rPr>
        <w:t xml:space="preserve">Cantu</w:t>
      </w:r>
      <w:r>
        <w:rPr>
          <w:i/>
          <w:iCs/>
        </w:rPr>
        <w:t xml:space="preserve"> </w:t>
      </w:r>
      <w:r>
        <w:rPr>
          <w:i/>
          <w:iCs/>
        </w:rPr>
        <w:t xml:space="preserve">v. Resolution Trust Corp.</w:t>
      </w:r>
      <w:r>
        <w:t xml:space="preserve"> </w:t>
      </w:r>
      <w:r>
        <w:t xml:space="preserve">(1992) 4 Cal.App.4th 857, 879.) First, it reviews the complaint to determine whether it “alleges facts sufficient to state a cause of action under any legal theory.” (</w:t>
      </w:r>
      <w:r>
        <w:rPr>
          <w:i/>
          <w:iCs/>
        </w:rPr>
        <w:t xml:space="preserve">Ibid.</w:t>
      </w:r>
      <w:r>
        <w:t xml:space="preserve">) Then, if the lower court sustained a demurrer without leave to amend, the reviewing court considers “whether plaintiff could amend to state a cause of action.” (</w:t>
      </w:r>
      <w:r>
        <w:rPr>
          <w:i/>
          <w:iCs/>
        </w:rPr>
        <w:t xml:space="preserve">Filet Menu</w:t>
      </w:r>
      <w:r>
        <w:t xml:space="preserve">,</w:t>
      </w:r>
      <w:r>
        <w:t xml:space="preserve"> </w:t>
      </w:r>
      <w:r>
        <w:rPr>
          <w:i/>
          <w:iCs/>
        </w:rPr>
        <w:t xml:space="preserve">supra</w:t>
      </w:r>
      <w:r>
        <w:t xml:space="preserve">, 71 Cal.App.4th at pp. 1279-⁠1280.) Because the trial court granted Appellants leave to amend, only the first issue is before this Court.</w:t>
      </w:r>
    </w:p>
    <w:p>
      <w:pPr>
        <w:keepNext/>
        <w:keepLines/>
        <w:spacing w:before="260" w:after="208" w:line="338" w:lineRule="exact"/>
        <w:ind w:left="1440" w:hanging="720"/>
        <w:jc w:val="left"/>
      </w:pPr>
      <w:r>
        <w:rPr>
          <w:b/>
          <w:bCs/>
        </w:rPr>
        <w:t xml:space="preserve">B.</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Sustained</w:t>
      </w:r>
      <w:r>
        <w:rPr>
          <w:b/>
          <w:bCs/>
        </w:rPr>
        <w:t xml:space="preserve"> </w:t>
      </w:r>
      <w:r>
        <w:rPr>
          <w:b/>
          <w:bCs/>
        </w:rPr>
        <w:t xml:space="preserve">DOJ’s</w:t>
      </w:r>
      <w:r>
        <w:rPr>
          <w:b/>
          <w:bCs/>
        </w:rPr>
        <w:t xml:space="preserve"> </w:t>
      </w:r>
      <w:r>
        <w:rPr>
          <w:b/>
          <w:bCs/>
        </w:rPr>
        <w:t xml:space="preserve">Demurrer</w:t>
      </w:r>
      <w:r>
        <w:rPr>
          <w:b/>
          <w:bCs/>
        </w:rPr>
        <w:t xml:space="preserve"> </w:t>
      </w:r>
      <w:r>
        <w:rPr>
          <w:b/>
          <w:bCs/>
        </w:rPr>
        <w:t xml:space="preserve">Because</w:t>
      </w:r>
      <w:r>
        <w:rPr>
          <w:b/>
          <w:bCs/>
        </w:rPr>
        <w:t xml:space="preserve"> </w:t>
      </w:r>
      <w:r>
        <w:rPr>
          <w:b/>
          <w:bCs/>
        </w:rPr>
        <w:t xml:space="preserve">Appellants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Fashion</w:t>
      </w:r>
      <w:r>
        <w:rPr>
          <w:b/>
          <w:bCs/>
        </w:rPr>
        <w:t xml:space="preserve"> </w:t>
      </w:r>
      <w:r>
        <w:rPr>
          <w:b/>
          <w:bCs/>
        </w:rPr>
        <w:t xml:space="preserve">Their</w:t>
      </w:r>
      <w:r>
        <w:rPr>
          <w:b/>
          <w:bCs/>
        </w:rPr>
        <w:t xml:space="preserve"> </w:t>
      </w:r>
      <w:r>
        <w:rPr>
          <w:b/>
          <w:bCs/>
        </w:rPr>
        <w:t xml:space="preserve">Challenge</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Declaratory</w:t>
      </w:r>
      <w:r>
        <w:rPr>
          <w:b/>
          <w:bCs/>
        </w:rPr>
        <w:t xml:space="preserve"> </w:t>
      </w:r>
      <w:r>
        <w:rPr>
          <w:b/>
          <w:bCs/>
        </w:rPr>
        <w:t xml:space="preserve">Relief</w:t>
      </w:r>
      <w:r>
        <w:rPr>
          <w:b/>
          <w:bCs/>
        </w:rPr>
        <w:t xml:space="preserve"> </w:t>
      </w:r>
      <w:r>
        <w:rPr>
          <w:b/>
          <w:bCs/>
        </w:rPr>
        <w:t xml:space="preserve">Action</w:t>
      </w:r>
      <w:r>
        <w:rPr>
          <w:b/>
          <w:bCs/>
        </w:rPr>
        <w:t xml:space="preserve"> </w:t>
      </w:r>
      <w:r>
        <w:rPr>
          <w:b/>
          <w:bCs/>
        </w:rPr>
        <w:t xml:space="preserve">Under</w:t>
      </w:r>
      <w:r>
        <w:rPr>
          <w:b/>
          <w:bCs/>
        </w:rPr>
        <w:t xml:space="preserve"> </w:t>
      </w:r>
      <w:r>
        <w:rPr>
          <w:b/>
          <w:bCs/>
        </w:rPr>
        <w:t xml:space="preserve">Government</w:t>
      </w:r>
      <w:r>
        <w:rPr>
          <w:b/>
          <w:bCs/>
        </w:rPr>
        <w:t xml:space="preserve"> </w:t>
      </w:r>
      <w:r>
        <w:rPr>
          <w:b/>
          <w:bCs/>
        </w:rPr>
        <w:t xml:space="preserve">Code</w:t>
      </w:r>
      <w:r>
        <w:rPr>
          <w:b/>
          <w:bCs/>
        </w:rPr>
        <w:t xml:space="preserve"> </w:t>
      </w:r>
      <w:r>
        <w:rPr>
          <w:b/>
          <w:bCs/>
        </w:rPr>
        <w:t xml:space="preserve">Section</w:t>
      </w:r>
      <w:r>
        <w:rPr>
          <w:b/>
          <w:bCs/>
        </w:rPr>
        <w:t xml:space="preserve"> </w:t>
      </w:r>
      <w:r>
        <w:rPr>
          <w:b/>
          <w:bCs/>
        </w:rPr>
        <w:t xml:space="preserve">11350</w:t>
      </w:r>
    </w:p>
    <w:p>
      <w:pPr>
        <w:pStyle w:val="BodyText"/>
      </w:pPr>
      <w:r>
        <w:t xml:space="preserve">Under the APA, an interested person has the right to “obtain a judicial declaration as to the validity of any rule, regulation, order or standard of general application adopted by any State agency to implement, interpret or make specific, any law enforced or administered by it or to govern its procedure.” (</w:t>
      </w:r>
      <w:r>
        <w:rPr>
          <w:i/>
          <w:iCs/>
        </w:rPr>
        <w:t xml:space="preserve">Bess</w:t>
      </w:r>
      <w:r>
        <w:rPr>
          <w:i/>
          <w:iCs/>
        </w:rPr>
        <w:t xml:space="preserve"> </w:t>
      </w:r>
      <w:r>
        <w:rPr>
          <w:i/>
          <w:iCs/>
        </w:rPr>
        <w:t xml:space="preserve">v. Park</w:t>
      </w:r>
      <w:r>
        <w:t xml:space="preserve"> </w:t>
      </w:r>
      <w:r>
        <w:t xml:space="preserve">(1955) 132 Cal.App.2d 49, 53; see also Gov. Code,</w:t>
      </w:r>
      <w:r>
        <w:t xml:space="preserve"> </w:t>
      </w:r>
      <w:r>
        <w:t xml:space="preserve">§ 11350.) Even so, the trial court agreed with DOJ that Appellants must “establish that the regulations should have been promulgated under the APA, through a writ petition challenging DOJ’s administrative decision to use an APA exempt process.” (J.A. I 21; J.A. IV 1473-⁠1474.) That decision was in error.</w:t>
      </w:r>
    </w:p>
    <w:p>
      <w:pPr>
        <w:pStyle w:val="BodyTextNote"/>
      </w:pPr>
      <w:r>
        <w:t xml:space="preserve">Appellants are not challenging an “administrative decision.” They are challenging DOJ’s adoption and enforcement of illegal regulations. It matters not that DOJ first made a “decision” that it was exempt from APA rulemaking requirements in adopting them. For those day-to-day decisions, even by administrative agencies, are not the sort of decisions that case law contemplates as requiring writ relief. Indeed, not one case the trial court cites involved a challenge to the validity of a regulation.</w:t>
      </w:r>
      <w:r>
        <w:rPr>
          <w:rStyle w:val="FootnoteReference"/>
        </w:rPr>
        <w:footnoteReference w:id="17"/>
      </w:r>
      <w:r>
        <w:t xml:space="preserve"> </w:t>
      </w:r>
      <w:r>
        <w:t xml:space="preserve">And for good reason. Government</w:t>
      </w:r>
      <w:r>
        <w:t xml:space="preserve"> </w:t>
      </w:r>
      <w:r>
        <w:t xml:space="preserve">Code section 11350 entitles interested parties to bring declaratory relief to challenge the validity of any regulation. To hold otherwise would effectively nullify the law. For the initial step in adopting any regulation is to interpret the underlying statute as conferring the authority on the agency to do so.</w:t>
      </w:r>
    </w:p>
    <w:p>
      <w:pPr>
        <w:pStyle w:val="BodyText"/>
      </w:pPr>
      <w:r>
        <w:t xml:space="preserve">But even if the Court were to construe Appellants’ claim that DOJ acted outside the scope of its APA exemption as a challenge to an “administrative decision,” declaratory relief is still appropriate here. Indeed, declaratory relief is proper where the lawsuit has a more fundamental purpose that challenges violations that are “symptomatic of the much broader problem the action is designed to relieve.” (</w:t>
      </w:r>
      <w:r>
        <w:rPr>
          <w:i/>
          <w:iCs/>
        </w:rPr>
        <w:t xml:space="preserve">Venice</w:t>
      </w:r>
      <w:r>
        <w:rPr>
          <w:i/>
          <w:iCs/>
        </w:rPr>
        <w:t xml:space="preserve"> </w:t>
      </w:r>
      <w:r>
        <w:rPr>
          <w:i/>
          <w:iCs/>
        </w:rPr>
        <w:t xml:space="preserve">Town Council, Inc. v. City of Los Angeles</w:t>
      </w:r>
      <w:r>
        <w:t xml:space="preserve"> </w:t>
      </w:r>
      <w:r>
        <w:t xml:space="preserve">(1996) 47 Cal.App.4th 1547, 1565 (</w:t>
      </w:r>
      <w:r>
        <w:rPr>
          <w:i/>
          <w:iCs/>
        </w:rPr>
        <w:t xml:space="preserve">Venice Town Council</w:t>
      </w:r>
      <w:r>
        <w:t xml:space="preserve">), citing</w:t>
      </w:r>
      <w:r>
        <w:t xml:space="preserve"> </w:t>
      </w:r>
      <w:r>
        <w:rPr>
          <w:i/>
          <w:iCs/>
        </w:rPr>
        <w:t xml:space="preserve">Bess</w:t>
      </w:r>
      <w:r>
        <w:rPr>
          <w:i/>
          <w:iCs/>
        </w:rPr>
        <w:t xml:space="preserve"> </w:t>
      </w:r>
      <w:r>
        <w:rPr>
          <w:i/>
          <w:iCs/>
        </w:rPr>
        <w:t xml:space="preserve">v. Park</w:t>
      </w:r>
      <w:r>
        <w:t xml:space="preserve"> </w:t>
      </w:r>
      <w:r>
        <w:t xml:space="preserve">(1955) 132 Cal.App.2d 49, 52 (</w:t>
      </w:r>
      <w:r>
        <w:rPr>
          <w:i/>
          <w:iCs/>
        </w:rPr>
        <w:t xml:space="preserve">Bess</w:t>
      </w:r>
      <w:r>
        <w:t xml:space="preserve">) [finding declaratory relief appropriate to address a “recurring problem . . . involving the interpretation of a statute”].) Or when challenging “an overarching, quasi-legislative policy set by an administrative agency,” not merely a “discretionary, specific agency decision[].” (</w:t>
      </w:r>
      <w:r>
        <w:rPr>
          <w:i/>
          <w:iCs/>
        </w:rPr>
        <w:t xml:space="preserve">Californians</w:t>
      </w:r>
      <w:r>
        <w:rPr>
          <w:i/>
          <w:iCs/>
        </w:rPr>
        <w:t xml:space="preserve"> </w:t>
      </w:r>
      <w:r>
        <w:rPr>
          <w:i/>
          <w:iCs/>
        </w:rPr>
        <w:t xml:space="preserve">for Native Salmon &amp; Steelhead Assn. v. Dept. of Forestry</w:t>
      </w:r>
      <w:r>
        <w:t xml:space="preserve"> </w:t>
      </w:r>
      <w:r>
        <w:t xml:space="preserve">(1990) 221 Cal.App.3d 1419, 1429, citing</w:t>
      </w:r>
      <w:r>
        <w:t xml:space="preserve"> </w:t>
      </w:r>
      <w:r>
        <w:rPr>
          <w:i/>
          <w:iCs/>
        </w:rPr>
        <w:t xml:space="preserve">Bess</w:t>
      </w:r>
      <w:r>
        <w:t xml:space="preserve">,</w:t>
      </w:r>
      <w:r>
        <w:t xml:space="preserve"> </w:t>
      </w:r>
      <w:r>
        <w:rPr>
          <w:i/>
          <w:iCs/>
        </w:rPr>
        <w:t xml:space="preserve">supra</w:t>
      </w:r>
      <w:r>
        <w:t xml:space="preserve">, 123 Cal.App.2d at pp. 52-⁠54.)</w:t>
      </w:r>
    </w:p>
    <w:p>
      <w:pPr>
        <w:pStyle w:val="BodyText"/>
      </w:pPr>
      <w:r>
        <w:t xml:space="preserve">Here, again, the trial court focused on DOJ’s decision to interpret Subdivision (b) as exempting the Challenged Regulations from the APA. (J.A. IV 1473-⁠1474.) Even if that were the proper focus, Appellants are challenging not a “discretionary, specific agency decision,” but DOJ’s “overarching, quasi-legislative policy” of exempting itself from the APA in the adoption of uniform regulations of general applicability. What’s more, the interpretation of a statute is a judicial function—not an administrative one. (</w:t>
      </w:r>
      <w:r>
        <w:rPr>
          <w:i/>
          <w:iCs/>
        </w:rPr>
        <w:t xml:space="preserve">Bess</w:t>
      </w:r>
      <w:r>
        <w:t xml:space="preserve">,</w:t>
      </w:r>
      <w:r>
        <w:t xml:space="preserve"> </w:t>
      </w:r>
      <w:r>
        <w:rPr>
          <w:i/>
          <w:iCs/>
        </w:rPr>
        <w:t xml:space="preserve">supra</w:t>
      </w:r>
      <w:r>
        <w:t xml:space="preserve">, 132 Cal.App.2d at p. 53.) Because the APA exemption that DOJ seeks to rely on is a statutory creation, whether that statute shields DOJ’s regulations is a question of statutory interpretation properly reviewed in a declaratory relief action. (</w:t>
      </w:r>
      <w:r>
        <w:rPr>
          <w:i/>
          <w:iCs/>
        </w:rPr>
        <w:t xml:space="preserve">Ibid.</w:t>
      </w:r>
      <w:r>
        <w:t xml:space="preserve">)</w:t>
      </w:r>
    </w:p>
    <w:p>
      <w:pPr>
        <w:pStyle w:val="BodyText"/>
      </w:pPr>
      <w:r>
        <w:t xml:space="preserve">Ultimately, DOJ cannot insulate its regulations from a declaratory relief action by simply labeling its circumvention of the APA an “administrative decision.” Because Appellants were entitled to fashion their challenge to DOJ’s regulatory action as a declaratory relief action, the trial court erred in sustaining DOJ’s demurrer. And because, as discussed in Part II.B below, the Challenged Regulations are invalid because DOJ did not comply with the APA procedures and because the regulations improperly exceed the scope of the DOJ’s rulemaking authority, Appellants are entitled to declaratory and injunctive relief.</w:t>
      </w:r>
    </w:p>
    <w:p>
      <w:pPr>
        <w:keepNext/>
        <w:keepLines/>
        <w:spacing w:before="260" w:after="208" w:line="338" w:lineRule="exact"/>
        <w:ind w:left="720" w:hanging="720"/>
        <w:jc w:val="left"/>
      </w:pPr>
      <w:r>
        <w:rPr>
          <w:b/>
          <w:bCs/>
        </w:rPr>
        <w:t xml:space="preserve">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Also</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Denied</w:t>
      </w:r>
      <w:r>
        <w:rPr>
          <w:b/>
          <w:bCs/>
        </w:rPr>
        <w:t xml:space="preserve"> </w:t>
      </w:r>
      <w:r>
        <w:rPr>
          <w:b/>
          <w:bCs/>
        </w:rPr>
        <w:t xml:space="preserve">Appellants’</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p>
    <w:p>
      <w:pPr>
        <w:pStyle w:val="BodyText"/>
      </w:pPr>
      <w:r>
        <w:t xml:space="preserve">Again, the trial court ordered Appellants to fashion their challenge as petition for writ of mandate. (J.A. IV 1473-⁠1474.) And though Appellants could have chosen to take that route, they disagree that a writ of mandate is the mandatory procedural vehicle for seeking review of the Challenged Regulations. But should this Court find that it is, Appellants have satisfied the requirements for one to issue. The Court should reverse the trial court’s denial of the writ petition.</w:t>
      </w:r>
    </w:p>
    <w:p>
      <w:pPr>
        <w:keepNext/>
        <w:keepLines/>
        <w:spacing w:before="260" w:after="208" w:line="338" w:lineRule="exact"/>
        <w:ind w:left="1440" w:hanging="720"/>
        <w:jc w:val="left"/>
      </w:pPr>
      <w:r>
        <w:rPr>
          <w:b/>
          <w:bCs/>
        </w:rPr>
        <w:t xml:space="preserve">A.</w:t>
      </w:r>
      <w:r>
        <w:rPr>
          <w:b/>
          <w:bCs/>
        </w:rPr>
        <w:tab/>
      </w:r>
      <w:r>
        <w:rPr>
          <w:b/>
          <w:bCs/>
        </w:rPr>
        <w:t xml:space="preserve">Applicable</w:t>
      </w:r>
      <w:r>
        <w:rPr>
          <w:b/>
          <w:bCs/>
        </w:rPr>
        <w:t xml:space="preserve"> </w:t>
      </w:r>
      <w:r>
        <w:rPr>
          <w:b/>
          <w:bCs/>
        </w:rPr>
        <w:t xml:space="preserve">Legal</w:t>
      </w:r>
      <w:r>
        <w:rPr>
          <w:b/>
          <w:bCs/>
        </w:rPr>
        <w:t xml:space="preserve"> </w:t>
      </w:r>
      <w:r>
        <w:rPr>
          <w:b/>
          <w:bCs/>
        </w:rPr>
        <w:t xml:space="preserve">Standard</w:t>
      </w:r>
    </w:p>
    <w:p>
      <w:pPr>
        <w:pStyle w:val="BodyText"/>
      </w:pPr>
      <w:r>
        <w:t xml:space="preserve">“The courts may rely upon mandamus under Code</w:t>
      </w:r>
      <w:r>
        <w:t xml:space="preserve"> </w:t>
      </w:r>
      <w:r>
        <w:t xml:space="preserve">of Civil Procedure section 1085 to review the validity of a quasi-legislative action” like adopting regulations. (</w:t>
      </w:r>
      <w:r>
        <w:rPr>
          <w:i/>
          <w:iCs/>
        </w:rPr>
        <w:t xml:space="preserve">Clean</w:t>
      </w:r>
      <w:r>
        <w:rPr>
          <w:i/>
          <w:iCs/>
        </w:rPr>
        <w:t xml:space="preserve"> </w:t>
      </w:r>
      <w:r>
        <w:rPr>
          <w:i/>
          <w:iCs/>
        </w:rPr>
        <w:t xml:space="preserve">Air Constituency v. Cal. State Air Res. Bd.</w:t>
      </w:r>
      <w:r>
        <w:t xml:space="preserve"> </w:t>
      </w:r>
      <w:r>
        <w:t xml:space="preserve">(1974) 11 Cal.3d 801, 808-⁠809, citing Cal. Civil Writs (Cont.Ed.Bar 1970) § 5.37, p. 89 and</w:t>
      </w:r>
      <w:r>
        <w:t xml:space="preserve"> </w:t>
      </w:r>
      <w:r>
        <w:rPr>
          <w:i/>
          <w:iCs/>
        </w:rPr>
        <w:t xml:space="preserve">Acton</w:t>
      </w:r>
      <w:r>
        <w:rPr>
          <w:i/>
          <w:iCs/>
        </w:rPr>
        <w:t xml:space="preserve"> </w:t>
      </w:r>
      <w:r>
        <w:rPr>
          <w:i/>
          <w:iCs/>
        </w:rPr>
        <w:t xml:space="preserve">v. Henderson</w:t>
      </w:r>
      <w:r>
        <w:t xml:space="preserve"> </w:t>
      </w:r>
      <w:r>
        <w:t xml:space="preserve">(1957) 150 Cal.App.2d 1, 7.) Mandate lies when: (1) the respondent has a ministerial duty to act, and (2) the petitioner has a beneficial right to performance of that duty. (</w:t>
      </w:r>
      <w:r>
        <w:rPr>
          <w:i/>
          <w:iCs/>
        </w:rPr>
        <w:t xml:space="preserve">People</w:t>
      </w:r>
      <w:r>
        <w:rPr>
          <w:i/>
          <w:iCs/>
        </w:rPr>
        <w:t xml:space="preserve"> </w:t>
      </w:r>
      <w:r>
        <w:rPr>
          <w:i/>
          <w:iCs/>
        </w:rPr>
        <w:t xml:space="preserve">ex rel. Younger v. Cnty. of El Dorado</w:t>
      </w:r>
      <w:r>
        <w:t xml:space="preserve"> </w:t>
      </w:r>
      <w:r>
        <w:t xml:space="preserve">(1971) 5 Cal.3d 480, 491.) Code</w:t>
      </w:r>
      <w:r>
        <w:t xml:space="preserve"> </w:t>
      </w:r>
      <w:r>
        <w:t xml:space="preserve">of Civil Procedure § 1086 provides that when a verified petition is submitted by a party “beneficially interested,” a writ “must be issued in all cases where there is not a plain, speedy, and adequate remedy, in the ordinary course of law.”</w:t>
      </w:r>
    </w:p>
    <w:p>
      <w:pPr>
        <w:pStyle w:val="BodyText"/>
      </w:pPr>
      <w:r>
        <w:t xml:space="preserve">The Court of Appeal ordinarily decides whether the denial of a writ petition was “supported by substantial evidence, but legal questions, including the ultimate determination of whether administrative proceedings were fundamentally fair, are reviewed de novo.” (1 Cal. Civil Writ Practice (Cont.Ed.Bar 4th ed. 2019 supp.) Challenging the Superior Court’s Decision, § 11.16, pp. 11-⁠10–11-⁠11, italics added.)</w:t>
      </w:r>
    </w:p>
    <w:p>
      <w:pPr>
        <w:keepNext/>
        <w:keepLines/>
        <w:spacing w:before="260" w:after="208" w:line="338" w:lineRule="exact"/>
        <w:ind w:left="1440" w:hanging="720"/>
        <w:jc w:val="left"/>
      </w:pPr>
      <w:r>
        <w:rPr>
          <w:b/>
          <w:bCs/>
        </w:rPr>
        <w:t xml:space="preserve">B.</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When</w:t>
      </w:r>
      <w:r>
        <w:rPr>
          <w:b/>
          <w:bCs/>
        </w:rPr>
        <w:t xml:space="preserve"> </w:t>
      </w:r>
      <w:r>
        <w:rPr>
          <w:b/>
          <w:bCs/>
        </w:rPr>
        <w:t xml:space="preserve">It</w:t>
      </w:r>
      <w:r>
        <w:rPr>
          <w:b/>
          <w:bCs/>
        </w:rPr>
        <w:t xml:space="preserve"> </w:t>
      </w:r>
      <w:r>
        <w:rPr>
          <w:b/>
          <w:bCs/>
        </w:rPr>
        <w:t xml:space="preserve">Upheld</w:t>
      </w:r>
      <w:r>
        <w:rPr>
          <w:b/>
          <w:bCs/>
        </w:rPr>
        <w:t xml:space="preserve"> </w:t>
      </w:r>
      <w:r>
        <w:rPr>
          <w:b/>
          <w:bCs/>
        </w:rPr>
        <w:t xml:space="preserve">the</w:t>
      </w:r>
      <w:r>
        <w:rPr>
          <w:b/>
          <w:bCs/>
        </w:rPr>
        <w:t xml:space="preserve"> </w:t>
      </w:r>
      <w:r>
        <w:rPr>
          <w:b/>
          <w:bCs/>
        </w:rPr>
        <w:t xml:space="preserve">Validity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Regulations;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Regulations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Valid,</w:t>
      </w:r>
      <w:r>
        <w:rPr>
          <w:b/>
          <w:bCs/>
        </w:rPr>
        <w:t xml:space="preserve"> </w:t>
      </w:r>
      <w:r>
        <w:rPr>
          <w:b/>
          <w:bCs/>
        </w:rPr>
        <w:t xml:space="preserve">DOJ</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Ministerial</w:t>
      </w:r>
      <w:r>
        <w:rPr>
          <w:b/>
          <w:bCs/>
        </w:rPr>
        <w:t xml:space="preserve"> </w:t>
      </w:r>
      <w:r>
        <w:rPr>
          <w:b/>
          <w:bCs/>
        </w:rPr>
        <w:t xml:space="preserve">Duty</w:t>
      </w:r>
      <w:r>
        <w:rPr>
          <w:b/>
          <w:bCs/>
        </w:rPr>
        <w:t xml:space="preserve"> </w:t>
      </w:r>
      <w:r>
        <w:rPr>
          <w:b/>
          <w:bCs/>
        </w:rPr>
        <w:t xml:space="preserve">Not</w:t>
      </w:r>
      <w:r>
        <w:rPr>
          <w:b/>
          <w:bCs/>
        </w:rPr>
        <w:t xml:space="preserve"> </w:t>
      </w:r>
      <w:r>
        <w:rPr>
          <w:b/>
          <w:bCs/>
        </w:rPr>
        <w:t xml:space="preserve">to</w:t>
      </w:r>
      <w:r>
        <w:rPr>
          <w:b/>
          <w:bCs/>
        </w:rPr>
        <w:t xml:space="preserve"> </w:t>
      </w:r>
      <w:r>
        <w:rPr>
          <w:b/>
          <w:bCs/>
        </w:rPr>
        <w:t xml:space="preserve">Enforce</w:t>
      </w:r>
      <w:r>
        <w:rPr>
          <w:b/>
          <w:bCs/>
        </w:rPr>
        <w:t xml:space="preserve"> </w:t>
      </w:r>
      <w:r>
        <w:rPr>
          <w:b/>
          <w:bCs/>
        </w:rPr>
        <w:t xml:space="preserve">Them</w:t>
      </w:r>
    </w:p>
    <w:p>
      <w:pPr>
        <w:pStyle w:val="BodyText"/>
      </w:pPr>
      <w:r>
        <w:t xml:space="preserve">A ministerial duty is one that a government actor must perform without the exercise of independent judgment or opinion. (</w:t>
      </w:r>
      <w:r>
        <w:rPr>
          <w:i/>
          <w:iCs/>
        </w:rPr>
        <w:t xml:space="preserve">Ellena</w:t>
      </w:r>
      <w:r>
        <w:rPr>
          <w:i/>
          <w:iCs/>
        </w:rPr>
        <w:t xml:space="preserve"> </w:t>
      </w:r>
      <w:r>
        <w:rPr>
          <w:i/>
          <w:iCs/>
        </w:rPr>
        <w:t xml:space="preserve">v. Dept. of Ins.</w:t>
      </w:r>
      <w:r>
        <w:t xml:space="preserve"> </w:t>
      </w:r>
      <w:r>
        <w:t xml:space="preserve">(2014) 230 Cal.App.4th 198, 205;</w:t>
      </w:r>
      <w:r>
        <w:t xml:space="preserve"> </w:t>
      </w:r>
      <w:r>
        <w:rPr>
          <w:i/>
          <w:iCs/>
        </w:rPr>
        <w:t xml:space="preserve">County</w:t>
      </w:r>
      <w:r>
        <w:rPr>
          <w:i/>
          <w:iCs/>
        </w:rPr>
        <w:t xml:space="preserve"> </w:t>
      </w:r>
      <w:r>
        <w:rPr>
          <w:i/>
          <w:iCs/>
        </w:rPr>
        <w:t xml:space="preserve">of San Diego v. State</w:t>
      </w:r>
      <w:r>
        <w:t xml:space="preserve"> </w:t>
      </w:r>
      <w:r>
        <w:t xml:space="preserve">(2008) 164 Cal.App.4th 580, 593.) An agency must comply with the APA in promulgating regulations, unless a statute expressly exempts that agency from the APA’s mandates in doing so. (Gov. Code</w:t>
      </w:r>
      <w:r>
        <w:t xml:space="preserve"> </w:t>
      </w:r>
      <w:r>
        <w:t xml:space="preserve">§ 11340.5, subd. (a);</w:t>
      </w:r>
      <w:r>
        <w:t xml:space="preserve"> </w:t>
      </w:r>
      <w:r>
        <w:rPr>
          <w:i/>
          <w:iCs/>
        </w:rPr>
        <w:t xml:space="preserve">Winzler</w:t>
      </w:r>
      <w:r>
        <w:rPr>
          <w:i/>
          <w:iCs/>
        </w:rPr>
        <w:t xml:space="preserve"> </w:t>
      </w:r>
      <w:r>
        <w:rPr>
          <w:i/>
          <w:iCs/>
        </w:rPr>
        <w:t xml:space="preserve">&amp; Kelly v. Dept. of Indus. Rels.</w:t>
      </w:r>
      <w:r>
        <w:t xml:space="preserve"> </w:t>
      </w:r>
      <w:r>
        <w:t xml:space="preserve">(1981) 121 Cal.App.3d 120, 126-⁠127.) Any such exemption must be expressly provided for in statute. (Gov. Code</w:t>
      </w:r>
      <w:r>
        <w:t xml:space="preserve"> </w:t>
      </w:r>
      <w:r>
        <w:t xml:space="preserve">§ 11346.) And “any doubt as to the applicability of the APA’s requirements should be resolved in favor of the APA.” (</w:t>
      </w:r>
      <w:r>
        <w:rPr>
          <w:i/>
          <w:iCs/>
        </w:rPr>
        <w:t xml:space="preserve">Cal.</w:t>
      </w:r>
      <w:r>
        <w:rPr>
          <w:i/>
          <w:iCs/>
        </w:rPr>
        <w:t xml:space="preserve"> </w:t>
      </w:r>
      <w:r>
        <w:rPr>
          <w:i/>
          <w:iCs/>
        </w:rPr>
        <w:t xml:space="preserve">Sch. Bds. Assn. v. State Bd. of Educ.</w:t>
      </w:r>
      <w:r>
        <w:t xml:space="preserve"> </w:t>
      </w:r>
      <w:r>
        <w:t xml:space="preserve">(2010) 186 Cal.App.4th 1298, 1328 (</w:t>
      </w:r>
      <w:r>
        <w:rPr>
          <w:i/>
          <w:iCs/>
        </w:rPr>
        <w:t xml:space="preserve">Cal. School Bds. Assn.</w:t>
      </w:r>
      <w:r>
        <w:t xml:space="preserve">).)</w:t>
      </w:r>
    </w:p>
    <w:p>
      <w:pPr>
        <w:pStyle w:val="BodyText"/>
      </w:pPr>
      <w:r>
        <w:t xml:space="preserve">But no matter if it is adopted in compliance with APA procedures or through an exemption from them, “no regulation adopted is valid or effective unless consistent and not in conflict with the statute.” (</w:t>
      </w:r>
      <w:r>
        <w:rPr>
          <w:i/>
          <w:iCs/>
        </w:rPr>
        <w:t xml:space="preserve">Agnew</w:t>
      </w:r>
      <w:r>
        <w:rPr>
          <w:i/>
          <w:iCs/>
        </w:rPr>
        <w:t xml:space="preserve"> </w:t>
      </w:r>
      <w:r>
        <w:rPr>
          <w:i/>
          <w:iCs/>
        </w:rPr>
        <w:t xml:space="preserve">v. State Bd. of Equalization</w:t>
      </w:r>
      <w:r>
        <w:t xml:space="preserve"> </w:t>
      </w:r>
      <w:r>
        <w:t xml:space="preserve">(1999) 21 Cal.4th 310, 321.) For no agency may adopt and enforce regulations “inconsistent with the governing statute, [that] alter or amend the statute, or enlarge its scope.” (</w:t>
      </w:r>
      <w:r>
        <w:rPr>
          <w:i/>
          <w:iCs/>
        </w:rPr>
        <w:t xml:space="preserve">Slocum</w:t>
      </w:r>
      <w:r>
        <w:rPr>
          <w:i/>
          <w:iCs/>
        </w:rPr>
        <w:t xml:space="preserve"> </w:t>
      </w:r>
      <w:r>
        <w:rPr>
          <w:i/>
          <w:iCs/>
        </w:rPr>
        <w:t xml:space="preserve">v. State Bd. of Equalization</w:t>
      </w:r>
      <w:r>
        <w:t xml:space="preserve"> </w:t>
      </w:r>
      <w:r>
        <w:t xml:space="preserve">(2005) 134 Cal.App.4th 969, 974.) Agencies have no discretion to enforce invalid regulations; instead, they have a ministerial duty not to enforce them. (See Gov. Code,</w:t>
      </w:r>
      <w:r>
        <w:t xml:space="preserve"> </w:t>
      </w:r>
      <w:r>
        <w:t xml:space="preserve">§ 11342.1; see also</w:t>
      </w:r>
      <w:r>
        <w:t xml:space="preserve"> </w:t>
      </w:r>
      <w:r>
        <w:rPr>
          <w:i/>
          <w:iCs/>
        </w:rPr>
        <w:t xml:space="preserve">Terhune</w:t>
      </w:r>
      <w:r>
        <w:rPr>
          <w:i/>
          <w:iCs/>
        </w:rPr>
        <w:t xml:space="preserve"> </w:t>
      </w:r>
      <w:r>
        <w:rPr>
          <w:i/>
          <w:iCs/>
        </w:rPr>
        <w:t xml:space="preserve">v. Superior Ct.</w:t>
      </w:r>
      <w:r>
        <w:t xml:space="preserve"> </w:t>
      </w:r>
      <w:r>
        <w:t xml:space="preserve">(1998) 65 Cal.App.4th 864.)</w:t>
      </w:r>
    </w:p>
    <w:p>
      <w:pPr>
        <w:pStyle w:val="BodyText"/>
      </w:pPr>
      <w:r>
        <w:t xml:space="preserve">Here, the Challenged Regulations are invalid for two reasons. First, DOJ failed to abide the strict requirements of the APA when it adopted them, wrongly claiming that they qualified for Subdivision (b)’s APA exemption. Second, the regulations illegally alter the scope of the statutes they purport to implement—making substantive changes to what firearms can or must be registered, who can register them, and the conditions of registration. The trial court, affording DOJ such extreme deference as to have provided no meaningful judicial review of DOJ’s action, erred when it upheld the validity of the Challenged Regulations and, on that basis, denied Appellants’ petition for writ of mandate.</w:t>
      </w:r>
    </w:p>
    <w:p>
      <w:pPr>
        <w:keepNext/>
        <w:keepLines/>
        <w:spacing w:before="260" w:after="208" w:line="338"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Gave</w:t>
      </w:r>
      <w:r>
        <w:rPr>
          <w:b/>
          <w:bCs/>
          <w:i/>
          <w:iCs/>
        </w:rPr>
        <w:t xml:space="preserve"> </w:t>
      </w:r>
      <w:r>
        <w:rPr>
          <w:b/>
          <w:bCs/>
          <w:i/>
          <w:iCs/>
        </w:rPr>
        <w:t xml:space="preserve">Undue</w:t>
      </w:r>
      <w:r>
        <w:rPr>
          <w:b/>
          <w:bCs/>
          <w:i/>
          <w:iCs/>
        </w:rPr>
        <w:t xml:space="preserve"> </w:t>
      </w:r>
      <w:r>
        <w:rPr>
          <w:b/>
          <w:bCs/>
          <w:i/>
          <w:iCs/>
        </w:rPr>
        <w:t xml:space="preserve">Deference</w:t>
      </w:r>
      <w:r>
        <w:rPr>
          <w:b/>
          <w:bCs/>
          <w:i/>
          <w:iCs/>
        </w:rPr>
        <w:t xml:space="preserve"> </w:t>
      </w:r>
      <w:r>
        <w:rPr>
          <w:b/>
          <w:bCs/>
          <w:i/>
          <w:iCs/>
        </w:rPr>
        <w:t xml:space="preserve">to</w:t>
      </w:r>
      <w:r>
        <w:rPr>
          <w:b/>
          <w:bCs/>
          <w:i/>
          <w:iCs/>
        </w:rPr>
        <w:t xml:space="preserve"> </w:t>
      </w:r>
      <w:r>
        <w:rPr>
          <w:b/>
          <w:bCs/>
          <w:i/>
          <w:iCs/>
        </w:rPr>
        <w:t xml:space="preserve">DOJ’s</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Subdivision</w:t>
      </w:r>
      <w:r>
        <w:rPr>
          <w:b/>
          <w:bCs/>
          <w:i/>
          <w:iCs/>
        </w:rPr>
        <w:t xml:space="preserve"> </w:t>
      </w:r>
      <w:r>
        <w:rPr>
          <w:b/>
          <w:bCs/>
          <w:i/>
          <w:iCs/>
        </w:rPr>
        <w:t xml:space="preserve">(b)’s</w:t>
      </w:r>
      <w:r>
        <w:rPr>
          <w:b/>
          <w:bCs/>
          <w:i/>
          <w:iCs/>
        </w:rPr>
        <w:t xml:space="preserve"> </w:t>
      </w:r>
      <w:r>
        <w:rPr>
          <w:b/>
          <w:bCs/>
          <w:i/>
          <w:iCs/>
        </w:rPr>
        <w:t xml:space="preserve">APA</w:t>
      </w:r>
      <w:r>
        <w:rPr>
          <w:b/>
          <w:bCs/>
          <w:i/>
          <w:iCs/>
        </w:rPr>
        <w:t xml:space="preserve"> </w:t>
      </w:r>
      <w:r>
        <w:rPr>
          <w:b/>
          <w:bCs/>
          <w:i/>
          <w:iCs/>
        </w:rPr>
        <w:t xml:space="preserve">Exemption</w:t>
      </w:r>
    </w:p>
    <w:p>
      <w:pPr>
        <w:pStyle w:val="BodyText"/>
      </w:pPr>
      <w:r>
        <w:t xml:space="preserve">“Where a party challenges a regulation on the ground that it is in conflict with the governing statute or exceeds the lawmaking authority delegated by the Legislature, the issue of statutory construction is a question of law on which a court exercises independent judgment.” (</w:t>
      </w:r>
      <w:r>
        <w:rPr>
          <w:i/>
          <w:iCs/>
        </w:rPr>
        <w:t xml:space="preserve">PaintCare</w:t>
      </w:r>
      <w:r>
        <w:rPr>
          <w:i/>
          <w:iCs/>
        </w:rPr>
        <w:t xml:space="preserve"> </w:t>
      </w:r>
      <w:r>
        <w:rPr>
          <w:i/>
          <w:iCs/>
        </w:rPr>
        <w:t xml:space="preserve">v. Mortensen</w:t>
      </w:r>
      <w:r>
        <w:t xml:space="preserve"> </w:t>
      </w:r>
      <w:r>
        <w:t xml:space="preserve">(2015) 233 Cal.App.4th 1292, 1303 (</w:t>
      </w:r>
      <w:r>
        <w:rPr>
          <w:i/>
          <w:iCs/>
        </w:rPr>
        <w:t xml:space="preserve">PaintCare</w:t>
      </w:r>
      <w:r>
        <w:t xml:space="preserve">), citing Gov. Code,</w:t>
      </w:r>
      <w:r>
        <w:t xml:space="preserve"> </w:t>
      </w:r>
      <w:r>
        <w:t xml:space="preserve">§ 11342.2; see also</w:t>
      </w:r>
      <w:r>
        <w:t xml:space="preserve"> </w:t>
      </w:r>
      <w:r>
        <w:rPr>
          <w:i/>
          <w:iCs/>
        </w:rPr>
        <w:t xml:space="preserve">Assn.</w:t>
      </w:r>
      <w:r>
        <w:rPr>
          <w:i/>
          <w:iCs/>
        </w:rPr>
        <w:t xml:space="preserve"> </w:t>
      </w:r>
      <w:r>
        <w:rPr>
          <w:i/>
          <w:iCs/>
        </w:rPr>
        <w:t xml:space="preserve">of Cal. Ins. Cos. v. Jones</w:t>
      </w:r>
      <w:r>
        <w:t xml:space="preserve"> </w:t>
      </w:r>
      <w:r>
        <w:t xml:space="preserve">(2017) 2 Cal.5th 376, 389-⁠390 (</w:t>
      </w:r>
      <w:r>
        <w:rPr>
          <w:i/>
          <w:iCs/>
        </w:rPr>
        <w:t xml:space="preserve">Jones</w:t>
      </w:r>
      <w:r>
        <w:t xml:space="preserve">) [“These contentions [that a regulation falls outside the lawmaking authority delegated by the legislature] implicate interpretation of the relevant statutes, which is a question of law on which this court exercises independent judgment.”].) The courts should not simply “defer to an agency’s view when deciding whether a regulation lies within the scope of the authority delegated by the Legislature.” (</w:t>
      </w:r>
      <w:r>
        <w:rPr>
          <w:i/>
          <w:iCs/>
        </w:rPr>
        <w:t xml:space="preserve">Yamaha</w:t>
      </w:r>
      <w:r>
        <w:rPr>
          <w:i/>
          <w:iCs/>
        </w:rPr>
        <w:t xml:space="preserve"> </w:t>
      </w:r>
      <w:r>
        <w:rPr>
          <w:i/>
          <w:iCs/>
        </w:rPr>
        <w:t xml:space="preserve">Corp. of Am. v. State Bd. of Equalization</w:t>
      </w:r>
      <w:r>
        <w:t xml:space="preserve"> </w:t>
      </w:r>
      <w:r>
        <w:t xml:space="preserve">(1998) 19 Cal.4th 1, 11, fn. 4 (</w:t>
      </w:r>
      <w:r>
        <w:rPr>
          <w:i/>
          <w:iCs/>
        </w:rPr>
        <w:t xml:space="preserve">Yamaha</w:t>
      </w:r>
      <w:r>
        <w:t xml:space="preserve">); see also</w:t>
      </w:r>
      <w:r>
        <w:t xml:space="preserve"> </w:t>
      </w:r>
      <w:r>
        <w:rPr>
          <w:i/>
          <w:iCs/>
        </w:rPr>
        <w:t xml:space="preserve">PaintCare</w:t>
      </w:r>
      <w:r>
        <w:t xml:space="preserve">,</w:t>
      </w:r>
      <w:r>
        <w:t xml:space="preserve"> </w:t>
      </w:r>
      <w:r>
        <w:rPr>
          <w:i/>
          <w:iCs/>
        </w:rPr>
        <w:t xml:space="preserve">supra</w:t>
      </w:r>
      <w:r>
        <w:t xml:space="preserve">, 233 Cal.App.4th at pp. 1303-⁠1304 [“The question of an agency’s interpretation of a statute is different from the issue here of whether regulations fall within the scope of the agency’s authority, for which the Supreme Court in Yamaha found the court does not defer to the agency’s view.”].)</w:t>
      </w:r>
    </w:p>
    <w:p>
      <w:pPr>
        <w:pStyle w:val="BodyText"/>
      </w:pPr>
      <w:r>
        <w:t xml:space="preserve">Put another way, courts are not bound by an agency’s own interpretation of the authorizing statute; for “the courts are the ultimate arbiters of the construction of a statute.” (</w:t>
      </w:r>
      <w:r>
        <w:rPr>
          <w:i/>
          <w:iCs/>
        </w:rPr>
        <w:t xml:space="preserve">Littoral</w:t>
      </w:r>
      <w:r>
        <w:rPr>
          <w:i/>
          <w:iCs/>
        </w:rPr>
        <w:t xml:space="preserve"> </w:t>
      </w:r>
      <w:r>
        <w:rPr>
          <w:i/>
          <w:iCs/>
        </w:rPr>
        <w:t xml:space="preserve">Devel. Co. v. S.F. Bay Conserv.</w:t>
      </w:r>
      <w:r>
        <w:t xml:space="preserve"> </w:t>
      </w:r>
      <w:r>
        <w:t xml:space="preserve">(1994) 24 Cal.App.4th 1050, 1058, as modified on denial of reh’g (May 26, 1994), quoting</w:t>
      </w:r>
      <w:r>
        <w:t xml:space="preserve"> </w:t>
      </w:r>
      <w:r>
        <w:rPr>
          <w:i/>
          <w:iCs/>
        </w:rPr>
        <w:t xml:space="preserve">Cal.</w:t>
      </w:r>
      <w:r>
        <w:rPr>
          <w:i/>
          <w:iCs/>
        </w:rPr>
        <w:t xml:space="preserve"> </w:t>
      </w:r>
      <w:r>
        <w:rPr>
          <w:i/>
          <w:iCs/>
        </w:rPr>
        <w:t xml:space="preserve">Assn. of Psych. Providers v. Rank</w:t>
      </w:r>
      <w:r>
        <w:t xml:space="preserve"> </w:t>
      </w:r>
      <w:r>
        <w:t xml:space="preserve">(1990) 51 Cal.3d 1, 11; see also</w:t>
      </w:r>
      <w:r>
        <w:t xml:space="preserve"> </w:t>
      </w:r>
      <w:r>
        <w:rPr>
          <w:i/>
          <w:iCs/>
        </w:rPr>
        <w:t xml:space="preserve">Grimes</w:t>
      </w:r>
      <w:r>
        <w:rPr>
          <w:i/>
          <w:iCs/>
        </w:rPr>
        <w:t xml:space="preserve"> </w:t>
      </w:r>
      <w:r>
        <w:rPr>
          <w:i/>
          <w:iCs/>
        </w:rPr>
        <w:t xml:space="preserve">v. State Dept. of Soc. Servs.</w:t>
      </w:r>
      <w:r>
        <w:t xml:space="preserve"> </w:t>
      </w:r>
      <w:r>
        <w:t xml:space="preserve">(1999) 70 Cal.App.4th 1065, 1073 [“‘[w]hatever the force of administrative construction, . . . final responsibility for the interpretation of the law rests with the courts.’”].) Indeed, if it were otherwise, the APA would cease to have much meaning. For the decision of whether the APA applies to an agency’s action, would ultimately rest in the hands of the very agencies that would otherwise be bound by the strict requirements of the APA. That result is an affront to public policy and the intent of the APA—that our (unelected) government officials should be transparent and accountable when passing quasi-legislative enactments.</w:t>
      </w:r>
    </w:p>
    <w:p>
      <w:pPr>
        <w:pStyle w:val="BodyTextNote"/>
      </w:pPr>
      <w:r>
        <w:t xml:space="preserve">The trial court, relying only on the notion that courts owe “great weight” to the decisions of administrative bodies and ignoring its own role as the final arbiter of the law’s interpretation (J.A. V 1933), conflates the standard for judicial review of regulatory action, generally, with the standard for reviewing an agency’s interpretation that its action is exempt from the APA, specifically. While the trial court was correct that agencies generally enjoy some leeway to “fill up the details” of a statutory scheme with regulations based on its construction of the relevant authorizing statute (</w:t>
      </w:r>
      <w:r>
        <w:rPr>
          <w:i/>
          <w:iCs/>
        </w:rPr>
        <w:t xml:space="preserve">ibid.</w:t>
      </w:r>
      <w:r>
        <w:t xml:space="preserve">), no such deference is due when there is a question about whether the agency had to comply with APA procedures in the first place. To the contrary, if there is doubt over APA’s application, courts must give deference not to the agency’s claim of exemption, but to application of the APA procedures. (</w:t>
      </w:r>
      <w:r>
        <w:rPr>
          <w:i/>
          <w:iCs/>
        </w:rPr>
        <w:t xml:space="preserve">Cal. Sch. Bds. Assn.</w:t>
      </w:r>
      <w:r>
        <w:t xml:space="preserve">,</w:t>
      </w:r>
      <w:r>
        <w:t xml:space="preserve"> </w:t>
      </w:r>
      <w:r>
        <w:rPr>
          <w:i/>
          <w:iCs/>
        </w:rPr>
        <w:t xml:space="preserve">supra</w:t>
      </w:r>
      <w:r>
        <w:t xml:space="preserve">, 186 Cal.App.4th at p. 1328.)</w:t>
      </w:r>
      <w:r>
        <w:rPr>
          <w:rStyle w:val="FootnoteReference"/>
        </w:rPr>
        <w:footnoteReference w:id="18"/>
      </w:r>
    </w:p>
    <w:p>
      <w:pPr>
        <w:pStyle w:val="BodyText"/>
      </w:pPr>
      <w:r>
        <w:t xml:space="preserve">And even though “great weight and respect” should generally be afforded to an administrative agency’s construction, “how much weight to accord . . . depends on the context, a term encompassing both the nature of the statutory issues and characteristics of the agency.” (</w:t>
      </w:r>
      <w:r>
        <w:rPr>
          <w:i/>
          <w:iCs/>
        </w:rPr>
        <w:t xml:space="preserve">Jones</w:t>
      </w:r>
      <w:r>
        <w:t xml:space="preserve">,</w:t>
      </w:r>
      <w:r>
        <w:t xml:space="preserve"> </w:t>
      </w:r>
      <w:r>
        <w:rPr>
          <w:i/>
          <w:iCs/>
        </w:rPr>
        <w:t xml:space="preserve">supra</w:t>
      </w:r>
      <w:r>
        <w:t xml:space="preserve">, 2 Cal.5th at p. 390, citing</w:t>
      </w:r>
      <w:r>
        <w:t xml:space="preserve"> </w:t>
      </w:r>
      <w:r>
        <w:rPr>
          <w:i/>
          <w:iCs/>
        </w:rPr>
        <w:t xml:space="preserve">Am.</w:t>
      </w:r>
      <w:r>
        <w:rPr>
          <w:i/>
          <w:iCs/>
        </w:rPr>
        <w:t xml:space="preserve"> </w:t>
      </w:r>
      <w:r>
        <w:rPr>
          <w:i/>
          <w:iCs/>
        </w:rPr>
        <w:t xml:space="preserve">Coatings Assn. v. S. Coast Air. Q. Mgmt. Dist.</w:t>
      </w:r>
      <w:r>
        <w:t xml:space="preserve"> </w:t>
      </w:r>
      <w:r>
        <w:t xml:space="preserve">(2012) 54 Cal.4th 446, 461.) “Among the factors bearing on the value of the administrative interpretation, two broad categories emerge: factors relating to the agency’s technical knowledge and expertise, which tend to suggest the agency has a comparative interpretive advantage over a court; and factors relating to the care with which the interpretation was promulgated, which tend to suggest the agency’s interpretation is likely to be correct.” (</w:t>
      </w:r>
      <w:r>
        <w:rPr>
          <w:i/>
          <w:iCs/>
        </w:rPr>
        <w:t xml:space="preserve">Ibid.</w:t>
      </w:r>
      <w:r>
        <w:t xml:space="preserve">, citing</w:t>
      </w:r>
      <w:r>
        <w:t xml:space="preserve"> </w:t>
      </w:r>
      <w:r>
        <w:rPr>
          <w:i/>
          <w:iCs/>
        </w:rPr>
        <w:t xml:space="preserve">Yamaha</w:t>
      </w:r>
      <w:r>
        <w:t xml:space="preserve">,</w:t>
      </w:r>
      <w:r>
        <w:t xml:space="preserve"> </w:t>
      </w:r>
      <w:r>
        <w:rPr>
          <w:i/>
          <w:iCs/>
        </w:rPr>
        <w:t xml:space="preserve">supra</w:t>
      </w:r>
      <w:r>
        <w:t xml:space="preserve">, 19 Cal.4th at p. 13, italics added.)</w:t>
      </w:r>
    </w:p>
    <w:p>
      <w:pPr>
        <w:pStyle w:val="BodyText"/>
      </w:pPr>
      <w:r>
        <w:t xml:space="preserve">Here, neither factor counsels in favor of deferring to the interpretation at issue. For interpreting Subdivision (b)’s APA exemption requires no technical knowledge related to the DOJ Bureau of Firearms’ areas of expertise. It is unrelated to firearms, “assault weapons,” registration procedures, or any other “technical, obscure, complex, open-ended, or entwined issues of fact, policy, [or] discretion” (</w:t>
      </w:r>
      <w:r>
        <w:rPr>
          <w:i/>
          <w:iCs/>
        </w:rPr>
        <w:t xml:space="preserve">Yamaha</w:t>
      </w:r>
      <w:r>
        <w:t xml:space="preserve">,</w:t>
      </w:r>
      <w:r>
        <w:t xml:space="preserve"> </w:t>
      </w:r>
      <w:r>
        <w:rPr>
          <w:i/>
          <w:iCs/>
        </w:rPr>
        <w:t xml:space="preserve">supra</w:t>
      </w:r>
      <w:r>
        <w:t xml:space="preserve">, 19 Cal.4th at p. 12) that would give DOJ a “comparative advantage over a court” (</w:t>
      </w:r>
      <w:r>
        <w:rPr>
          <w:i/>
          <w:iCs/>
        </w:rPr>
        <w:t xml:space="preserve">Jones</w:t>
      </w:r>
      <w:r>
        <w:t xml:space="preserve">,</w:t>
      </w:r>
      <w:r>
        <w:t xml:space="preserve"> </w:t>
      </w:r>
      <w:r>
        <w:rPr>
          <w:i/>
          <w:iCs/>
        </w:rPr>
        <w:t xml:space="preserve">supra</w:t>
      </w:r>
      <w:r>
        <w:t xml:space="preserve">, 2 Cal.5th at p. 390). Instead, the interpretation of a general statute to determine the proper scope of an APA exemption—the very question raised here—is a question of law best left to the courts’ independent judgment.</w:t>
      </w:r>
    </w:p>
    <w:p>
      <w:pPr>
        <w:pStyle w:val="BodyText"/>
      </w:pPr>
      <w:r>
        <w:t xml:space="preserve">As for the “care” DOJ took in interpreting the Subdivision (b) exemption, courts look to several factors to determine whether an agency’s interpretation is “likely to be correct,” including evidence of careful consideration by senior officials, public participation in the adoption process, consistency with long-standing statutory interpretation, and whether the agency adopted the interpretation contemporaneously with the authorizing statute. (</w:t>
      </w:r>
      <w:r>
        <w:rPr>
          <w:i/>
          <w:iCs/>
        </w:rPr>
        <w:t xml:space="preserve">Yamaha</w:t>
      </w:r>
      <w:r>
        <w:t xml:space="preserve">,</w:t>
      </w:r>
      <w:r>
        <w:t xml:space="preserve"> </w:t>
      </w:r>
      <w:r>
        <w:rPr>
          <w:i/>
          <w:iCs/>
        </w:rPr>
        <w:t xml:space="preserve">supra</w:t>
      </w:r>
      <w:r>
        <w:t xml:space="preserve">, 19 Cal.4th at pp. 12-⁠13.) Nothing in the record suggests that any high-ranking DOJ official carefully considered or provided a well-reasoned analysis of DOJ’s interpretation of the Subdivision (b) exemption at issue. (See</w:t>
      </w:r>
      <w:r>
        <w:t xml:space="preserve"> </w:t>
      </w:r>
      <w:r>
        <w:rPr>
          <w:i/>
          <w:iCs/>
        </w:rPr>
        <w:t xml:space="preserve">Sheet</w:t>
      </w:r>
      <w:r>
        <w:rPr>
          <w:i/>
          <w:iCs/>
        </w:rPr>
        <w:t xml:space="preserve"> </w:t>
      </w:r>
      <w:r>
        <w:rPr>
          <w:i/>
          <w:iCs/>
        </w:rPr>
        <w:t xml:space="preserve">Metal Workers Internat. Assn., Local 104 v. Duncan</w:t>
      </w:r>
      <w:r>
        <w:t xml:space="preserve"> </w:t>
      </w:r>
      <w:r>
        <w:t xml:space="preserve">(2014) 229 Cal.App.4th 192, 207 [agency determination given deference because it was “plainly the product of careful consideration by senior members of the administrative agency”].) Similarly, there is no evidence that DOJ Bureau of Firearms staff were in any way involved in the drafting of Subdivision (b)’s exemption. (See</w:t>
      </w:r>
      <w:r>
        <w:t xml:space="preserve"> </w:t>
      </w:r>
      <w:r>
        <w:rPr>
          <w:i/>
          <w:iCs/>
        </w:rPr>
        <w:t xml:space="preserve">Sara</w:t>
      </w:r>
      <w:r>
        <w:rPr>
          <w:i/>
          <w:iCs/>
        </w:rPr>
        <w:t xml:space="preserve"> </w:t>
      </w:r>
      <w:r>
        <w:rPr>
          <w:i/>
          <w:iCs/>
        </w:rPr>
        <w:t xml:space="preserve">M. v. Superior Ct.</w:t>
      </w:r>
      <w:r>
        <w:t xml:space="preserve"> </w:t>
      </w:r>
      <w:r>
        <w:t xml:space="preserve">(Tuolumne Cnty. Dept. Soc. Servs.) (2005) 36 Cal.4th 998, 1014 [giving an agency’s statutory interpretation greater weight if the agency was involved in drafting the statute].) DOJ undisputedly did not invite the public to participate in the consideration and adoption of the Challenged Regulations. And the existence of both the Subdivision (b) exemption and DOJ’s interpretation of it are by no means longstanding. Thus, whatever “weight” is due DOJ’s interpretation of the APA exemption at issue, it is not substantial.</w:t>
      </w:r>
    </w:p>
    <w:p>
      <w:pPr>
        <w:pStyle w:val="BodyText"/>
      </w:pPr>
      <w:r>
        <w:t xml:space="preserve">With that level of deference in mind, we consider the propriety of DOJ’s interpretation and application of Subdivision (b)’s APA exemption. Here, none of the Challenged Regulations bears a reasonable relation to the registration procedures contemplated by Subdivision (b). The trial court erroneously found that the “challenged regulations ensure that eligible weapons are registered, by eligible applicants, through an understandable registration process.” (J.A. V 1933.) But they do far more than that. Each affect what is an eligible weapon, who is an eligible applicant for registration, or what statutory conditions must be met to even engage in the registration process. (See Argument, Part II.B,</w:t>
      </w:r>
      <w:r>
        <w:t xml:space="preserve"> </w:t>
      </w:r>
      <w:r>
        <w:rPr>
          <w:i/>
          <w:iCs/>
        </w:rPr>
        <w:t xml:space="preserve">infra</w:t>
      </w:r>
      <w:r>
        <w:t xml:space="preserve">.) One even restricts purely post-registration activity. (Cal.</w:t>
      </w:r>
      <w:r>
        <w:t xml:space="preserve"> </w:t>
      </w:r>
      <w:r>
        <w:t xml:space="preserve">Code Regs., tit. 11, § 5477.) Those are all matters beyond the scope of Subdivision (b)’s APA exemption. At best for DOJ, there is doubt over whether they are. And because any doubt about whether the APA applies requires its application (</w:t>
      </w:r>
      <w:r>
        <w:rPr>
          <w:i/>
          <w:iCs/>
        </w:rPr>
        <w:t xml:space="preserve">Cal.</w:t>
      </w:r>
      <w:r>
        <w:rPr>
          <w:i/>
          <w:iCs/>
        </w:rPr>
        <w:t xml:space="preserve"> </w:t>
      </w:r>
      <w:r>
        <w:rPr>
          <w:i/>
          <w:iCs/>
        </w:rPr>
        <w:t xml:space="preserve">Sch. Bds. Assn.</w:t>
      </w:r>
      <w:r>
        <w:t xml:space="preserve">,</w:t>
      </w:r>
      <w:r>
        <w:t xml:space="preserve"> </w:t>
      </w:r>
      <w:r>
        <w:rPr>
          <w:i/>
          <w:iCs/>
        </w:rPr>
        <w:t xml:space="preserve">supra</w:t>
      </w:r>
      <w:r>
        <w:t xml:space="preserve">, 186 Cal.App.4th at p. 1328), the trial court should have invalidated the Challenged Regulations.</w:t>
      </w:r>
    </w:p>
    <w:p>
      <w:pPr>
        <w:pStyle w:val="BodyText"/>
      </w:pPr>
      <w:r>
        <w:t xml:space="preserve">What’s more, Penal</w:t>
      </w:r>
      <w:r>
        <w:t xml:space="preserve"> </w:t>
      </w:r>
      <w:r>
        <w:t xml:space="preserve">Code section 30520, subdivision (c) confers on DOJ the authority “to adopt those rules and regulations that may be necessary or proper to carry out the purposes and intent of [the AWCA].” Section 30520, subdivision (c) predates the adoption of SB 880 and AB 1135, and neither bill altered it. Because section 30520’s grant of authority contains no APA exemption, DOJ must generally adhere to the APA when promulgating regulations implementing the AWCA. So Subdivision (b) cannot apply to just any regulation furthering the broader purposes of the AWCA, as the trial court suggests. (J.A. V 1933-⁠1944.) It must be (and expressly is) limited to implementing the registration of “bullet-button assault weapons.” (Pen.</w:t>
      </w:r>
      <w:r>
        <w:t xml:space="preserve"> </w:t>
      </w:r>
      <w:r>
        <w:t xml:space="preserve">Code, § 30900, subd. (b)⁠(5).) Interpreting the Subdivision (b) otherwise would nullify Section 30520, subdivision (c). There is no indication whatsoever that the legislature intended such a result.</w:t>
      </w:r>
    </w:p>
    <w:p>
      <w:pPr>
        <w:pStyle w:val="BodyText"/>
      </w:pPr>
      <w:r>
        <w:t xml:space="preserve">Ultimately, there is at least some doubt that the DOJ’s expansive view of Subdivision (b)’s APA exemption is what the legislature intended. Indeed, the trial court itself repeatedly acknowledges as much in its ruling, holding that DOJ’s interpretation of Subdivision (b) “does not appear contrary to law” because the challenged regulations “appear to” implement “the authorizing statute” and “appear to carry out the intention of the Legislature.” (J.A. V 1933-⁠1944, italics added.) The word “appear,” as the trial court uses it at each level of its analysis, undeniably connotes uncertainty—that it harbored some doubt that the APA should not apply. Thus, Appellants should have prevailed. But the trial court did the opposite of what the law commands. Apparently, because it found DOJ’s reading of Subdivision (b) reasonable and the Challenge Regulations in line with the legislature’s general intent for the AWCA, the trial court held that DOJ was entitled to great deference when it exempted itself from the APA. (J.A. V 1933-⁠1944.) Because that deference should have instead been given to APA application, the trial court erred.</w:t>
      </w:r>
    </w:p>
    <w:p>
      <w:pPr>
        <w:keepNext/>
        <w:keepLines/>
        <w:spacing w:before="260" w:after="208" w:line="338" w:lineRule="exact"/>
        <w:ind w:left="2160" w:hanging="720"/>
        <w:jc w:val="left"/>
      </w:pPr>
      <w:r>
        <w:rPr>
          <w:b/>
          <w:bCs/>
          <w:i/>
          <w:iCs/>
        </w:rPr>
        <w:t xml:space="preserve">2.</w:t>
      </w:r>
      <w:r>
        <w:rPr>
          <w:b/>
          <w:bCs/>
          <w:i/>
          <w:iCs/>
        </w:rPr>
        <w:tab/>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Regulations</w:t>
      </w:r>
      <w:r>
        <w:rPr>
          <w:b/>
          <w:bCs/>
          <w:i/>
          <w:iCs/>
        </w:rPr>
        <w:t xml:space="preserve"> </w:t>
      </w:r>
      <w:r>
        <w:rPr>
          <w:b/>
          <w:bCs/>
          <w:i/>
          <w:iCs/>
        </w:rPr>
        <w:t xml:space="preserve">Are</w:t>
      </w:r>
      <w:r>
        <w:rPr>
          <w:b/>
          <w:bCs/>
          <w:i/>
          <w:iCs/>
        </w:rPr>
        <w:t xml:space="preserve"> </w:t>
      </w:r>
      <w:r>
        <w:rPr>
          <w:b/>
          <w:bCs/>
          <w:i/>
          <w:iCs/>
        </w:rPr>
        <w:t xml:space="preserve">Invalid</w:t>
      </w:r>
      <w:r>
        <w:rPr>
          <w:b/>
          <w:bCs/>
          <w:i/>
          <w:iCs/>
        </w:rPr>
        <w:t xml:space="preserve"> </w:t>
      </w:r>
      <w:r>
        <w:rPr>
          <w:b/>
          <w:bCs/>
          <w:i/>
          <w:iCs/>
        </w:rPr>
        <w:t xml:space="preserve">Both</w:t>
      </w:r>
      <w:r>
        <w:rPr>
          <w:b/>
          <w:bCs/>
          <w:i/>
          <w:iCs/>
        </w:rPr>
        <w:t xml:space="preserve"> </w:t>
      </w:r>
      <w:r>
        <w:rPr>
          <w:b/>
          <w:bCs/>
          <w:i/>
          <w:iCs/>
        </w:rPr>
        <w:t xml:space="preserve">Because</w:t>
      </w:r>
      <w:r>
        <w:rPr>
          <w:b/>
          <w:bCs/>
          <w:i/>
          <w:iCs/>
        </w:rPr>
        <w:t xml:space="preserve"> </w:t>
      </w:r>
      <w:r>
        <w:rPr>
          <w:b/>
          <w:bCs/>
          <w:i/>
          <w:iCs/>
        </w:rPr>
        <w:t xml:space="preserve">They</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Comply</w:t>
      </w:r>
      <w:r>
        <w:rPr>
          <w:b/>
          <w:bCs/>
          <w:i/>
          <w:iCs/>
        </w:rPr>
        <w:t xml:space="preserve"> </w:t>
      </w:r>
      <w:r>
        <w:rPr>
          <w:b/>
          <w:bCs/>
          <w:i/>
          <w:iCs/>
        </w:rPr>
        <w:t xml:space="preserve">with</w:t>
      </w:r>
      <w:r>
        <w:rPr>
          <w:b/>
          <w:bCs/>
          <w:i/>
          <w:iCs/>
        </w:rPr>
        <w:t xml:space="preserve"> </w:t>
      </w:r>
      <w:r>
        <w:rPr>
          <w:b/>
          <w:bCs/>
          <w:i/>
          <w:iCs/>
        </w:rPr>
        <w:t xml:space="preserve">the</w:t>
      </w:r>
      <w:r>
        <w:rPr>
          <w:b/>
          <w:bCs/>
          <w:i/>
          <w:iCs/>
        </w:rPr>
        <w:t xml:space="preserve"> </w:t>
      </w:r>
      <w:r>
        <w:rPr>
          <w:b/>
          <w:bCs/>
          <w:i/>
          <w:iCs/>
        </w:rPr>
        <w:t xml:space="preserve">APA</w:t>
      </w:r>
      <w:r>
        <w:rPr>
          <w:b/>
          <w:bCs/>
          <w:i/>
          <w:iCs/>
        </w:rPr>
        <w:t xml:space="preserve"> </w:t>
      </w:r>
      <w:r>
        <w:rPr>
          <w:b/>
          <w:bCs/>
          <w:i/>
          <w:iCs/>
        </w:rPr>
        <w:t xml:space="preserve">and</w:t>
      </w:r>
      <w:r>
        <w:rPr>
          <w:b/>
          <w:bCs/>
          <w:i/>
          <w:iCs/>
        </w:rPr>
        <w:t xml:space="preserve"> </w:t>
      </w:r>
      <w:r>
        <w:rPr>
          <w:b/>
          <w:bCs/>
          <w:i/>
          <w:iCs/>
        </w:rPr>
        <w:t xml:space="preserve">They</w:t>
      </w:r>
      <w:r>
        <w:rPr>
          <w:b/>
          <w:bCs/>
          <w:i/>
          <w:iCs/>
        </w:rPr>
        <w:t xml:space="preserve"> </w:t>
      </w:r>
      <w:r>
        <w:rPr>
          <w:b/>
          <w:bCs/>
          <w:i/>
          <w:iCs/>
        </w:rPr>
        <w:t xml:space="preserve">Unlawfully</w:t>
      </w:r>
      <w:r>
        <w:rPr>
          <w:b/>
          <w:bCs/>
          <w:i/>
          <w:iCs/>
        </w:rPr>
        <w:t xml:space="preserve"> </w:t>
      </w:r>
      <w:r>
        <w:rPr>
          <w:b/>
          <w:bCs/>
          <w:i/>
          <w:iCs/>
        </w:rPr>
        <w:t xml:space="preserve">Alter</w:t>
      </w:r>
      <w:r>
        <w:rPr>
          <w:b/>
          <w:bCs/>
          <w:i/>
          <w:iCs/>
        </w:rPr>
        <w:t xml:space="preserve"> </w:t>
      </w:r>
      <w:r>
        <w:rPr>
          <w:b/>
          <w:bCs/>
          <w:i/>
          <w:iCs/>
        </w:rPr>
        <w:t xml:space="preserve">Statutes</w:t>
      </w:r>
    </w:p>
    <w:p>
      <w:pPr>
        <w:pStyle w:val="BodyText"/>
      </w:pPr>
      <w:r>
        <w:t xml:space="preserve">Again, none of the Challenged Regulations fall within Subdivision (b)’s APA exemption. For they concern themselves not with how to register “bullet-button assault weapons,” but instead with what may be registered, who may register, or the conditions for registration. But even setting aside the APA compliance issue and assuming the Challenged Regulations do relate only to registration under Subdivision (b), virtually every one of the Challenged Regulations illegally altered the scope of the statutes they purport to implement. The trial court ignored that reality. Rather than individually evaluating each of Appellants’ complaints about that aspect of the Challenged Regulations, the trial court instead seems to have simply, and wrongly, deferred to the DOJ’s interpretation of those statutes.</w:t>
      </w:r>
    </w:p>
    <w:p>
      <w:pPr>
        <w:keepNext/>
        <w:keepLines/>
        <w:spacing w:before="260" w:after="208" w:line="338" w:lineRule="exact"/>
        <w:ind w:left="2880" w:hanging="720"/>
        <w:jc w:val="left"/>
      </w:pPr>
      <w:r>
        <w:rPr>
          <w:b/>
          <w:bCs/>
          <w:i/>
          <w:iCs/>
        </w:rPr>
        <w:t xml:space="preserve">a.</w:t>
      </w:r>
      <w:r>
        <w:rPr>
          <w:b/>
          <w:bCs/>
          <w:i/>
          <w:iCs/>
        </w:rPr>
        <w:tab/>
      </w:r>
      <w:r>
        <w:rPr>
          <w:b/>
          <w:bCs/>
          <w:i/>
          <w:iCs/>
        </w:rPr>
        <w:t xml:space="preserve">Deletion</w:t>
      </w:r>
      <w:r>
        <w:rPr>
          <w:b/>
          <w:bCs/>
          <w:i/>
          <w:iCs/>
        </w:rPr>
        <w:t xml:space="preserve"> </w:t>
      </w:r>
      <w:r>
        <w:rPr>
          <w:b/>
          <w:bCs/>
          <w:i/>
          <w:iCs/>
        </w:rPr>
        <w:t xml:space="preserve">of</w:t>
      </w:r>
      <w:r>
        <w:rPr>
          <w:b/>
          <w:bCs/>
          <w:i/>
          <w:iCs/>
        </w:rPr>
        <w:t xml:space="preserve"> </w:t>
      </w:r>
      <w:r>
        <w:rPr>
          <w:b/>
          <w:bCs/>
          <w:i/>
          <w:iCs/>
        </w:rPr>
        <w:t xml:space="preserve">Lawfully</w:t>
      </w:r>
      <w:r>
        <w:rPr>
          <w:b/>
          <w:bCs/>
          <w:i/>
          <w:iCs/>
        </w:rPr>
        <w:t xml:space="preserve"> </w:t>
      </w:r>
      <w:r>
        <w:rPr>
          <w:b/>
          <w:bCs/>
          <w:i/>
          <w:iCs/>
        </w:rPr>
        <w:t xml:space="preserve">Enacted</w:t>
      </w:r>
      <w:r>
        <w:rPr>
          <w:b/>
          <w:bCs/>
          <w:i/>
          <w:iCs/>
        </w:rPr>
        <w:t xml:space="preserve"> </w:t>
      </w:r>
      <w:r>
        <w:rPr>
          <w:b/>
          <w:bCs/>
          <w:i/>
          <w:iCs/>
        </w:rPr>
        <w:t xml:space="preserve">Definitions</w:t>
      </w:r>
    </w:p>
    <w:p>
      <w:pPr>
        <w:pStyle w:val="BodyText"/>
      </w:pPr>
      <w:r>
        <w:t xml:space="preserve">California</w:t>
      </w:r>
      <w:r>
        <w:t xml:space="preserve"> </w:t>
      </w:r>
      <w:r>
        <w:t xml:space="preserve">Code of Regulations, title 11, section 5469 deletes existing regulations the DOJ lawfully adopted over 18 years ago in compliance with the APA, some of which underwent extensive revisions before being adopted. (See J.A. II 287-⁠291 [summarizing the rulemaking process for each definition].) Each of those repealed regulatory provisions exclusively applied to the “identification of assault weapons pursuant to Penal Code section 30515.” (Cal. Code Regs., tit. 11, § 5469 (repealed and replaced).) Yet, DOJ repealed them without adhering to the APA, relying on the APA exemption in Subdivision (b), which only applies to its own implementation. In other words, the repealed regulatory provisions implemented a completely different statute than the one Subdivision (b) appears in. As a result, they are beyond the scope of DOJ’s narrow APA exemption.</w:t>
      </w:r>
    </w:p>
    <w:p>
      <w:pPr>
        <w:pStyle w:val="BodyText"/>
      </w:pPr>
      <w:r>
        <w:t xml:space="preserve">Had the Legislature intended to allow DOJ to alter such longstanding definitions implementing a separate statute, it almost certainly would have been clearer in affording DOJ the authority to make such changes. In any event, to allow DOJ to do so without adhering to the APA, the Legislature had to be clearer. (See Cal.</w:t>
      </w:r>
      <w:r>
        <w:t xml:space="preserve"> </w:t>
      </w:r>
      <w:r>
        <w:t xml:space="preserve">Sch. Bds. Assn.,</w:t>
      </w:r>
      <w:r>
        <w:t xml:space="preserve"> </w:t>
      </w:r>
      <w:r>
        <w:rPr>
          <w:i/>
          <w:iCs/>
        </w:rPr>
        <w:t xml:space="preserve">supra</w:t>
      </w:r>
      <w:r>
        <w:t xml:space="preserve">, 186 Cal.App.4th at p. 1328.) Because it was not, DOJ’s failure to comply with the APA voids section 5469.</w:t>
      </w:r>
    </w:p>
    <w:p>
      <w:pPr>
        <w:keepNext/>
        <w:keepLines/>
        <w:spacing w:before="260" w:after="208" w:line="338" w:lineRule="exact"/>
        <w:ind w:left="2880" w:hanging="720"/>
        <w:jc w:val="left"/>
      </w:pPr>
      <w:r>
        <w:rPr>
          <w:b/>
          <w:bCs/>
          <w:i/>
          <w:iCs/>
        </w:rPr>
        <w:t xml:space="preserve">b.</w:t>
      </w:r>
      <w:r>
        <w:rPr>
          <w:b/>
          <w:bCs/>
          <w:i/>
          <w:iCs/>
        </w:rPr>
        <w:tab/>
      </w:r>
      <w:r>
        <w:rPr>
          <w:b/>
          <w:bCs/>
          <w:i/>
          <w:iCs/>
        </w:rPr>
        <w:t xml:space="preserve">Requirement</w:t>
      </w:r>
      <w:r>
        <w:rPr>
          <w:b/>
          <w:bCs/>
          <w:i/>
          <w:iCs/>
        </w:rPr>
        <w:t xml:space="preserve"> </w:t>
      </w:r>
      <w:r>
        <w:rPr>
          <w:b/>
          <w:bCs/>
          <w:i/>
          <w:iCs/>
        </w:rPr>
        <w:t xml:space="preserve">that</w:t>
      </w:r>
      <w:r>
        <w:rPr>
          <w:b/>
          <w:bCs/>
          <w:i/>
          <w:iCs/>
        </w:rPr>
        <w:t xml:space="preserve"> </w:t>
      </w:r>
      <w:r>
        <w:rPr>
          <w:b/>
          <w:bCs/>
          <w:i/>
          <w:iCs/>
        </w:rPr>
        <w:t xml:space="preserve">“Bullet-button</w:t>
      </w:r>
      <w:r>
        <w:rPr>
          <w:b/>
          <w:bCs/>
          <w:i/>
          <w:iCs/>
        </w:rPr>
        <w:t xml:space="preserve"> </w:t>
      </w:r>
      <w:r>
        <w:rPr>
          <w:b/>
          <w:bCs/>
          <w:i/>
          <w:iCs/>
        </w:rPr>
        <w:t xml:space="preserve">Shotguns”</w:t>
      </w:r>
      <w:r>
        <w:rPr>
          <w:b/>
          <w:bCs/>
          <w:i/>
          <w:iCs/>
        </w:rPr>
        <w:t xml:space="preserve"> </w:t>
      </w:r>
      <w:r>
        <w:rPr>
          <w:b/>
          <w:bCs/>
          <w:i/>
          <w:iCs/>
        </w:rPr>
        <w:t xml:space="preserve">Be</w:t>
      </w:r>
      <w:r>
        <w:rPr>
          <w:b/>
          <w:bCs/>
          <w:i/>
          <w:iCs/>
        </w:rPr>
        <w:t xml:space="preserve"> </w:t>
      </w:r>
      <w:r>
        <w:rPr>
          <w:b/>
          <w:bCs/>
          <w:i/>
          <w:iCs/>
        </w:rPr>
        <w:t xml:space="preserve">Registered</w:t>
      </w:r>
    </w:p>
    <w:p>
      <w:pPr>
        <w:pStyle w:val="BodyText"/>
      </w:pPr>
      <w:r>
        <w:t xml:space="preserve">Perhaps the clearest violation of DOJ’s authority to regulate here is California</w:t>
      </w:r>
      <w:r>
        <w:t xml:space="preserve"> </w:t>
      </w:r>
      <w:r>
        <w:t xml:space="preserve">Code of Regulations, title 11, section 5470, subdivision (a). That subdivision reads: “A semiautomatic shotgun with an ammunition feeding device that can be readily removed from the firearm with the use of a tool, commonly referred to as a bullet-button weapon, is included in the category of firearms that must be registered” under Subdivision (b). But shotguns falling under section 5470 are not “assault weapons” under the AWCA.</w:t>
      </w:r>
    </w:p>
    <w:p>
      <w:pPr>
        <w:pStyle w:val="BodyText"/>
      </w:pPr>
      <w:r>
        <w:t xml:space="preserve">Recall, before the legislature enacted the “bullet button” restriction in 2016, semiautomatic rifles, pistols, and shotguns equipped with a “magazine lock,” like a “bullet button,” were perfectly legal (regardless of their features) because they did not have “the capacity to accept a detachable magazine.” With the adoption of SB 880 and AB 1135, the legislature amended only Penal</w:t>
      </w:r>
      <w:r>
        <w:t xml:space="preserve"> </w:t>
      </w:r>
      <w:r>
        <w:t xml:space="preserve">Code section 30515, subdivision (a)⁠(1) and (4)—the subdivisions dealing with semiautomatic pistols and rifles. (Sen. Bill</w:t>
      </w:r>
      <w:r>
        <w:t xml:space="preserve"> </w:t>
      </w:r>
      <w:r>
        <w:t xml:space="preserve">No. 880 (2015-⁠2016 Reg. Sess.) § 1; Assem.</w:t>
      </w:r>
      <w:r>
        <w:t xml:space="preserve"> </w:t>
      </w:r>
      <w:r>
        <w:t xml:space="preserve">Bill No. 1135 (2015-⁠2016 Reg. Sess.) § 1; see also Cal.</w:t>
      </w:r>
      <w:r>
        <w:t xml:space="preserve"> </w:t>
      </w:r>
      <w:r>
        <w:t xml:space="preserve">Code Regs., tit. 11, § 5471(r); see also Pen.</w:t>
      </w:r>
      <w:r>
        <w:t xml:space="preserve"> </w:t>
      </w:r>
      <w:r>
        <w:t xml:space="preserve">Code, § 30515, subd. (a)⁠(1)⁠(E).)</w:t>
      </w:r>
    </w:p>
    <w:p>
      <w:pPr>
        <w:pStyle w:val="BodyText"/>
      </w:pPr>
      <w:r>
        <w:t xml:space="preserve">It left the definition of “assault weapon” for shotguns completely untouched. That necessarily means that whichever shotguns were not “assault weapons” before the legislature passed SB 880 and AB 1135 were not “assault weapons” after. Such shotguns, therefore, simply do not fall within the category of firearms that must be registered under Subdivision (b), which only requires registration for “an assault weapon that does not have a fixed magazine.” Section 5470 is thus invalid, and the lower court erred in holding otherwise.</w:t>
      </w:r>
    </w:p>
    <w:p>
      <w:pPr>
        <w:keepNext/>
        <w:keepLines/>
        <w:spacing w:before="260" w:after="208" w:line="338" w:lineRule="exact"/>
        <w:ind w:left="2880" w:hanging="720"/>
        <w:jc w:val="left"/>
      </w:pPr>
      <w:r>
        <w:rPr>
          <w:b/>
          <w:bCs/>
          <w:i/>
          <w:iCs/>
        </w:rPr>
        <w:t xml:space="preserve">c.</w:t>
      </w:r>
      <w:r>
        <w:rPr>
          <w:b/>
          <w:bCs/>
          <w:i/>
          <w:iCs/>
        </w:rPr>
        <w:tab/>
      </w:r>
      <w:r>
        <w:rPr>
          <w:b/>
          <w:bCs/>
          <w:i/>
          <w:iCs/>
        </w:rPr>
        <w:t xml:space="preserve">Adoption</w:t>
      </w:r>
      <w:r>
        <w:rPr>
          <w:b/>
          <w:bCs/>
          <w:i/>
          <w:iCs/>
        </w:rPr>
        <w:t xml:space="preserve"> </w:t>
      </w:r>
      <w:r>
        <w:rPr>
          <w:b/>
          <w:bCs/>
          <w:i/>
          <w:iCs/>
        </w:rPr>
        <w:t xml:space="preserve">of</w:t>
      </w:r>
      <w:r>
        <w:rPr>
          <w:b/>
          <w:bCs/>
          <w:i/>
          <w:iCs/>
        </w:rPr>
        <w:t xml:space="preserve"> </w:t>
      </w:r>
      <w:r>
        <w:rPr>
          <w:b/>
          <w:bCs/>
          <w:i/>
          <w:iCs/>
        </w:rPr>
        <w:t xml:space="preserve">New</w:t>
      </w:r>
      <w:r>
        <w:rPr>
          <w:b/>
          <w:bCs/>
          <w:i/>
          <w:iCs/>
        </w:rPr>
        <w:t xml:space="preserve"> </w:t>
      </w:r>
      <w:r>
        <w:rPr>
          <w:b/>
          <w:bCs/>
          <w:i/>
          <w:iCs/>
        </w:rPr>
        <w:t xml:space="preserve">Definitions</w:t>
      </w:r>
    </w:p>
    <w:p>
      <w:pPr>
        <w:pStyle w:val="BodyText"/>
      </w:pPr>
      <w:r>
        <w:t xml:space="preserve">California</w:t>
      </w:r>
      <w:r>
        <w:t xml:space="preserve"> </w:t>
      </w:r>
      <w:r>
        <w:t xml:space="preserve">Code of Regulations, title 11, section 5471 creates new definitions for forty-four terms. But neither Subdivision (b) nor the statute in which it appears, Section 30900, is a definitional statute. In fact, Subdivision (b) expressly acknowledges that individuals need only register firearms “as defined in Section 30515.” As explained, DOJ’s APA exemption is confined to regulations implementing Subdivision (b), the provisions of which exclusively concern the registration process. DOJ’s definitions thus affect the implementation and scope of Section 30515, not Subdivision (b). Section 5471’s definitions are thus beyond the scope of DOJ’s narrow APA exemption.</w:t>
      </w:r>
    </w:p>
    <w:p>
      <w:pPr>
        <w:pStyle w:val="BodyText"/>
      </w:pPr>
      <w:r>
        <w:t xml:space="preserve">Except for the term “fixed magazine” (now statutorily defined, Pen.</w:t>
      </w:r>
      <w:r>
        <w:t xml:space="preserve"> </w:t>
      </w:r>
      <w:r>
        <w:t xml:space="preserve">Code, § 30515, subd. (b)), neither AB 1135 nor SB 880 changed any of the definitions for terms within the AWCA. In fact, the definitions of terms in the AWCA have remained unchanged and in use for nearly twenty years. And some of the Challenged Regulations’ definitional changes affecting firearms that have been possessed for years could potentially change the legal status of those firearms retroactively without statutory basis. For example, DOJ has now defined the term “barrel length” to only now specifically require muzzle devices to be “permanently attached” in a specified manner. (Cal.</w:t>
      </w:r>
      <w:r>
        <w:t xml:space="preserve"> </w:t>
      </w:r>
      <w:r>
        <w:t xml:space="preserve">Code Regs., tit. 11, § 5471, subd. (d).) Any firearm owned before the enactment of section 5471 that does not satisfy its requirements would thus potentially violate California’s overall length and short-barreled restrictions. (See Pen.</w:t>
      </w:r>
      <w:r>
        <w:t xml:space="preserve"> </w:t>
      </w:r>
      <w:r>
        <w:t xml:space="preserve">Code, §§ 30515, subd. (a)⁠(3), 33210.)</w:t>
      </w:r>
    </w:p>
    <w:p>
      <w:pPr>
        <w:pStyle w:val="BodyText"/>
      </w:pPr>
      <w:r>
        <w:t xml:space="preserve">Likewise, DOJ has adopted a new definition for the term “flash suppressor” to include several other muzzle devices not previously identified as flash suppressors, potentially classifying any firearm equipped with such a device an “assault weapon” under California law and so illegal to possess or transfer. (Cal.</w:t>
      </w:r>
      <w:r>
        <w:t xml:space="preserve"> </w:t>
      </w:r>
      <w:r>
        <w:t xml:space="preserve">Code Regs., tit. 11, § 5471(r); see also Pen.</w:t>
      </w:r>
      <w:r>
        <w:t xml:space="preserve"> </w:t>
      </w:r>
      <w:r>
        <w:t xml:space="preserve">Code, § 30515, subd. (a)⁠(1)⁠(E).)</w:t>
      </w:r>
    </w:p>
    <w:p>
      <w:pPr>
        <w:pStyle w:val="BodyText"/>
      </w:pPr>
      <w:r>
        <w:t xml:space="preserve">What’s more, many of those definitions are irrelevant to the newly classified “assault weapons” that must be registered under Subdivision (b). For example, DOJ’s definition of the term “barrel length” has no impact on whether Penal Code section 30515, subdivisions (a)⁠(1) and (4) currently classify a firearm as an “assault weapon.” And, section</w:t>
      </w:r>
      <w:r>
        <w:t xml:space="preserve"> </w:t>
      </w:r>
      <w:r>
        <w:t xml:space="preserve">5471, subdivision (a)’s definition for the term “[a]bility to accept a detachable magazine” as “with respect to a semiautomatic shotgun, it does not have a fixed magazine,” adds shotguns to the list of firearms that must be registered, expanding the statute in violation of DOJ’s regulatory authority.</w:t>
      </w:r>
    </w:p>
    <w:p>
      <w:pPr>
        <w:pStyle w:val="BodyText"/>
      </w:pPr>
      <w:r>
        <w:t xml:space="preserve">In sum, if the Legislature intended to allow DOJ free rein to amend every possible term relating to “assault weapons,” especially those longstanding ones unaffected by AB 1135 and SB 880, it would have expressly stated as much. It did not and, as a result, DOJ cannot shoehorn these definitions into Subdivision (b)’s APA exemption—particularly as they expand the statutory definition of “assault weapon.”</w:t>
      </w:r>
    </w:p>
    <w:p>
      <w:pPr>
        <w:keepNext/>
        <w:keepLines/>
        <w:spacing w:before="260" w:after="208" w:line="338" w:lineRule="exact"/>
        <w:ind w:left="2880" w:hanging="720"/>
        <w:jc w:val="left"/>
      </w:pPr>
      <w:r>
        <w:rPr>
          <w:b/>
          <w:bCs/>
          <w:i/>
          <w:iCs/>
        </w:rPr>
        <w:t xml:space="preserve">d.</w:t>
      </w:r>
      <w:r>
        <w:rPr>
          <w:b/>
          <w:bCs/>
          <w:i/>
          <w:iCs/>
        </w:rPr>
        <w:tab/>
      </w:r>
      <w:r>
        <w:rPr>
          <w:b/>
          <w:bCs/>
          <w:i/>
          <w:iCs/>
        </w:rPr>
        <w:t xml:space="preserve">Serialization</w:t>
      </w:r>
      <w:r>
        <w:rPr>
          <w:b/>
          <w:bCs/>
          <w:i/>
          <w:iCs/>
        </w:rPr>
        <w:t xml:space="preserve"> </w:t>
      </w:r>
      <w:r>
        <w:rPr>
          <w:b/>
          <w:bCs/>
          <w:i/>
          <w:iCs/>
        </w:rPr>
        <w:t xml:space="preserve">Requirements</w:t>
      </w:r>
    </w:p>
    <w:p>
      <w:pPr>
        <w:pStyle w:val="BodyText"/>
      </w:pPr>
      <w:r>
        <w:t xml:space="preserve">California</w:t>
      </w:r>
      <w:r>
        <w:t xml:space="preserve"> </w:t>
      </w:r>
      <w:r>
        <w:t xml:space="preserve">Code of Regulations, title 11, section 5472, subdivision (f) prohibits registration of any firearm lacking an engraved serial number. And section 5472, subdivision (g) prohibits registration of a home-built firearm (a “Firearm Manufactured By Unlicensed Subject” or “FMBUS”) that does “not have a serial number assigned by the Department and applied by the owner or agent pursuant to [CCR] section 5474.2.” Section 5474.2 requires a “person seeking assault weapon registration” for a FMBUS to “seek a Department issued serial number . . . prior to initiating the assault weapon registration process.” Taken together, these regulations prohibit individuals from registering lawfully acquired, home-built firearms as “assault weapons” unless first obtaining a DOJ-approved serial number.</w:t>
      </w:r>
    </w:p>
    <w:p>
      <w:pPr>
        <w:pStyle w:val="BodyTextNote"/>
      </w:pPr>
      <w:r>
        <w:t xml:space="preserve">First, this is a gross expansion of statutory law. Neither California nor federal law currently requires owners of a FMBUS to affix a DOJ-approved, or any, serial number.</w:t>
      </w:r>
      <w:r>
        <w:rPr>
          <w:rStyle w:val="FootnoteReference"/>
        </w:rPr>
        <w:footnoteReference w:id="19"/>
      </w:r>
      <w:r>
        <w:t xml:space="preserve"> </w:t>
      </w:r>
      <w:r>
        <w:t xml:space="preserve">California recently enacted a law imposing such requirements, but it did not take effect until January 1, 2019—a full six months after the period to register an “assault weapon” would end. (See Pen.</w:t>
      </w:r>
      <w:r>
        <w:t xml:space="preserve"> </w:t>
      </w:r>
      <w:r>
        <w:t xml:space="preserve">Code § 29180, subd. (c).) That law also required DOJ to create regulations implementing its provisions that are not afforded an APA exemption. (See Pen.</w:t>
      </w:r>
      <w:r>
        <w:t xml:space="preserve"> </w:t>
      </w:r>
      <w:r>
        <w:t xml:space="preserve">Code § 29182, subd. (f).) With section 5472, subdivisions (f) and (g), and section 5474.2, DOJ has, therefore, expanded Penal Code section 29182, subdivision (f) by advancing its deadline six months earlier. And it did so without having complied with the APA, despite Penal Code section 29182 providing no APA exemption for its implementing regulations.</w:t>
      </w:r>
    </w:p>
    <w:p>
      <w:pPr>
        <w:pStyle w:val="BodyText"/>
      </w:pPr>
      <w:r>
        <w:t xml:space="preserve">Second, section 5472, subdivisions (f) and (g), and section 5474.2 also unlawfully expand the scope of Penal</w:t>
      </w:r>
      <w:r>
        <w:t xml:space="preserve"> </w:t>
      </w:r>
      <w:r>
        <w:t xml:space="preserve">Code section 30900, subdivision (b)⁠(3)’s requirement that registrants simply describe the firearm, “including all identification marks.” For, those regulations require creation of information, not just a description of existing information, as the underlying statute calls for. Nothing in Subdivision (b) requires a firearm to have a serial number to be registered, let alone that a registrant have one made and “pre-approved” by DOJ. So not only do those provisions unlawfully expand statutory law, but they are also beyond the scope of Subdivision (b)’s APA exemption, as they have nothing to do with the registration processes. Instead, they control what firearms can be registered.</w:t>
      </w:r>
    </w:p>
    <w:p>
      <w:pPr>
        <w:keepNext/>
        <w:keepLines/>
        <w:spacing w:before="260" w:after="208" w:line="338" w:lineRule="exact"/>
        <w:ind w:left="2880" w:hanging="720"/>
        <w:jc w:val="left"/>
      </w:pPr>
      <w:r>
        <w:rPr>
          <w:b/>
          <w:bCs/>
          <w:i/>
          <w:iCs/>
        </w:rPr>
        <w:t xml:space="preserve">e.</w:t>
      </w:r>
      <w:r>
        <w:rPr>
          <w:b/>
          <w:bCs/>
          <w:i/>
          <w:iCs/>
        </w:rPr>
        <w:tab/>
      </w:r>
      <w:r>
        <w:rPr>
          <w:b/>
          <w:bCs/>
          <w:i/>
          <w:iCs/>
        </w:rPr>
        <w:t xml:space="preserve">Compelled</w:t>
      </w:r>
      <w:r>
        <w:rPr>
          <w:b/>
          <w:bCs/>
          <w:i/>
          <w:iCs/>
        </w:rPr>
        <w:t xml:space="preserve"> </w:t>
      </w:r>
      <w:r>
        <w:rPr>
          <w:b/>
          <w:bCs/>
          <w:i/>
          <w:iCs/>
        </w:rPr>
        <w:t xml:space="preserve">Non-liability</w:t>
      </w:r>
      <w:r>
        <w:rPr>
          <w:b/>
          <w:bCs/>
          <w:i/>
          <w:iCs/>
        </w:rPr>
        <w:t xml:space="preserve"> </w:t>
      </w:r>
      <w:r>
        <w:rPr>
          <w:b/>
          <w:bCs/>
          <w:i/>
          <w:iCs/>
        </w:rPr>
        <w:t xml:space="preserve">Clause</w:t>
      </w:r>
    </w:p>
    <w:p>
      <w:pPr>
        <w:pStyle w:val="BodyText"/>
      </w:pPr>
      <w:r>
        <w:t xml:space="preserve">California</w:t>
      </w:r>
      <w:r>
        <w:t xml:space="preserve"> </w:t>
      </w:r>
      <w:r>
        <w:t xml:space="preserve">Code of Regulations, title 11, section 5473, subdivision (b)⁠(1) requires registrants to agree to hold DOJ harmless for “any hardware, software, information, or other items” as a condition of registering their firearms. This provision is unrelated to implementing registration procedures in Subdivision (b) and thus does not qualify for its APA exemption.</w:t>
      </w:r>
    </w:p>
    <w:p>
      <w:pPr>
        <w:pStyle w:val="BodyText"/>
      </w:pPr>
      <w:r>
        <w:t xml:space="preserve">But even if DOJ sought to adopt such a requirement in compliance with the APA, it could not. For such a provision directly conflicts with Article 1 of the California Constitution and the Information Practices Act. Both specifically protect an individual’s right to privacy, limit DOJ’s ability to disclose personal information, and provide statutory remedies for violations. (See Cal.</w:t>
      </w:r>
      <w:r>
        <w:t xml:space="preserve"> </w:t>
      </w:r>
      <w:r>
        <w:t xml:space="preserve">Const., art. I, § 1; Civ.</w:t>
      </w:r>
      <w:r>
        <w:t xml:space="preserve"> </w:t>
      </w:r>
      <w:r>
        <w:t xml:space="preserve">Code, § 1798, et seq..) DOJ simply cannot unilaterally grant itself an exception to statutory restrictions imposed on it.</w:t>
      </w:r>
    </w:p>
    <w:p>
      <w:pPr>
        <w:keepNext/>
        <w:keepLines/>
        <w:spacing w:before="260" w:after="208" w:line="338" w:lineRule="exact"/>
        <w:ind w:left="2880" w:hanging="720"/>
        <w:jc w:val="left"/>
      </w:pPr>
      <w:r>
        <w:rPr>
          <w:b/>
          <w:bCs/>
          <w:i/>
          <w:iCs/>
        </w:rPr>
        <w:t xml:space="preserve">f.</w:t>
      </w:r>
      <w:r>
        <w:rPr>
          <w:b/>
          <w:bCs/>
          <w:i/>
          <w:iCs/>
        </w:rPr>
        <w:tab/>
      </w:r>
      <w:r>
        <w:rPr>
          <w:b/>
          <w:bCs/>
          <w:i/>
          <w:iCs/>
        </w:rPr>
        <w:t xml:space="preserve">Excessive</w:t>
      </w:r>
      <w:r>
        <w:rPr>
          <w:b/>
          <w:bCs/>
          <w:i/>
          <w:iCs/>
        </w:rPr>
        <w:t xml:space="preserve"> </w:t>
      </w:r>
      <w:r>
        <w:rPr>
          <w:b/>
          <w:bCs/>
          <w:i/>
          <w:iCs/>
        </w:rPr>
        <w:t xml:space="preserve">Registration</w:t>
      </w:r>
      <w:r>
        <w:rPr>
          <w:b/>
          <w:bCs/>
          <w:i/>
          <w:iCs/>
        </w:rPr>
        <w:t xml:space="preserve"> </w:t>
      </w:r>
      <w:r>
        <w:rPr>
          <w:b/>
          <w:bCs/>
          <w:i/>
          <w:iCs/>
        </w:rPr>
        <w:t xml:space="preserve">Information</w:t>
      </w:r>
      <w:r>
        <w:rPr>
          <w:b/>
          <w:bCs/>
          <w:i/>
          <w:iCs/>
        </w:rPr>
        <w:t xml:space="preserve"> </w:t>
      </w:r>
      <w:r>
        <w:rPr>
          <w:b/>
          <w:bCs/>
          <w:i/>
          <w:iCs/>
        </w:rPr>
        <w:t xml:space="preserve">Requirement</w:t>
      </w:r>
    </w:p>
    <w:p>
      <w:pPr>
        <w:pStyle w:val="BodyText"/>
      </w:pPr>
      <w:r>
        <w:t xml:space="preserve">Penal</w:t>
      </w:r>
      <w:r>
        <w:t xml:space="preserve"> </w:t>
      </w:r>
      <w:r>
        <w:t xml:space="preserve">Code section 30900, subd. (b)⁠(3) is specific as to exactly what personal information is required for registration. Registrants must provide their “full name, address, telephone number, date of birth, sex, height, weight, eye color, hair color, and California driver’s license number or California identification card number.” California</w:t>
      </w:r>
      <w:r>
        <w:t xml:space="preserve"> </w:t>
      </w:r>
      <w:r>
        <w:t xml:space="preserve">Code of Regulations, title 11, section 5474, subdivision (a), however, adds to the information required from an applicant, demanding: military ID number, U.S. citizenship status, place of birth, country of citizenship, and alien registration number. Section 5474, subdivision (a) thus unlawfully expands the scope of Subdivision (b). Moreover, a regulation concerning what information must be provided in a registration is not the same as one concerning how information is to be provided in a registration. The latter is entitled to Subdivision (b)’s APA exemption. The former, which section 5474, subdivision (a) falls under, is not.</w:t>
      </w:r>
    </w:p>
    <w:p>
      <w:pPr>
        <w:pStyle w:val="BodyText"/>
      </w:pPr>
      <w:r>
        <w:t xml:space="preserve">Section 5474, subdivision (c) makes a prerequisite to “assault weapon” registration access to fairly expensive equipment, by requiring “clear digital photographs” of any firearm sought to be registered. But Subdivision (b) merely requires that the registration contain a “description” of the firearm, not an actual depiction of it. Such an expansion of Subdivision (b) is unlawful. Tellingly, identical language to Subdivision (b)’s can be found elsewhere in California statutory law regarding firearm registration without requiring such photographs. For example, Penal</w:t>
      </w:r>
      <w:r>
        <w:t xml:space="preserve"> </w:t>
      </w:r>
      <w:r>
        <w:t xml:space="preserve">Code section 27560, subdivision (a)⁠(1) requires anyone moving into California with a firearm to report their ownership to DOJ on a form that contains “a description of the firearm in question.” That form—which has been used by DOJ for years—does not require individuals to provide photographs of the firearm to be registered. (See Cal. Dept. of Justice, Bureau of Firearms, New Resident Report of Firearm Ownership (rev. July 2017) https://​oag.​ca.​gov/​sites/​all/​files/​agweb/​pdfs/​firearms/​forms/​ab991frm.​pdf.)</w:t>
      </w:r>
    </w:p>
    <w:p>
      <w:pPr>
        <w:keepNext/>
        <w:keepLines/>
        <w:spacing w:before="260" w:after="208" w:line="338" w:lineRule="exact"/>
        <w:ind w:left="2880" w:hanging="720"/>
        <w:jc w:val="left"/>
      </w:pPr>
      <w:r>
        <w:rPr>
          <w:b/>
          <w:bCs/>
          <w:i/>
          <w:iCs/>
        </w:rPr>
        <w:t xml:space="preserve">g.</w:t>
      </w:r>
      <w:r>
        <w:rPr>
          <w:b/>
          <w:bCs/>
          <w:i/>
          <w:iCs/>
        </w:rPr>
        <w:tab/>
      </w:r>
      <w:r>
        <w:rPr>
          <w:b/>
          <w:bCs/>
          <w:i/>
          <w:iCs/>
        </w:rPr>
        <w:t xml:space="preserve">Joint-registration</w:t>
      </w:r>
      <w:r>
        <w:rPr>
          <w:b/>
          <w:bCs/>
          <w:i/>
          <w:iCs/>
        </w:rPr>
        <w:t xml:space="preserve"> </w:t>
      </w:r>
      <w:r>
        <w:rPr>
          <w:b/>
          <w:bCs/>
          <w:i/>
          <w:iCs/>
        </w:rPr>
        <w:t xml:space="preserve">Restrictions</w:t>
      </w:r>
    </w:p>
    <w:p>
      <w:pPr>
        <w:pStyle w:val="BodyText"/>
      </w:pPr>
      <w:r>
        <w:t xml:space="preserve">Penal</w:t>
      </w:r>
      <w:r>
        <w:t xml:space="preserve"> </w:t>
      </w:r>
      <w:r>
        <w:t xml:space="preserve">Code section 30955 requires DOJ to accept joint registrations for any “assault weapon” owned by “family members residing in the same household.” California</w:t>
      </w:r>
      <w:r>
        <w:t xml:space="preserve"> </w:t>
      </w:r>
      <w:r>
        <w:t xml:space="preserve">Code of Regulations, title 11, section 5474.1, subdivision (b), however, impermissibly limits the scope of that statute by narrowly defining the term “family members” to include only: (1) Spouses; (2) Parent to Child; (3) Child to Parent; (4) Grandparent to Grandchild; (5) Grandchild to Grandparent; (6) Domestic Partner; and (7) Siblings. Penal Code section 30955 makes no such limitations on the definition of “family members.” Nor does its legislative history indicate any intent to do so.</w:t>
      </w:r>
    </w:p>
    <w:p>
      <w:pPr>
        <w:pStyle w:val="BodyText"/>
      </w:pPr>
      <w:r>
        <w:t xml:space="preserve">What’s more, DOJ’s APA exemption applies only to implementing Subdivision (b), and section 5474.1, subdivision (b) implements a different statute, Penal Code section 30955. Thus, that regulation does not qualify for the APA exemption, and DOJ must have adopted it in compliance with the APA. Interestingly DOJ has been accepting joint registrations since 1989, and yet in every past instance in which individuals had to register “assault weapons,” DOJ has never so limited that term’s scope. If DOJ wishes to limit the term now, it may be able to do so through APA rulemaking procedures. In fact, DOJ tried to do just that in 2000, but after receiving public comments, admitted that had the legislature intended to so limit the scope of the term, it “should have been statutorily stated in a much clearer manner.” (J.A. II 291-⁠292.) In any event, DOJ cannot, as it has done, limit the scope of the term without following the typical APA rulemaking procedures. For Subdivision (b)’s APA exemption applies to how to register, not who can register.</w:t>
      </w:r>
    </w:p>
    <w:p>
      <w:pPr>
        <w:keepNext/>
        <w:keepLines/>
        <w:spacing w:before="260" w:after="208" w:line="338" w:lineRule="exact"/>
        <w:ind w:left="2880" w:hanging="720"/>
        <w:jc w:val="left"/>
      </w:pPr>
      <w:r>
        <w:rPr>
          <w:b/>
          <w:bCs/>
          <w:i/>
          <w:iCs/>
        </w:rPr>
        <w:t xml:space="preserve">h.</w:t>
      </w:r>
      <w:r>
        <w:rPr>
          <w:b/>
          <w:bCs/>
          <w:i/>
          <w:iCs/>
        </w:rPr>
        <w:tab/>
      </w:r>
      <w:r>
        <w:rPr>
          <w:b/>
          <w:bCs/>
          <w:i/>
          <w:iCs/>
        </w:rPr>
        <w:t xml:space="preserve">Removal</w:t>
      </w:r>
      <w:r>
        <w:rPr>
          <w:b/>
          <w:bCs/>
          <w:i/>
          <w:iCs/>
        </w:rPr>
        <w:t xml:space="preserve"> </w:t>
      </w:r>
      <w:r>
        <w:rPr>
          <w:b/>
          <w:bCs/>
          <w:i/>
          <w:iCs/>
        </w:rPr>
        <w:t xml:space="preserve">of</w:t>
      </w:r>
      <w:r>
        <w:rPr>
          <w:b/>
          <w:bCs/>
          <w:i/>
          <w:iCs/>
        </w:rPr>
        <w:t xml:space="preserve"> </w:t>
      </w:r>
      <w:r>
        <w:rPr>
          <w:b/>
          <w:bCs/>
          <w:i/>
          <w:iCs/>
        </w:rPr>
        <w:t xml:space="preserve">“Bullet</w:t>
      </w:r>
      <w:r>
        <w:rPr>
          <w:b/>
          <w:bCs/>
          <w:i/>
          <w:iCs/>
        </w:rPr>
        <w:t xml:space="preserve"> </w:t>
      </w:r>
      <w:r>
        <w:rPr>
          <w:b/>
          <w:bCs/>
          <w:i/>
          <w:iCs/>
        </w:rPr>
        <w:t xml:space="preserve">button”</w:t>
      </w:r>
      <w:r>
        <w:rPr>
          <w:b/>
          <w:bCs/>
          <w:i/>
          <w:iCs/>
        </w:rPr>
        <w:t xml:space="preserve"> </w:t>
      </w:r>
      <w:r>
        <w:rPr>
          <w:b/>
          <w:bCs/>
          <w:i/>
          <w:iCs/>
        </w:rPr>
        <w:t xml:space="preserve">Restriction</w:t>
      </w:r>
    </w:p>
    <w:p>
      <w:pPr>
        <w:pStyle w:val="BodyText"/>
      </w:pPr>
      <w:r>
        <w:t xml:space="preserve">California</w:t>
      </w:r>
      <w:r>
        <w:t xml:space="preserve"> </w:t>
      </w:r>
      <w:r>
        <w:t xml:space="preserve">Code of Regulations, title 11, section 5477 expressly states that “[t]he release mechanism for an ammunition feeding device on an assault weapon registered pursuant to Penal Code section 30900, subdivision (b)⁠(1) shall not be changed after the assault weapon is registered.” In its ruling, the trial court did not even mention section 5477, let alone explain why it was denying Appellants’ challenge to it. Admittedly, this may be a result of Appellants omitting argument about that specific challenge from their memorandum of points and authorities in support of their writ petition and DOJ’s contention that this omission means Appellants waived the challenge.</w:t>
      </w:r>
    </w:p>
    <w:p>
      <w:pPr>
        <w:pStyle w:val="BodyText"/>
      </w:pPr>
      <w:r>
        <w:t xml:space="preserve">But, as explained in the court below, Appellants have not waived their challenge to Section 5477. Both Appellants’ writ and memorandum of points and authorities in support expressly state that it is being challenged. (See J.A. IV 1554-⁠1555, 1564.) The reason section 5477 is invalid is so obvious that it needs no significant analysis. Even DOJ concedes that its APA exemption is limited to implementing the registration process under Penal Code section 30900, subdivision (b)⁠(1) (J.A. III 1163.) While the scope of what that process entails may be open to debate, what happens after that process is complete is, by definition, not part of it. Because section 5477 regulates purely post-registration activity, it has nothing to do with the registration process and does not qualify for Subdivision (b)’s APA exemption.</w:t>
      </w:r>
    </w:p>
    <w:p>
      <w:pPr>
        <w:pStyle w:val="BodyText"/>
      </w:pPr>
      <w:r>
        <w:t xml:space="preserve">Even if section 5477 did relate to the registration process, it unlawfully expands the AWCA, which says nothing about whether a “bullet button” can ever be removed post-registration. By declaring that they cannot be, section 5477 unlawfully expands the scope of the APA and is thus void.</w:t>
      </w:r>
    </w:p>
    <w:p>
      <w:pPr>
        <w:keepNext/>
        <w:keepLines/>
        <w:spacing w:before="260" w:after="208" w:line="338" w:lineRule="exact"/>
        <w:ind w:left="1440" w:hanging="720"/>
        <w:jc w:val="left"/>
      </w:pPr>
      <w:r>
        <w:rPr>
          <w:b/>
          <w:bCs/>
        </w:rPr>
        <w:t xml:space="preserve">C.</w:t>
      </w:r>
      <w:r>
        <w:rPr>
          <w:b/>
          <w:bCs/>
        </w:rPr>
        <w:tab/>
      </w:r>
      <w:r>
        <w:rPr>
          <w:b/>
          <w:bCs/>
        </w:rPr>
        <w:t xml:space="preserve">Neither</w:t>
      </w:r>
      <w:r>
        <w:rPr>
          <w:b/>
          <w:bCs/>
        </w:rPr>
        <w:t xml:space="preserve"> </w:t>
      </w:r>
      <w:r>
        <w:rPr>
          <w:b/>
          <w:bCs/>
        </w:rPr>
        <w:t xml:space="preserve">DOJ</w:t>
      </w:r>
      <w:r>
        <w:rPr>
          <w:b/>
          <w:bCs/>
        </w:rPr>
        <w:t xml:space="preserve"> </w:t>
      </w:r>
      <w:r>
        <w:rPr>
          <w:b/>
          <w:bCs/>
        </w:rPr>
        <w:t xml:space="preserve">Nor</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Dispute</w:t>
      </w:r>
      <w:r>
        <w:rPr>
          <w:b/>
          <w:bCs/>
        </w:rPr>
        <w:t xml:space="preserve"> </w:t>
      </w:r>
      <w:r>
        <w:rPr>
          <w:b/>
          <w:bCs/>
        </w:rPr>
        <w:t xml:space="preserve">that</w:t>
      </w:r>
      <w:r>
        <w:rPr>
          <w:b/>
          <w:bCs/>
        </w:rPr>
        <w:t xml:space="preserve"> </w:t>
      </w:r>
      <w:r>
        <w:rPr>
          <w:b/>
          <w:bCs/>
        </w:rPr>
        <w:t xml:space="preserve">Appellants</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Remaining</w:t>
      </w:r>
      <w:r>
        <w:rPr>
          <w:b/>
          <w:bCs/>
        </w:rPr>
        <w:t xml:space="preserve"> </w:t>
      </w:r>
      <w:r>
        <w:rPr>
          <w:b/>
          <w:bCs/>
        </w:rPr>
        <w:t xml:space="preserve">Elements</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Mandate</w:t>
      </w:r>
      <w:r>
        <w:rPr>
          <w:b/>
          <w:bCs/>
        </w:rPr>
        <w:t xml:space="preserve"> </w:t>
      </w:r>
      <w:r>
        <w:rPr>
          <w:b/>
          <w:bCs/>
        </w:rPr>
        <w:t xml:space="preserve">to</w:t>
      </w:r>
      <w:r>
        <w:rPr>
          <w:b/>
          <w:bCs/>
        </w:rPr>
        <w:t xml:space="preserve"> </w:t>
      </w:r>
      <w:r>
        <w:rPr>
          <w:b/>
          <w:bCs/>
        </w:rPr>
        <w:t xml:space="preserve">Issue</w:t>
      </w:r>
    </w:p>
    <w:p>
      <w:pPr>
        <w:pStyle w:val="BodyText"/>
      </w:pPr>
      <w:r>
        <w:t xml:space="preserve">While they contend that the Challenged Regulations are valid, DOJ did not dispute: (1) that Appellants have a clear, present, and beneficial interest in the outcome of this proceeding; or (2) that they have no plain, speedy, or adequate remedy from the ongoing harm caused by any of the Challenged Regulations this Court may find invalid. Thus, if the Court agrees with Appellants that any of the Challenged Regulations was unlawfully adopted, this Court should reverse the lower court and invalidate each such regulation and enjoin DOJ from enforcing it.</w:t>
      </w:r>
    </w:p>
    <w:p>
      <w:pPr>
        <w:keepNext/>
        <w:keepLines/>
        <w:spacing w:before="312" w:after="260" w:line="338" w:lineRule="exact"/>
        <w:ind w:left="0" w:firstLine="0"/>
        <w:jc w:val="center"/>
      </w:pPr>
      <w:r>
        <w:rPr>
          <w:b/>
          <w:bCs/>
        </w:rPr>
        <w:t xml:space="preserve">CONCLUSION</w:t>
      </w:r>
    </w:p>
    <w:p>
      <w:pPr>
        <w:pStyle w:val="BodyTextKeep"/>
      </w:pPr>
      <w:r>
        <w:t xml:space="preserve">Based on the foregoing, Appellants ask this Court to reverse the order sustaining DOJ’s demurrer denying Appellants their statutory right to seek declaratory relief and the ruling on Appellants’ writ of mandate upholding the challenged regulations.</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March</w:t>
            </w:r>
            <w:r>
              <w:t xml:space="preserve"> </w:t>
            </w:r>
            <w:r>
              <w:t xml:space="preserve">21,</w:t>
            </w:r>
            <w:r>
              <w:t xml:space="preserve"> </w:t>
            </w:r>
            <w:r>
              <w:t xml:space="preserve">2019</w:t>
            </w:r>
          </w:p>
        </w:tc>
        <w:tc>
          <w:tcPr>
            <w:tcW w:w="4320" w:type="dxa"/>
          </w:tcPr>
          <w:p>
            <w:pPr>
              <w:spacing w:before="0" w:after="0" w:line="338"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312" w:after="0" w:line="338" w:lineRule="exact"/>
              <w:ind w:left="0" w:firstLine="0"/>
              <w:jc w:val="left"/>
            </w:pPr>
            <w:r>
              <w:t xml:space="preserve">s/​Anna</w:t>
            </w:r>
            <w:r>
              <w:t xml:space="preserve"> </w:t>
            </w:r>
            <w:r>
              <w:t xml:space="preserve">M.</w:t>
            </w:r>
            <w:r>
              <w:t xml:space="preserve"> </w:t>
            </w:r>
            <w:r>
              <w:t xml:space="preserve">Barvir</w:t>
            </w:r>
          </w:p>
          <w:p>
            <w:pPr>
              <w:spacing w:before="0" w:after="0" w:line="338" w:lineRule="exact"/>
              <w:ind w:left="0" w:firstLine="0"/>
              <w:jc w:val="left"/>
            </w:pPr>
            <w:r>
              <w:t xml:space="preserve">Anna</w:t>
            </w:r>
            <w:r>
              <w:t xml:space="preserve"> </w:t>
            </w:r>
            <w:r>
              <w:t xml:space="preserve">M.</w:t>
            </w:r>
            <w:r>
              <w:t xml:space="preserve"> </w:t>
            </w:r>
            <w:r>
              <w:t xml:space="preserve">Barvir</w:t>
            </w:r>
          </w:p>
          <w:p>
            <w:pPr>
              <w:spacing w:before="0" w:after="0" w:line="33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spacing w:before="0" w:after="260" w:line="338"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38"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OPENING</w:t>
      </w:r>
      <w:r>
        <w:rPr>
          <w:i/>
          <w:iCs/>
        </w:rPr>
        <w:t xml:space="preserve"> </w:t>
      </w:r>
      <w:r>
        <w:rPr>
          <w:i/>
          <w:iCs/>
        </w:rPr>
        <w:t xml:space="preserve">BRIEF</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9,784</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38" w:lineRule="exact"/>
              <w:ind w:left="0" w:firstLine="0"/>
              <w:jc w:val="left"/>
            </w:pPr>
            <w:r>
              <w:t xml:space="preserve">Dated:</w:t>
            </w:r>
            <w:r>
              <w:t xml:space="preserve"> </w:t>
            </w:r>
            <w:r>
              <w:t xml:space="preserve">March</w:t>
            </w:r>
            <w:r>
              <w:t xml:space="preserve"> </w:t>
            </w:r>
            <w:r>
              <w:t xml:space="preserve">21,</w:t>
            </w:r>
            <w:r>
              <w:t xml:space="preserve"> </w:t>
            </w:r>
            <w:r>
              <w:t xml:space="preserve">2019</w:t>
            </w:r>
          </w:p>
        </w:tc>
        <w:tc>
          <w:tcPr>
            <w:tcW w:w="4320" w:type="dxa"/>
          </w:tcPr>
          <w:p>
            <w:pPr>
              <w:spacing w:before="0" w:after="0" w:line="338"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312" w:after="0" w:line="338" w:lineRule="exact"/>
              <w:ind w:left="0" w:firstLine="0"/>
              <w:jc w:val="left"/>
            </w:pPr>
            <w:r>
              <w:t xml:space="preserve">s/​Anna</w:t>
            </w:r>
            <w:r>
              <w:t xml:space="preserve"> </w:t>
            </w:r>
            <w:r>
              <w:t xml:space="preserve">M.</w:t>
            </w:r>
            <w:r>
              <w:t xml:space="preserve"> </w:t>
            </w:r>
            <w:r>
              <w:t xml:space="preserve">Barvir</w:t>
            </w:r>
          </w:p>
          <w:p>
            <w:pPr>
              <w:spacing w:before="0" w:after="0" w:line="338" w:lineRule="exact"/>
              <w:ind w:left="0" w:firstLine="0"/>
              <w:jc w:val="left"/>
            </w:pPr>
            <w:r>
              <w:t xml:space="preserve">Anna</w:t>
            </w:r>
            <w:r>
              <w:t xml:space="preserve"> </w:t>
            </w:r>
            <w:r>
              <w:t xml:space="preserve">M.</w:t>
            </w:r>
            <w:r>
              <w:t xml:space="preserve"> </w:t>
            </w:r>
            <w:r>
              <w:t xml:space="preserve">Barvir</w:t>
            </w:r>
          </w:p>
          <w:p>
            <w:pPr>
              <w:spacing w:before="0" w:after="0" w:line="338"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spacing w:before="0" w:after="260" w:line="338"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38" w:lineRule="exact"/>
        <w:ind w:left="0" w:firstLine="0"/>
        <w:jc w:val="left"/>
      </w:pPr>
      <w:r>
        <w:t xml:space="preserve">Case</w:t>
      </w:r>
      <w:r>
        <w:t xml:space="preserve"> </w:t>
      </w:r>
      <w:r>
        <w:t xml:space="preserve">Name:</w:t>
      </w:r>
      <w:r>
        <w:t xml:space="preserve"> </w:t>
      </w:r>
      <w:r>
        <w:rPr>
          <w:i/>
          <w:iCs/>
        </w:rPr>
        <w:t xml:space="preserve">Villanueva</w:t>
      </w:r>
      <w:r>
        <w:rPr>
          <w:i/>
          <w:iCs/>
        </w:rPr>
        <w:t xml:space="preserve"> </w:t>
      </w:r>
      <w:r>
        <w:rPr>
          <w:i/>
          <w:iCs/>
        </w:rPr>
        <w:t xml:space="preserve">v.</w:t>
      </w:r>
      <w:r>
        <w:rPr>
          <w:i/>
          <w:iCs/>
        </w:rPr>
        <w:t xml:space="preserve"> </w:t>
      </w:r>
      <w:r>
        <w:rPr>
          <w:i/>
          <w:iCs/>
        </w:rPr>
        <w:t xml:space="preserve">Becerra</w:t>
      </w:r>
    </w:p>
    <w:p>
      <w:pPr>
        <w:spacing w:before="0" w:after="0" w:line="338"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F078062</w:t>
      </w:r>
    </w:p>
    <w:p>
      <w:pPr>
        <w:spacing w:before="0" w:after="0" w:line="338"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17CECG03093</w:t>
      </w:r>
    </w:p>
    <w:p>
      <w:pPr>
        <w:spacing w:before="208" w:after="0" w:line="338" w:lineRule="exact"/>
        <w:ind w:left="0" w:firstLine="0"/>
        <w:jc w:val="left"/>
      </w:pPr>
      <w:r>
        <w:t xml:space="preserve">I,</w:t>
      </w:r>
      <w:r>
        <w:t xml:space="preserve"> </w:t>
      </w:r>
      <w:r>
        <w:t xml:space="preserve">Laura</w:t>
      </w:r>
      <w:r>
        <w:t xml:space="preserve"> </w:t>
      </w:r>
      <w:r>
        <w:t xml:space="preserve">Palmerin,</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r>
        <w:t xml:space="preserve"> </w:t>
      </w:r>
      <w:r>
        <w:t xml:space="preserve">Long</w:t>
      </w:r>
      <w:r>
        <w:t xml:space="preserve"> </w:t>
      </w:r>
      <w:r>
        <w:t xml:space="preserve">Beach,</w:t>
      </w:r>
      <w:r>
        <w:t xml:space="preserve"> </w:t>
      </w:r>
      <w:r>
        <w:t xml:space="preserve">CA</w:t>
      </w:r>
      <w:r>
        <w:t xml:space="preserve"> </w:t>
      </w:r>
      <w:r>
        <w:t xml:space="preserve">90802.</w:t>
      </w:r>
    </w:p>
    <w:p>
      <w:pPr>
        <w:spacing w:before="208" w:after="0" w:line="338" w:lineRule="exact"/>
        <w:ind w:left="0" w:firstLine="0"/>
        <w:jc w:val="left"/>
      </w:pPr>
      <w:r>
        <w:t xml:space="preserve">On</w:t>
      </w:r>
      <w:r>
        <w:t xml:space="preserve"> </w:t>
      </w:r>
      <w:r>
        <w:t xml:space="preserve">March</w:t>
      </w:r>
      <w:r>
        <w:t xml:space="preserve"> </w:t>
      </w:r>
      <w:r>
        <w:t xml:space="preserve">21,</w:t>
      </w:r>
      <w:r>
        <w:t xml:space="preserve"> </w:t>
      </w:r>
      <w:r>
        <w:t xml:space="preserve">2019,</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OPENING</w:t>
      </w:r>
      <w:r>
        <w:t xml:space="preserve"> </w:t>
      </w:r>
      <w:r>
        <w:t xml:space="preserve">BRIEF,</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156" w:after="0" w:line="338" w:lineRule="exact"/>
        <w:ind w:left="720" w:firstLine="0"/>
        <w:jc w:val="left"/>
      </w:pPr>
      <w:r>
        <w:t xml:space="preserve">P.</w:t>
      </w:r>
      <w:r>
        <w:t xml:space="preserve"> </w:t>
      </w:r>
      <w:r>
        <w:t xml:space="preserve">Patty</w:t>
      </w:r>
      <w:r>
        <w:t xml:space="preserve"> </w:t>
      </w:r>
      <w:r>
        <w:t xml:space="preserve">Li,</w:t>
      </w:r>
      <w:r>
        <w:t xml:space="preserve"> </w:t>
      </w:r>
      <w:r>
        <w:t xml:space="preserve">Deputy</w:t>
      </w:r>
      <w:r>
        <w:t xml:space="preserve"> </w:t>
      </w:r>
      <w:r>
        <w:t xml:space="preserve">Attorney</w:t>
      </w:r>
      <w:r>
        <w:t xml:space="preserve"> </w:t>
      </w:r>
      <w:r>
        <w:t xml:space="preserve">General,</w:t>
      </w:r>
      <w:r>
        <w:t xml:space="preserve"> </w:t>
      </w:r>
      <w:r>
        <w:t xml:space="preserve">patty.li@doj.ca.gov.</w:t>
      </w:r>
      <w:r>
        <w:t xml:space="preserve"> </w:t>
      </w:r>
      <w:r>
        <w:t xml:space="preserve">Attorneys</w:t>
      </w:r>
      <w:r>
        <w:t xml:space="preserve"> </w:t>
      </w:r>
      <w:r>
        <w:t xml:space="preserve">for</w:t>
      </w:r>
      <w:r>
        <w:t xml:space="preserve"> </w:t>
      </w:r>
      <w:r>
        <w:t xml:space="preserve">Defendants</w:t>
      </w:r>
      <w:r>
        <w:t xml:space="preserve"> </w:t>
      </w:r>
      <w:r>
        <w:t xml:space="preserve">and</w:t>
      </w:r>
      <w:r>
        <w:t xml:space="preserve"> </w:t>
      </w:r>
      <w:r>
        <w:t xml:space="preserve">Respondents</w:t>
      </w:r>
      <w:r>
        <w:t xml:space="preserve"> </w:t>
      </w: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Stephen</w:t>
      </w:r>
      <w:r>
        <w:t xml:space="preserve"> </w:t>
      </w:r>
      <w:r>
        <w:t xml:space="preserve">Lindley,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Chief</w:t>
      </w:r>
      <w:r>
        <w:t xml:space="preserve"> </w:t>
      </w:r>
      <w:r>
        <w:t xml:space="preserve">of</w:t>
      </w:r>
      <w:r>
        <w:t xml:space="preserve"> </w:t>
      </w:r>
      <w:r>
        <w:t xml:space="preserve">the</w:t>
      </w:r>
      <w:r>
        <w:t xml:space="preserve"> </w:t>
      </w: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Bureau</w:t>
      </w:r>
      <w:r>
        <w:t xml:space="preserve"> </w:t>
      </w:r>
      <w:r>
        <w:t xml:space="preserve">of</w:t>
      </w:r>
      <w:r>
        <w:t xml:space="preserve"> </w:t>
      </w:r>
      <w:r>
        <w:t xml:space="preserve">Firearms,</w:t>
      </w:r>
      <w:r>
        <w:t xml:space="preserve"> </w:t>
      </w:r>
      <w:r>
        <w:t xml:space="preserve">and</w:t>
      </w:r>
      <w:r>
        <w:t xml:space="preserve"> </w:t>
      </w:r>
      <w:r>
        <w:t xml:space="preserve">California</w:t>
      </w:r>
      <w:r>
        <w:t xml:space="preserve"> </w:t>
      </w:r>
      <w:r>
        <w:t xml:space="preserve">Department</w:t>
      </w:r>
      <w:r>
        <w:t xml:space="preserve"> </w:t>
      </w:r>
      <w:r>
        <w:t xml:space="preserve">of</w:t>
      </w:r>
      <w:r>
        <w:t xml:space="preserve"> </w:t>
      </w:r>
      <w:r>
        <w:t xml:space="preserve">Justice</w:t>
      </w:r>
    </w:p>
    <w:p>
      <w:pPr>
        <w:spacing w:before="0" w:after="0" w:line="338" w:lineRule="exact"/>
        <w:ind w:left="720" w:firstLine="0"/>
        <w:jc w:val="left"/>
      </w:pPr>
      <w:r>
        <w:t xml:space="preserve">Served</w:t>
      </w:r>
      <w:r>
        <w:t xml:space="preserve"> </w:t>
      </w:r>
      <w:r>
        <w:t xml:space="preserve">electronically</w:t>
      </w:r>
      <w:r>
        <w:t xml:space="preserve"> </w:t>
      </w:r>
      <w:r>
        <w:t xml:space="preserve">through</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electronic</w:t>
      </w:r>
      <w:r>
        <w:t xml:space="preserve"> </w:t>
      </w:r>
      <w:r>
        <w:t xml:space="preserve">filing</w:t>
      </w:r>
      <w:r>
        <w:t xml:space="preserve"> </w:t>
      </w:r>
      <w:r>
        <w:t xml:space="preserve">system.</w:t>
      </w:r>
    </w:p>
    <w:p>
      <w:pPr>
        <w:spacing w:before="208" w:after="0" w:line="338"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38" w:lineRule="exact"/>
        <w:ind w:left="0" w:firstLine="0"/>
        <w:jc w:val="left"/>
      </w:pPr>
      <w:r>
        <w:t xml:space="preserve">Executed</w:t>
      </w:r>
      <w:r>
        <w:t xml:space="preserve"> </w:t>
      </w:r>
      <w:r>
        <w:t xml:space="preserve">on</w:t>
      </w:r>
      <w:r>
        <w:t xml:space="preserve"> </w:t>
      </w:r>
      <w:r>
        <w:t xml:space="preserve">March</w:t>
      </w:r>
      <w:r>
        <w:t xml:space="preserve"> </w:t>
      </w:r>
      <w:r>
        <w:t xml:space="preserve">21,</w:t>
      </w:r>
      <w:r>
        <w:t xml:space="preserve"> </w:t>
      </w:r>
      <w:r>
        <w:t xml:space="preserve">2019,</w:t>
      </w:r>
      <w:r>
        <w:t xml:space="preserve"> </w:t>
      </w:r>
      <w:r>
        <w:t xml:space="preserve">at</w:t>
      </w:r>
      <w:r>
        <w:t xml:space="preserve"> </w:t>
      </w:r>
      <w:r>
        <w:t xml:space="preserve">Long</w:t>
      </w:r>
      <w:r>
        <w:t xml:space="preserve"> </w:t>
      </w:r>
      <w:r>
        <w:t xml:space="preserve">Beach,</w:t>
      </w:r>
      <w:r>
        <w:t xml:space="preserve"> </w:t>
      </w:r>
      <w:r>
        <w:t xml:space="preserve">California.</w:t>
      </w:r>
    </w:p>
    <w:p>
      <w:pPr>
        <w:spacing w:before="364" w:after="0" w:line="338" w:lineRule="exact"/>
        <w:ind w:left="3960" w:firstLine="0"/>
        <w:jc w:val="left"/>
      </w:pPr>
      <w:r>
        <w:t xml:space="preserve">Laura</w:t>
      </w:r>
      <w:r>
        <w:t xml:space="preserve"> </w:t>
      </w:r>
      <w:r>
        <w:t xml:space="preserve">Palmerin</w:t>
      </w:r>
    </w:p>
    <w:p>
      <w:pPr>
        <w:spacing w:before="0" w:after="0" w:line="338" w:lineRule="exact"/>
        <w:ind w:left="3960" w:firstLine="0"/>
        <w:jc w:val="left"/>
      </w:pPr>
      <w:r>
        <w:t xml:space="preserve">Declarant</w:t>
      </w:r>
    </w:p>
    <w:sectPr>
      <w:footerReference w:type="default" r:id="rIdXdPage"/>
      <w:footerReference w:type="first" r:id="rIdXdNone"/>
      <w:pgSz w:w="12240" w:h="15840"/>
      <w:pgMar w:top="1440" w:right="2160" w:bottom="1440" w:left="2160" w:header="720" w:footer="67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8"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2010, the legislature reorganized, without substantive change, all Penal Code sections relating to “deadly weapons,” including those relating to “assault weapons.” (See Sen. Bill No. 1080 (2009-⁠2010 Reg. Sess.).)</w:t>
      </w:r>
    </w:p>
  </w:footnote>
  <w:footnote w:id="10">
    <w:p>
      <w:pPr>
        <w:pStyle w:val="FootnoteText"/>
      </w:pPr>
      <w:r>
        <w:rPr>
          <w:rStyle w:val="FootnoteReference"/>
        </w:rPr>
        <w:footnoteRef/>
      </w:r>
      <w:r>
        <w:t xml:space="preserve"> </w:t>
      </w:r>
      <w:r>
        <w:t xml:space="preserve">See Ingram, Registering of 300,000 Assault Guns Begins: Weapons: Tough First-In-Nation Law Controls the Manufacture, Sale, Possession and Ownership of High-Powered Military-Style Guns, L.A. Times (Jan. 4, 1990) http://​articles.​latimes.​com/​1990-⁠01-⁠04/​news/​mn315_1_assault-​gun.</w:t>
      </w:r>
    </w:p>
  </w:footnote>
  <w:footnote w:id="11">
    <w:p>
      <w:pPr>
        <w:pStyle w:val="FootnoteText"/>
      </w:pPr>
      <w:r>
        <w:rPr>
          <w:rStyle w:val="FootnoteReference"/>
        </w:rPr>
        <w:footnoteRef/>
      </w:r>
      <w:r>
        <w:t xml:space="preserve"> </w:t>
      </w:r>
      <w:r>
        <w:t xml:space="preserve">DOJ maintained a website to register Category 3 “assault weapons.” That website, www.​regagun.​org (which is no longer functional) included a statement that Category 2 “assault weapons” possessed before August 16, 2000 must be registered on or before January 23, 2001. But there was no registration form specific to such firearms. An archived version of DOJ’s website is available at https://​web.​archive.​org/​web/​20010119105200/​http://​www.​regagun.​org:80/​.</w:t>
      </w:r>
    </w:p>
  </w:footnote>
  <w:footnote w:id="12">
    <w:p>
      <w:pPr>
        <w:pStyle w:val="FootnoteText"/>
      </w:pPr>
      <w:r>
        <w:rPr>
          <w:rStyle w:val="FootnoteReference"/>
        </w:rPr>
        <w:footnoteRef/>
      </w:r>
      <w:r>
        <w:t xml:space="preserve"> </w:t>
      </w:r>
      <w:r>
        <w:t xml:space="preserve">As stated in SB 880’s legislative history, the bill revised the definition of an “assault weapon” to mean “a semiautomatic centerfire rifle, or semiautomatic pistol that does not have a fixed magazine” but has any one of several specified features. (J.A. I 43, bold and italics added.)</w:t>
      </w:r>
    </w:p>
  </w:footnote>
  <w:footnote w:id="13">
    <w:p>
      <w:pPr>
        <w:pStyle w:val="FootnoteText"/>
      </w:pPr>
      <w:r>
        <w:rPr>
          <w:rStyle w:val="FootnoteReference"/>
        </w:rPr>
        <w:footnoteRef/>
      </w:r>
      <w:r>
        <w:t xml:space="preserve"> </w:t>
      </w:r>
      <w:r>
        <w:t xml:space="preserve">The full text of the Challenged Regulations are attached to this brief at Appendix, pages 49-⁠58.</w:t>
      </w:r>
    </w:p>
  </w:footnote>
  <w:footnote w:id="14">
    <w:p>
      <w:pPr>
        <w:pStyle w:val="FootnoteText"/>
      </w:pPr>
      <w:r>
        <w:rPr>
          <w:rStyle w:val="FootnoteReference"/>
        </w:rPr>
        <w:footnoteRef/>
      </w:r>
      <w:r>
        <w:t xml:space="preserve"> </w:t>
      </w:r>
      <w:r>
        <w:t xml:space="preserve">Counsel for Appellant CRPA submitted letters to DOJ and OAL with each submission of the regulatory package explaining why these regulations are invalid. (J.A. IV 1493-⁠1494.)</w:t>
      </w:r>
    </w:p>
  </w:footnote>
  <w:footnote w:id="15">
    <w:p>
      <w:pPr>
        <w:pStyle w:val="FootnoteText"/>
      </w:pPr>
      <w:r>
        <w:rPr>
          <w:rStyle w:val="FootnoteReference"/>
        </w:rPr>
        <w:footnoteRef/>
      </w:r>
      <w:r>
        <w:t xml:space="preserve"> </w:t>
      </w:r>
      <w:r>
        <w:t xml:space="preserve">Appellants also moved for preliminary injunction to prevent DOJ from placing thousands of Californians in the untenable position of having to decide whether to relinquish their rights and property or expose themselves to criminal liability. (J.A. II 280-⁠814.)</w:t>
      </w:r>
    </w:p>
  </w:footnote>
  <w:footnote w:id="16">
    <w:p>
      <w:pPr>
        <w:pStyle w:val="FootnoteText"/>
      </w:pPr>
      <w:r>
        <w:rPr>
          <w:rStyle w:val="FootnoteReference"/>
        </w:rPr>
        <w:footnoteRef/>
      </w:r>
      <w:r>
        <w:t xml:space="preserve"> </w:t>
      </w:r>
      <w:r>
        <w:t xml:space="preserve">The court also denied Appellant’s motion for preliminary injunction as moot. (J.A. IV 1474.) That decision is not on appeal.</w:t>
      </w:r>
    </w:p>
  </w:footnote>
  <w:footnote w:id="17">
    <w:p>
      <w:pPr>
        <w:pStyle w:val="FootnoteText"/>
      </w:pPr>
      <w:r>
        <w:rPr>
          <w:rStyle w:val="FootnoteReference"/>
        </w:rPr>
        <w:footnoteRef/>
      </w:r>
      <w:r>
        <w:t xml:space="preserve"> </w:t>
      </w:r>
      <w:r>
        <w:t xml:space="preserve">See J.A. IV 1473, citing</w:t>
      </w:r>
      <w:r>
        <w:t xml:space="preserve"> </w:t>
      </w:r>
      <w:r>
        <w:rPr>
          <w:i/>
          <w:iCs/>
        </w:rPr>
        <w:t xml:space="preserve">Common</w:t>
      </w:r>
      <w:r>
        <w:rPr>
          <w:i/>
          <w:iCs/>
        </w:rPr>
        <w:t xml:space="preserve"> </w:t>
      </w:r>
      <w:r>
        <w:rPr>
          <w:i/>
          <w:iCs/>
        </w:rPr>
        <w:t xml:space="preserve">Cause v. Bd. of Supers.</w:t>
      </w:r>
      <w:r>
        <w:t xml:space="preserve"> </w:t>
      </w:r>
      <w:r>
        <w:t xml:space="preserve">(1989) 49 Cal.3d 432 [holding that mandamus will not lie when the agency’s act is “quasi-legislative” because it is “not subject to the broader review of administrative acts”];</w:t>
      </w:r>
      <w:r>
        <w:t xml:space="preserve"> </w:t>
      </w:r>
      <w:r>
        <w:rPr>
          <w:i/>
          <w:iCs/>
        </w:rPr>
        <w:t xml:space="preserve">State of California v. Superior Court</w:t>
      </w:r>
      <w:r>
        <w:t xml:space="preserve"> </w:t>
      </w:r>
      <w:r>
        <w:t xml:space="preserve">(1974) 12 Cal.3d 237 [challenging denial of California Coastal Commission permit denial];</w:t>
      </w:r>
      <w:r>
        <w:t xml:space="preserve"> </w:t>
      </w:r>
      <w:r>
        <w:rPr>
          <w:i/>
          <w:iCs/>
        </w:rPr>
        <w:t xml:space="preserve">Tejon Real Estate, LLC v. City of Los Angeles</w:t>
      </w:r>
      <w:r>
        <w:t xml:space="preserve"> </w:t>
      </w:r>
      <w:r>
        <w:t xml:space="preserve">(2014) 223 Cal.App.4th 149, as modified on denial of reh’g (Feb. 14, 2014) [seeking clarification of a Department of Water and Power Rule];</w:t>
      </w:r>
      <w:r>
        <w:t xml:space="preserve"> </w:t>
      </w:r>
      <w:r>
        <w:rPr>
          <w:i/>
          <w:iCs/>
        </w:rPr>
        <w:t xml:space="preserve">Palmer v. Fox</w:t>
      </w:r>
      <w:r>
        <w:t xml:space="preserve"> </w:t>
      </w:r>
      <w:r>
        <w:t xml:space="preserve">(1953) 118 Cal.App.2d 53 [challenging denial of building permit because of racist deed restrictions on the land].</w:t>
      </w:r>
    </w:p>
  </w:footnote>
  <w:footnote w:id="18">
    <w:p>
      <w:pPr>
        <w:pStyle w:val="FootnoteText"/>
      </w:pPr>
      <w:r>
        <w:rPr>
          <w:rStyle w:val="FootnoteReference"/>
        </w:rPr>
        <w:footnoteRef/>
      </w:r>
      <w:r>
        <w:t xml:space="preserve"> </w:t>
      </w:r>
      <w:r>
        <w:t xml:space="preserve">Neither DOJ nor the trial court cited any authority showing that agencies have the sort of leeway in adopting regulations when bypassing the APA that they have when complying with it.</w:t>
      </w:r>
    </w:p>
  </w:footnote>
  <w:footnote w:id="19">
    <w:p>
      <w:pPr>
        <w:pStyle w:val="FootnoteText"/>
      </w:pPr>
      <w:r>
        <w:rPr>
          <w:rStyle w:val="FootnoteReference"/>
        </w:rPr>
        <w:footnoteRef/>
      </w:r>
      <w:r>
        <w:t xml:space="preserve"> </w:t>
      </w:r>
      <w:r>
        <w:t xml:space="preserve">Serial numbers on all firearms produced by licensed manufacturers were required only after enactment of the Gun Control Act of 1968. (Pub.L. No. 90-⁠618 (Oct. 22, 1968) 82 Stat. 1213, 1223.) Federal law has never required serial numbers on firearms made by persons other than licensed manufacturers and importers engaged in the business of firearms.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8"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8"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8" w:lineRule="exact"/>
      <w:ind w:firstLine="0"/>
      <w:jc w:val="center"/>
      <w:outlineLvl w:val="0"/>
    </w:pPr>
    <w:rPr>
      <w:rFonts w:ascii="EB Garamond" w:hAnsi="EB Garamond" w:eastAsia="EB Garamond" w:cs="EB Garamond"/>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38" w:lineRule="exact"/>
      <w:ind w:firstLine="0"/>
      <w:outlineLvl w:val="1"/>
    </w:pPr>
    <w:rPr>
      <w:rFonts w:ascii="EB Garamond" w:hAnsi="EB Garamond" w:eastAsia="EB Garamond" w:cs="EB Garamond"/>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38" w:lineRule="exact"/>
      <w:ind w:firstLine="0"/>
      <w:outlineLvl w:val="2"/>
    </w:pPr>
    <w:rPr>
      <w:rFonts w:ascii="EB Garamond" w:hAnsi="EB Garamond" w:eastAsia="EB Garamond" w:cs="EB Garamond"/>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38" w:lineRule="exact"/>
      <w:ind w:firstLine="0"/>
      <w:outlineLvl w:val="3"/>
    </w:pPr>
    <w:rPr>
      <w:rFonts w:ascii="EB Garamond" w:hAnsi="EB Garamond" w:eastAsia="EB Garamond" w:cs="EB Garamond"/>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38" w:lineRule="exact"/>
      <w:ind w:firstLine="0"/>
      <w:outlineLvl w:val="4"/>
    </w:pPr>
    <w:rPr>
      <w:rFonts w:ascii="EB Garamond" w:hAnsi="EB Garamond" w:eastAsia="EB Garamond" w:cs="EB Garamond"/>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7" w:lineRule="exact"/>
      <w:ind w:left="720" w:hanging="720"/>
    </w:pPr>
  </w:style>
  <w:style w:type="paragraph" w:styleId="BlockText">
    <w:name w:val="Block Text"/>
    <w:basedOn w:val="BodyText"/>
    <w:next w:val="BodyText"/>
    <w:uiPriority w:val="9"/>
    <w:unhideWhenUsed/>
    <w:qFormat/>
    <w:pPr>
      <w:spacing w:before="280" w:after="280" w:line="338" w:lineRule="exact"/>
      <w:ind w:firstLine="0" w:left="720" w:right="720"/>
    </w:pPr>
  </w:style>
  <w:style w:type="paragraph" w:styleId="FootnoteText">
    <w:name w:val="Footnote Text"/>
    <w:basedOn w:val="Normal"/>
    <w:next w:val="FootnoteText"/>
    <w:uiPriority w:val="9"/>
    <w:unhideWhenUsed/>
    <w:qFormat/>
    <w:pPr>
      <w:keepLines/>
      <w:spacing w:before="65" w:after="130" w:line="338"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38" w:lineRule="exact"/>
      <w:ind w:left="720" w:right="720" w:firstLine="0"/>
    </w:pPr>
  </w:style>
  <w:style w:type="paragraph" w:customStyle="1" w:styleId="XdQuoteFirst">
    <w:name w:val="Xd Quote First"/>
    <w:basedOn w:val="Normal"/>
    <w:qFormat/>
    <w:pPr>
      <w:spacing w:before="260" w:after="234" w:line="338" w:lineRule="exact"/>
      <w:ind w:left="720" w:right="720" w:firstLine="0"/>
    </w:pPr>
  </w:style>
  <w:style w:type="paragraph" w:customStyle="1" w:styleId="XdQuoteLast">
    <w:name w:val="Xd Quote Last"/>
    <w:basedOn w:val="Normal"/>
    <w:qFormat/>
    <w:pPr>
      <w:spacing w:before="234" w:after="260" w:line="338" w:lineRule="exact"/>
      <w:ind w:left="720" w:right="720" w:firstLine="0"/>
    </w:pPr>
  </w:style>
  <w:style w:type="paragraph" w:customStyle="1" w:styleId="XdQuoteOnly">
    <w:name w:val="Xd Quote Only"/>
    <w:basedOn w:val="Normal"/>
    <w:qFormat/>
    <w:pPr>
      <w:spacing w:before="260" w:after="260" w:line="338" w:lineRule="exact"/>
      <w:ind w:left="720" w:right="720" w:firstLine="0"/>
    </w:pPr>
  </w:style>
  <w:style w:type="paragraph" w:customStyle="1" w:styleId="XdTail">
    <w:name w:val="Xd Tail"/>
    <w:basedOn w:val="Normal"/>
    <w:qFormat/>
    <w:pPr>
      <w:spacing w:before="0" w:after="0" w:line="338"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7" w:lineRule="exact"/>
      <w:ind w:left="720" w:hanging="720"/>
    </w:pPr>
  </w:style>
  <w:style w:type="paragraph" w:customStyle="1" w:styleId="XdList2">
    <w:name w:val="XdList 2"/>
    <w:basedOn w:val="Normal"/>
    <w:qFormat/>
    <w:pPr>
      <w:spacing w:before="0" w:after="0" w:line="507" w:lineRule="exact"/>
      <w:ind w:left="1440" w:hanging="720"/>
    </w:pPr>
  </w:style>
  <w:style w:type="paragraph" w:customStyle="1" w:styleId="XdList3">
    <w:name w:val="XdList 3"/>
    <w:basedOn w:val="Normal"/>
    <w:qFormat/>
    <w:pPr>
      <w:spacing w:before="0" w:after="0" w:line="507" w:lineRule="exact"/>
      <w:ind w:left="2160" w:hanging="720"/>
    </w:pPr>
  </w:style>
  <w:style w:type="paragraph" w:customStyle="1" w:styleId="XdTailList1">
    <w:name w:val="XdTailList 1"/>
    <w:basedOn w:val="Normal"/>
    <w:qFormat/>
    <w:pPr>
      <w:spacing w:before="0" w:after="0" w:line="338" w:lineRule="exact"/>
      <w:ind w:left="720" w:hanging="720"/>
    </w:pPr>
  </w:style>
  <w:style w:type="paragraph" w:customStyle="1" w:styleId="XdTailList2">
    <w:name w:val="XdTailList 2"/>
    <w:basedOn w:val="Normal"/>
    <w:qFormat/>
    <w:pPr>
      <w:spacing w:before="0" w:after="0" w:line="338" w:lineRule="exact"/>
      <w:ind w:left="1440" w:hanging="720"/>
    </w:pPr>
  </w:style>
  <w:style w:type="paragraph" w:customStyle="1" w:styleId="XdTailList3">
    <w:name w:val="XdTailList 3"/>
    <w:basedOn w:val="Normal"/>
    <w:qFormat/>
    <w:pPr>
      <w:spacing w:before="0" w:after="0" w:line="338" w:lineRule="exact"/>
      <w:ind w:left="2160" w:hanging="720"/>
    </w:pPr>
  </w:style>
  <w:style w:type="paragraph" w:customStyle="1" w:styleId="XdQuoteList1">
    <w:name w:val="Xd Quote List 1"/>
    <w:basedOn w:val="Normal"/>
    <w:qFormat/>
    <w:pPr>
      <w:spacing w:before="0" w:after="0" w:line="338" w:lineRule="exact"/>
      <w:ind w:left="1440" w:right="720" w:hanging="720"/>
    </w:pPr>
  </w:style>
  <w:style w:type="paragraph" w:customStyle="1" w:styleId="XdQuoteList2">
    <w:name w:val="Xd Quote List 2"/>
    <w:basedOn w:val="Normal"/>
    <w:qFormat/>
    <w:pPr>
      <w:spacing w:before="0" w:after="0" w:line="338" w:lineRule="exact"/>
      <w:ind w:left="2160" w:right="720" w:hanging="720"/>
    </w:pPr>
  </w:style>
  <w:style w:type="paragraph" w:customStyle="1" w:styleId="XdQuoteList3">
    <w:name w:val="Xd Quote List 3"/>
    <w:basedOn w:val="Normal"/>
    <w:qFormat/>
    <w:pPr>
      <w:spacing w:before="0" w:after="0" w:line="338"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