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63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637"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637" w:lineRule="exact"/>
      </w:pPr>
    </w:p>
    <w:p>
      <w:pPr>
        <w:spacing w:before="0" w:after="0" w:line="31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637"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63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7</w:t>
      </w:r>
    </w:p>
    <w:p>
      <w:pPr>
        <w:keepLines/>
        <w:tabs>
          <w:tab w:val="right" w:leader="dot" w:pos="7920"/>
        </w:tabs>
        <w:spacing w:before="130" w:after="0" w:line="312" w:lineRule="exact"/>
        <w:ind w:left="0" w:right="720" w:firstLine="0"/>
      </w:pPr>
      <w:r>
        <w:t xml:space="preserve">Argument</w:t>
      </w:r>
      <w:r>
        <w:t xml:space="preserve">   </w:t>
      </w:r>
      <w:r>
        <w:tab/>
      </w:r>
      <w:r>
        <w:t xml:space="preserve">8</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8</w:t>
      </w:r>
    </w:p>
    <w:p>
      <w:pPr>
        <w:keepLines/>
        <w:tabs>
          <w:tab w:val="right" w:leader="dot" w:pos="7920"/>
        </w:tabs>
        <w:spacing w:before="130" w:after="0" w:line="312" w:lineRule="exact"/>
        <w:ind w:left="2160" w:right="720" w:hanging="720"/>
      </w:pPr>
      <w:r>
        <w:t xml:space="preserve">A.</w:t>
      </w:r>
      <w:r>
        <w:tab/>
      </w:r>
      <w:r>
        <w:t xml:space="preserve">Discretionary</w:t>
      </w:r>
      <w:r>
        <w:t xml:space="preserve"> </w:t>
      </w:r>
      <w:r>
        <w:t xml:space="preserve">Immunity</w:t>
      </w:r>
      <w:r>
        <w:t xml:space="preserve"> </w:t>
      </w:r>
      <w:r>
        <w:t xml:space="preserve">Does</w:t>
      </w:r>
      <w:r>
        <w:t xml:space="preserve"> </w:t>
      </w:r>
      <w:r>
        <w:t xml:space="preserve">Not</w:t>
      </w:r>
      <w:r>
        <w:t xml:space="preserve"> </w:t>
      </w:r>
      <w:r>
        <w:t xml:space="preserve">Shield</w:t>
      </w:r>
      <w:r>
        <w:t xml:space="preserve"> </w:t>
      </w:r>
      <w:r>
        <w:t xml:space="preserve">Respondents’</w:t>
      </w:r>
      <w:r>
        <w:t xml:space="preserve"> </w:t>
      </w:r>
      <w:r>
        <w:t xml:space="preserve">Refusal</w:t>
      </w:r>
      <w:r>
        <w:t xml:space="preserve"> </w:t>
      </w:r>
      <w:r>
        <w:t xml:space="preserve">to</w:t>
      </w:r>
      <w:r>
        <w:t xml:space="preserve"> </w:t>
      </w:r>
      <w:r>
        <w:t xml:space="preserve">Perform</w:t>
      </w:r>
      <w:r>
        <w:t xml:space="preserve"> </w:t>
      </w:r>
      <w:r>
        <w:t xml:space="preserve">Their</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Functional</w:t>
      </w:r>
      <w:r>
        <w:t xml:space="preserve"> </w:t>
      </w:r>
      <w:r>
        <w:t xml:space="preserve">DES</w:t>
      </w:r>
      <w:r>
        <w:t xml:space="preserve">   </w:t>
      </w:r>
      <w:r>
        <w:tab/>
      </w:r>
      <w:r>
        <w:t xml:space="preserve">9</w:t>
      </w:r>
    </w:p>
    <w:p>
      <w:pPr>
        <w:keepLines/>
        <w:tabs>
          <w:tab w:val="right" w:leader="dot" w:pos="7920"/>
        </w:tabs>
        <w:spacing w:before="130" w:after="0" w:line="312" w:lineRule="exact"/>
        <w:ind w:left="2880" w:right="720" w:hanging="720"/>
      </w:pPr>
      <w:r>
        <w:t xml:space="preserve">1.</w:t>
      </w:r>
      <w:r>
        <w:tab/>
      </w:r>
      <w:r>
        <w:t xml:space="preserve">The</w:t>
      </w:r>
      <w:r>
        <w:t xml:space="preserve"> </w:t>
      </w:r>
      <w:r>
        <w:t xml:space="preserve">Penal</w:t>
      </w:r>
      <w:r>
        <w:t xml:space="preserve"> </w:t>
      </w:r>
      <w:r>
        <w:t xml:space="preserve">Code</w:t>
      </w:r>
      <w:r>
        <w:t xml:space="preserve"> </w:t>
      </w:r>
      <w:r>
        <w:t xml:space="preserve">creates</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12</w:t>
      </w:r>
    </w:p>
    <w:p>
      <w:pPr>
        <w:keepLines/>
        <w:tabs>
          <w:tab w:val="right" w:leader="dot" w:pos="7920"/>
        </w:tabs>
        <w:spacing w:before="130" w:after="0" w:line="312" w:lineRule="exact"/>
        <w:ind w:left="2880" w:right="720" w:hanging="720"/>
      </w:pPr>
      <w:r>
        <w:t xml:space="preserve">2.</w:t>
      </w:r>
      <w:r>
        <w:tab/>
      </w:r>
      <w:r>
        <w:t xml:space="preserve">Section</w:t>
      </w:r>
      <w:r>
        <w:t xml:space="preserve"> </w:t>
      </w:r>
      <w:r>
        <w:t xml:space="preserve">820.2</w:t>
      </w:r>
      <w:r>
        <w:t xml:space="preserve"> </w:t>
      </w:r>
      <w:r>
        <w:t xml:space="preserve">immunity</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Respondents’</w:t>
      </w:r>
      <w:r>
        <w:t xml:space="preserve"> </w:t>
      </w:r>
      <w:r>
        <w:t xml:space="preserve">mandatory,</w:t>
      </w:r>
      <w:r>
        <w:t xml:space="preserve"> </w:t>
      </w:r>
      <w:r>
        <w:t xml:space="preserve">ministerial</w:t>
      </w:r>
      <w:r>
        <w:t xml:space="preserve"> </w:t>
      </w:r>
      <w:r>
        <w:t xml:space="preserve">duty</w:t>
      </w:r>
      <w:r>
        <w:t xml:space="preserve"> </w:t>
      </w:r>
      <w:r>
        <w:t xml:space="preserve">to</w:t>
      </w:r>
      <w:r>
        <w:t xml:space="preserve"> </w:t>
      </w:r>
      <w:r>
        <w:t xml:space="preserve">maintain</w:t>
      </w:r>
      <w:r>
        <w:t xml:space="preserve"> </w:t>
      </w:r>
      <w:r>
        <w:t xml:space="preserve">an</w:t>
      </w:r>
      <w:r>
        <w:t xml:space="preserve"> </w:t>
      </w:r>
      <w:r>
        <w:t xml:space="preserve">operational</w:t>
      </w:r>
      <w:r>
        <w:t xml:space="preserve"> </w:t>
      </w:r>
      <w:r>
        <w:t xml:space="preserve">DES.</w:t>
      </w:r>
      <w:r>
        <w:t xml:space="preserve">   </w:t>
      </w:r>
      <w:r>
        <w:tab/>
      </w:r>
      <w:r>
        <w:t xml:space="preserve">18</w:t>
      </w:r>
    </w:p>
    <w:p>
      <w:pPr>
        <w:keepLines/>
        <w:tabs>
          <w:tab w:val="right" w:leader="dot" w:pos="7920"/>
        </w:tabs>
        <w:spacing w:before="130" w:after="0" w:line="312" w:lineRule="exact"/>
        <w:ind w:left="2160" w:right="720" w:hanging="720"/>
      </w:pPr>
      <w:r>
        <w:t xml:space="preserve">B.</w:t>
      </w:r>
      <w:r>
        <w:tab/>
      </w:r>
      <w:r>
        <w:t xml:space="preserve">Respondents’</w:t>
      </w:r>
      <w:r>
        <w:t xml:space="preserve"> </w:t>
      </w:r>
      <w:r>
        <w:t xml:space="preserve">Alternative</w:t>
      </w:r>
      <w:r>
        <w:t xml:space="preserve"> </w:t>
      </w:r>
      <w:r>
        <w:t xml:space="preserve">Grounds</w:t>
      </w:r>
      <w:r>
        <w:t xml:space="preserve"> </w:t>
      </w:r>
      <w:r>
        <w:t xml:space="preserve">for</w:t>
      </w:r>
      <w:r>
        <w:t xml:space="preserve"> </w:t>
      </w:r>
      <w:r>
        <w:t xml:space="preserve">Affirmance</w:t>
      </w:r>
      <w:r>
        <w:t xml:space="preserve"> </w:t>
      </w:r>
      <w:r>
        <w:t xml:space="preserve">Fail</w:t>
      </w:r>
      <w:r>
        <w:t xml:space="preserve">   </w:t>
      </w:r>
      <w:r>
        <w:tab/>
      </w:r>
      <w:r>
        <w:t xml:space="preserve">22</w:t>
      </w:r>
    </w:p>
    <w:p>
      <w:pPr>
        <w:keepLines/>
        <w:tabs>
          <w:tab w:val="right" w:leader="dot" w:pos="7920"/>
        </w:tabs>
        <w:spacing w:before="130" w:after="0" w:line="312" w:lineRule="exact"/>
        <w:ind w:left="2880" w:right="720" w:hanging="720"/>
      </w:pPr>
      <w:r>
        <w:t xml:space="preserve">1.</w:t>
      </w:r>
      <w:r>
        <w:tab/>
      </w:r>
      <w:r>
        <w:t xml:space="preserve">FAI</w:t>
      </w:r>
      <w:r>
        <w:t xml:space="preserve"> </w:t>
      </w:r>
      <w:r>
        <w:t xml:space="preserve">had</w:t>
      </w:r>
      <w:r>
        <w:t xml:space="preserve"> </w:t>
      </w:r>
      <w:r>
        <w:t xml:space="preserve">valid</w:t>
      </w:r>
      <w:r>
        <w:t xml:space="preserve"> </w:t>
      </w:r>
      <w:r>
        <w:t xml:space="preserve">economic</w:t>
      </w:r>
      <w:r>
        <w:t xml:space="preserve"> </w:t>
      </w:r>
      <w:r>
        <w:t xml:space="preserve">relationships</w:t>
      </w:r>
      <w:r>
        <w:t xml:space="preserve"> </w:t>
      </w:r>
      <w:r>
        <w:t xml:space="preserve">with</w:t>
      </w:r>
      <w:r>
        <w:t xml:space="preserve"> </w:t>
      </w:r>
      <w:r>
        <w:t xml:space="preserve">thousands</w:t>
      </w:r>
      <w:r>
        <w:t xml:space="preserve"> </w:t>
      </w:r>
      <w:r>
        <w:t xml:space="preserve">of</w:t>
      </w:r>
      <w:r>
        <w:t xml:space="preserve"> </w:t>
      </w:r>
      <w:r>
        <w:t xml:space="preserve">buyers.</w:t>
      </w:r>
      <w:r>
        <w:t xml:space="preserve">   </w:t>
      </w:r>
      <w:r>
        <w:tab/>
      </w:r>
      <w:r>
        <w:t xml:space="preserve">23</w:t>
      </w:r>
    </w:p>
    <w:p>
      <w:pPr>
        <w:keepLines/>
        <w:tabs>
          <w:tab w:val="right" w:leader="dot" w:pos="7920"/>
        </w:tabs>
        <w:spacing w:before="130" w:after="0" w:line="312" w:lineRule="exact"/>
        <w:ind w:left="2880" w:right="720" w:hanging="720"/>
      </w:pPr>
      <w:r>
        <w:t xml:space="preserve">2.</w:t>
      </w:r>
      <w:r>
        <w:tab/>
      </w:r>
      <w:r>
        <w:t xml:space="preserve">Respondents</w:t>
      </w:r>
      <w:r>
        <w:t xml:space="preserve"> </w:t>
      </w:r>
      <w:r>
        <w:t xml:space="preserve">intentionally</w:t>
      </w:r>
      <w:r>
        <w:t xml:space="preserve"> </w:t>
      </w:r>
      <w:r>
        <w:t xml:space="preserve">interfered</w:t>
      </w:r>
      <w:r>
        <w:t xml:space="preserve"> </w:t>
      </w:r>
      <w:r>
        <w:t xml:space="preserve">with</w:t>
      </w:r>
      <w:r>
        <w:t xml:space="preserve"> </w:t>
      </w:r>
      <w:r>
        <w:t xml:space="preserve">FAI’s</w:t>
      </w:r>
      <w:r>
        <w:t xml:space="preserve"> </w:t>
      </w:r>
      <w:r>
        <w:t xml:space="preserve">contractual</w:t>
      </w:r>
      <w:r>
        <w:t xml:space="preserve"> </w:t>
      </w:r>
      <w:r>
        <w:t xml:space="preserve">and</w:t>
      </w:r>
      <w:r>
        <w:t xml:space="preserve"> </w:t>
      </w:r>
      <w:r>
        <w:t xml:space="preserve">economic</w:t>
      </w:r>
      <w:r>
        <w:t xml:space="preserve"> </w:t>
      </w:r>
      <w:r>
        <w:t xml:space="preserve">relationships.</w:t>
      </w:r>
      <w:r>
        <w:t xml:space="preserve">   </w:t>
      </w:r>
      <w:r>
        <w:tab/>
      </w:r>
      <w:r>
        <w:t xml:space="preserve">26</w:t>
      </w:r>
    </w:p>
    <w:p>
      <w:pPr>
        <w:keepLines/>
        <w:tabs>
          <w:tab w:val="right" w:leader="dot" w:pos="7920"/>
        </w:tabs>
        <w:spacing w:before="130" w:after="0" w:line="312" w:lineRule="exact"/>
        <w:ind w:left="2880" w:right="720" w:hanging="720"/>
      </w:pPr>
      <w:r>
        <w:t xml:space="preserve">3.</w:t>
      </w:r>
      <w:r>
        <w:tab/>
      </w:r>
      <w:r>
        <w:t xml:space="preserve">Respondents’</w:t>
      </w:r>
      <w:r>
        <w:t xml:space="preserve"> </w:t>
      </w:r>
      <w:r>
        <w:t xml:space="preserve">conduct</w:t>
      </w:r>
      <w:r>
        <w:t xml:space="preserve"> </w:t>
      </w:r>
      <w:r>
        <w:t xml:space="preserve">was</w:t>
      </w:r>
      <w:r>
        <w:t xml:space="preserve"> </w:t>
      </w:r>
      <w:r>
        <w:t xml:space="preserve">“independently</w:t>
      </w:r>
      <w:r>
        <w:t xml:space="preserve"> </w:t>
      </w:r>
      <w:r>
        <w:t xml:space="preserve">wrongful”</w:t>
      </w:r>
      <w:r>
        <w:t xml:space="preserve">   </w:t>
      </w:r>
      <w:r>
        <w:tab/>
      </w:r>
      <w:r>
        <w:t xml:space="preserve">29</w:t>
      </w:r>
    </w:p>
    <w:p>
      <w:pPr>
        <w:keepLines/>
        <w:tabs>
          <w:tab w:val="right" w:leader="dot" w:pos="7920"/>
        </w:tabs>
        <w:spacing w:before="130" w:after="0" w:line="312" w:lineRule="exact"/>
        <w:ind w:left="2880" w:right="720" w:hanging="720"/>
      </w:pPr>
      <w:r>
        <w:t xml:space="preserve">4.</w:t>
      </w:r>
      <w:r>
        <w:tab/>
      </w:r>
      <w:r>
        <w:t xml:space="preserve">Respondents’</w:t>
      </w:r>
      <w:r>
        <w:t xml:space="preserve"> </w:t>
      </w:r>
      <w:r>
        <w:t xml:space="preserve">reliance</w:t>
      </w:r>
      <w:r>
        <w:t xml:space="preserve"> </w:t>
      </w:r>
      <w:r>
        <w:t xml:space="preserve">on</w:t>
      </w:r>
      <w:r>
        <w:t xml:space="preserve"> </w:t>
      </w:r>
      <w:r>
        <w:t xml:space="preserve">Roy</w:t>
      </w:r>
      <w:r>
        <w:t xml:space="preserve"> </w:t>
      </w:r>
      <w:r>
        <w:t xml:space="preserve">Allan</w:t>
      </w:r>
      <w:r>
        <w:t xml:space="preserve"> </w:t>
      </w:r>
      <w:r>
        <w:t xml:space="preserve">is</w:t>
      </w:r>
      <w:r>
        <w:t xml:space="preserve"> </w:t>
      </w:r>
      <w:r>
        <w:t xml:space="preserve">misplaced;</w:t>
      </w:r>
      <w:r>
        <w:t xml:space="preserve"> </w:t>
      </w:r>
      <w:r>
        <w:t xml:space="preserve">public</w:t>
      </w:r>
      <w:r>
        <w:t xml:space="preserve"> </w:t>
      </w:r>
      <w:r>
        <w:t xml:space="preserve">policy</w:t>
      </w:r>
      <w:r>
        <w:t xml:space="preserve"> </w:t>
      </w:r>
      <w:r>
        <w:t xml:space="preserve">favors</w:t>
      </w:r>
      <w:r>
        <w:t xml:space="preserve"> </w:t>
      </w:r>
      <w:r>
        <w:t xml:space="preserve">liability</w:t>
      </w:r>
      <w:r>
        <w:t xml:space="preserve"> </w:t>
      </w:r>
      <w:r>
        <w:t xml:space="preserve">for</w:t>
      </w:r>
      <w:r>
        <w:t xml:space="preserve"> </w:t>
      </w:r>
      <w:r>
        <w:t xml:space="preserve">interference</w:t>
      </w:r>
      <w:r>
        <w:t xml:space="preserve"> </w:t>
      </w:r>
      <w:r>
        <w:t xml:space="preserve">with</w:t>
      </w:r>
      <w:r>
        <w:t xml:space="preserve"> </w:t>
      </w:r>
      <w:r>
        <w:t xml:space="preserve">ordinary</w:t>
      </w:r>
      <w:r>
        <w:t xml:space="preserve"> </w:t>
      </w:r>
      <w:r>
        <w:t xml:space="preserve">commercial</w:t>
      </w:r>
      <w:r>
        <w:t xml:space="preserve"> </w:t>
      </w:r>
      <w:r>
        <w:t xml:space="preserve">dealings.</w:t>
      </w:r>
      <w:r>
        <w:t xml:space="preserve">   </w:t>
      </w:r>
      <w:r>
        <w:tab/>
      </w:r>
      <w:r>
        <w:t xml:space="preserve">30</w:t>
      </w:r>
    </w:p>
    <w:p>
      <w:pPr>
        <w:keepLines/>
        <w:tabs>
          <w:tab w:val="right" w:leader="dot" w:pos="7920"/>
        </w:tabs>
        <w:spacing w:before="130" w:after="0" w:line="312" w:lineRule="exact"/>
        <w:ind w:left="1440" w:right="720" w:hanging="720"/>
      </w:pPr>
      <w:r>
        <w:t xml:space="preserve">II.</w:t>
      </w:r>
      <w:r>
        <w:tab/>
      </w:r>
      <w:r>
        <w:t xml:space="preserve">APPELLANTS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RIGHT</w:t>
      </w:r>
      <w:r>
        <w:t xml:space="preserve"> </w:t>
      </w:r>
      <w:r>
        <w:t xml:space="preserve">TO</w:t>
      </w:r>
      <w:r>
        <w:t xml:space="preserve"> </w:t>
      </w:r>
      <w:r>
        <w:t xml:space="preserve">APPEAL</w:t>
      </w:r>
      <w:r>
        <w:t xml:space="preserve"> </w:t>
      </w:r>
      <w:r>
        <w:t xml:space="preserve">THE</w:t>
      </w:r>
      <w:r>
        <w:t xml:space="preserve"> </w:t>
      </w:r>
      <w:r>
        <w:t xml:space="preserve">TRIAL</w:t>
      </w:r>
      <w:r>
        <w:t xml:space="preserve"> </w:t>
      </w:r>
      <w:r>
        <w:t xml:space="preserve">COURT’S</w:t>
      </w:r>
      <w:r>
        <w:t xml:space="preserve"> </w:t>
      </w:r>
      <w:r>
        <w:t xml:space="preserve">WRONGFUL</w:t>
      </w:r>
      <w:r>
        <w:t xml:space="preserve"> </w:t>
      </w:r>
      <w:r>
        <w:t xml:space="preserve">DISMISSAL</w:t>
      </w:r>
      <w:r>
        <w:t xml:space="preserve"> </w:t>
      </w:r>
      <w:r>
        <w:t xml:space="preserve">OF</w:t>
      </w:r>
      <w:r>
        <w:t xml:space="preserve"> </w:t>
      </w:r>
      <w:r>
        <w:t xml:space="preserve">THEIR</w:t>
      </w:r>
      <w:r>
        <w:t xml:space="preserve"> </w:t>
      </w:r>
      <w:r>
        <w:t xml:space="preserve">EQUITABLE</w:t>
      </w:r>
      <w:r>
        <w:t xml:space="preserve"> </w:t>
      </w:r>
      <w:r>
        <w:t xml:space="preserve">RELIEF</w:t>
      </w:r>
      <w:r>
        <w:t xml:space="preserve"> </w:t>
      </w:r>
      <w:r>
        <w:t xml:space="preserve">AND</w:t>
      </w:r>
      <w:r>
        <w:t xml:space="preserve"> </w:t>
      </w:r>
      <w:r>
        <w:t xml:space="preserve">MANDAMUS</w:t>
      </w:r>
      <w:r>
        <w:t xml:space="preserve"> </w:t>
      </w:r>
      <w:r>
        <w:t xml:space="preserve">CLAIMS</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32</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APPELLANTS’</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 xml:space="preserve">SB</w:t>
      </w:r>
      <w:r>
        <w:t xml:space="preserve"> </w:t>
      </w:r>
      <w:r>
        <w:t xml:space="preserve">118</w:t>
      </w:r>
      <w:r>
        <w:t xml:space="preserve"> </w:t>
      </w:r>
      <w:r>
        <w:t xml:space="preserve">DID</w:t>
      </w:r>
      <w:r>
        <w:t xml:space="preserve"> </w:t>
      </w:r>
      <w:r>
        <w:t xml:space="preserve">NOT</w:t>
      </w:r>
      <w:r>
        <w:t xml:space="preserve"> </w:t>
      </w:r>
      <w:r>
        <w:t xml:space="preserve">ELIMINATE</w:t>
      </w:r>
      <w:r>
        <w:t xml:space="preserve"> </w:t>
      </w:r>
      <w:r>
        <w:t xml:space="preserve">THE</w:t>
      </w:r>
      <w:r>
        <w:t xml:space="preserve"> </w:t>
      </w:r>
      <w:r>
        <w:t xml:space="preserve">COURT’S</w:t>
      </w:r>
      <w:r>
        <w:t xml:space="preserve"> </w:t>
      </w:r>
      <w:r>
        <w:t xml:space="preserve">POWER</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ab/>
      </w:r>
      <w:r>
        <w:t xml:space="preserve">35</w:t>
      </w:r>
    </w:p>
    <w:p>
      <w:pPr>
        <w:keepLines/>
        <w:tabs>
          <w:tab w:val="right" w:leader="dot" w:pos="7920"/>
        </w:tabs>
        <w:spacing w:before="130" w:after="0" w:line="312" w:lineRule="exact"/>
        <w:ind w:left="0" w:right="720" w:firstLine="0"/>
      </w:pPr>
      <w:r>
        <w:t xml:space="preserve">Conclusion</w:t>
      </w:r>
      <w:r>
        <w:t xml:space="preserve">   </w:t>
      </w:r>
      <w:r>
        <w:tab/>
      </w:r>
      <w:r>
        <w:t xml:space="preserve">40</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Adoption</w:t>
      </w:r>
      <w:r>
        <w:rPr>
          <w:i/>
          <w:iCs/>
        </w:rPr>
        <w:t xml:space="preserve"> </w:t>
      </w:r>
      <w:r>
        <w:rPr>
          <w:i/>
          <w:iCs/>
        </w:rPr>
        <w:t xml:space="preserve">of</w:t>
      </w:r>
      <w:r>
        <w:rPr>
          <w:i/>
          <w:iCs/>
        </w:rPr>
        <w:t xml:space="preserve"> </w:t>
      </w:r>
      <w:r>
        <w:rPr>
          <w:i/>
          <w:iCs/>
        </w:rPr>
        <w:t xml:space="preserve">S.S.</w:t>
      </w:r>
      <w:r>
        <w:t xml:space="preserve"> </w:t>
      </w:r>
      <w:r>
        <w:t xml:space="preserve">(2021)</w:t>
      </w:r>
      <w:r>
        <w:t xml:space="preserve"> </w:t>
      </w:r>
      <w:r>
        <w:t xml:space="preserve">72</w:t>
      </w:r>
      <w:r>
        <w:t xml:space="preserve"> </w:t>
      </w:r>
      <w:r>
        <w:t xml:space="preserve">Cal.App.5th</w:t>
      </w:r>
      <w:r>
        <w:t xml:space="preserve"> </w:t>
      </w:r>
      <w:r>
        <w:t xml:space="preserve">607</w:t>
      </w:r>
      <w:r>
        <w:t xml:space="preserve">   </w:t>
      </w:r>
      <w:r>
        <w:tab/>
      </w:r>
      <w:r>
        <w:t xml:space="preserve">37</w:t>
      </w:r>
    </w:p>
    <w:p>
      <w:pPr>
        <w:keepLines/>
        <w:tabs>
          <w:tab w:val="right" w:leader="dot" w:pos="7920"/>
        </w:tabs>
        <w:spacing w:before="182" w:after="0" w:line="312" w:lineRule="exact"/>
        <w:ind w:left="504" w:right="720" w:hanging="504"/>
      </w:pPr>
      <w:r>
        <w:rPr>
          <w:i/>
          <w:iCs/>
        </w:rPr>
        <w:t xml:space="preserve">All</w:t>
      </w:r>
      <w:r>
        <w:rPr>
          <w:i/>
          <w:iCs/>
        </w:rPr>
        <w:t xml:space="preserve"> </w:t>
      </w:r>
      <w:r>
        <w:rPr>
          <w:i/>
          <w:iCs/>
        </w:rPr>
        <w:t xml:space="preserve">Towing</w:t>
      </w:r>
      <w:r>
        <w:rPr>
          <w:i/>
          <w:iCs/>
        </w:rPr>
        <w:t xml:space="preserve"> </w:t>
      </w:r>
      <w:r>
        <w:rPr>
          <w:i/>
          <w:iCs/>
        </w:rPr>
        <w:t xml:space="preserve">Serv.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Orange</w:t>
      </w:r>
      <w:r>
        <w:t xml:space="preserve"> </w:t>
      </w:r>
      <w:r>
        <w:t xml:space="preserve">(2013)</w:t>
      </w:r>
      <w:r>
        <w:t xml:space="preserve"> </w:t>
      </w:r>
      <w:r>
        <w:t xml:space="preserve">220</w:t>
      </w:r>
      <w:r>
        <w:t xml:space="preserve"> </w:t>
      </w:r>
      <w:r>
        <w:t xml:space="preserve">Cal.App.4th</w:t>
      </w:r>
      <w:r>
        <w:t xml:space="preserve"> </w:t>
      </w:r>
      <w:r>
        <w:t xml:space="preserve">946</w:t>
      </w:r>
      <w:r>
        <w:t xml:space="preserve">   </w:t>
      </w:r>
      <w:r>
        <w:tab/>
      </w:r>
      <w:r>
        <w:t xml:space="preserve">37</w:t>
      </w:r>
    </w:p>
    <w:p>
      <w:pPr>
        <w:keepLines/>
        <w:tabs>
          <w:tab w:val="right" w:leader="dot" w:pos="7920"/>
        </w:tabs>
        <w:spacing w:before="182" w:after="0" w:line="312" w:lineRule="exact"/>
        <w:ind w:left="504" w:right="720" w:hanging="504"/>
      </w:pPr>
      <w:r>
        <w:rPr>
          <w:i/>
          <w:iCs/>
        </w:rPr>
        <w:t xml:space="preserve">Aubry</w:t>
      </w:r>
      <w:r>
        <w:rPr>
          <w:i/>
          <w:iCs/>
        </w:rPr>
        <w:t xml:space="preserve"> </w:t>
      </w:r>
      <w:r>
        <w:rPr>
          <w:i/>
          <w:iCs/>
        </w:rPr>
        <w:t xml:space="preserve">v.</w:t>
      </w:r>
      <w:r>
        <w:rPr>
          <w:i/>
          <w:iCs/>
        </w:rPr>
        <w:t xml:space="preserve"> </w:t>
      </w:r>
      <w:r>
        <w:rPr>
          <w:i/>
          <w:iCs/>
        </w:rPr>
        <w:t xml:space="preserve">Tri-City</w:t>
      </w:r>
      <w:r>
        <w:rPr>
          <w:i/>
          <w:iCs/>
        </w:rPr>
        <w:t xml:space="preserve"> </w:t>
      </w:r>
      <w:r>
        <w:rPr>
          <w:i/>
          <w:iCs/>
        </w:rPr>
        <w:t xml:space="preserve">Hosp.</w:t>
      </w:r>
      <w:r>
        <w:rPr>
          <w:i/>
          <w:iCs/>
        </w:rPr>
        <w:t xml:space="preserve"> </w:t>
      </w:r>
      <w:r>
        <w:rPr>
          <w:i/>
          <w:iCs/>
        </w:rPr>
        <w:t xml:space="preserve">Dist.</w:t>
      </w:r>
      <w:r>
        <w:t xml:space="preserve"> </w:t>
      </w:r>
      <w:r>
        <w:t xml:space="preserve">(1992)</w:t>
      </w:r>
      <w:r>
        <w:t xml:space="preserve"> </w:t>
      </w:r>
      <w:r>
        <w:t xml:space="preserve">2</w:t>
      </w:r>
      <w:r>
        <w:t xml:space="preserve"> </w:t>
      </w:r>
      <w:r>
        <w:t xml:space="preserve">Cal.4th</w:t>
      </w:r>
      <w:r>
        <w:t xml:space="preserve"> </w:t>
      </w:r>
      <w:r>
        <w:t xml:space="preserve">962</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(1942)</w:t>
      </w:r>
      <w:r>
        <w:t xml:space="preserve"> </w:t>
      </w:r>
      <w:r>
        <w:t xml:space="preserve">20</w:t>
      </w:r>
      <w:r>
        <w:t xml:space="preserve"> </w:t>
      </w:r>
      <w:r>
        <w:t xml:space="preserve">Cal.2d</w:t>
      </w:r>
      <w:r>
        <w:t xml:space="preserve"> </w:t>
      </w:r>
      <w:r>
        <w:t xml:space="preserve">697</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19</w:t>
      </w:r>
    </w:p>
    <w:p>
      <w:pPr>
        <w:keepLines/>
        <w:tabs>
          <w:tab w:val="right" w:leader="dot" w:pos="7920"/>
        </w:tabs>
        <w:spacing w:before="182" w:after="0" w:line="312" w:lineRule="exact"/>
        <w:ind w:left="504" w:right="720" w:hanging="504"/>
      </w:pPr>
      <w:r>
        <w:rPr>
          <w:i/>
          <w:iCs/>
        </w:rPr>
        <w:t xml:space="preserve">Bonds</w:t>
      </w:r>
      <w:r>
        <w:rPr>
          <w:i/>
          <w:iCs/>
        </w:rPr>
        <w:t xml:space="preserve"> </w:t>
      </w:r>
      <w:r>
        <w:rPr>
          <w:i/>
          <w:iCs/>
        </w:rPr>
        <w:t xml:space="preserve">v.</w:t>
      </w:r>
      <w:r>
        <w:rPr>
          <w:i/>
          <w:iCs/>
        </w:rPr>
        <w:t xml:space="preserve"> </w:t>
      </w:r>
      <w:r>
        <w:rPr>
          <w:i/>
          <w:iCs/>
        </w:rPr>
        <w:t xml:space="preserve">State</w:t>
      </w:r>
      <w:r>
        <w:t xml:space="preserve"> </w:t>
      </w:r>
      <w:r>
        <w:t xml:space="preserve">(1982)</w:t>
      </w:r>
      <w:r>
        <w:t xml:space="preserve"> </w:t>
      </w:r>
      <w:r>
        <w:t xml:space="preserve">138</w:t>
      </w:r>
      <w:r>
        <w:t xml:space="preserve"> </w:t>
      </w:r>
      <w:r>
        <w:t xml:space="preserve">Cal.App.3d</w:t>
      </w:r>
      <w:r>
        <w:t xml:space="preserve"> </w:t>
      </w:r>
      <w:r>
        <w:t xml:space="preserve">314</w:t>
      </w:r>
      <w:r>
        <w:t xml:space="preserve">   </w:t>
      </w:r>
      <w:r>
        <w:tab/>
      </w:r>
      <w:r>
        <w:t xml:space="preserve">21</w:t>
      </w:r>
    </w:p>
    <w:p>
      <w:pPr>
        <w:keepLines/>
        <w:tabs>
          <w:tab w:val="right" w:leader="dot" w:pos="7920"/>
        </w:tabs>
        <w:spacing w:before="182" w:after="0" w:line="312" w:lineRule="exact"/>
        <w:ind w:left="504" w:right="720"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20</w:t>
      </w:r>
    </w:p>
    <w:p>
      <w:pPr>
        <w:keepLines/>
        <w:tabs>
          <w:tab w:val="right" w:leader="dot" w:pos="7920"/>
        </w:tabs>
        <w:spacing w:before="182" w:after="0" w:line="312" w:lineRule="exact"/>
        <w:ind w:left="504" w:right="720" w:hanging="504"/>
      </w:pPr>
      <w:r>
        <w:rPr>
          <w:i/>
          <w:iCs/>
        </w:rPr>
        <w:t xml:space="preserve">CareandWear</w:t>
      </w:r>
      <w:r>
        <w:rPr>
          <w:i/>
          <w:iCs/>
        </w:rPr>
        <w:t xml:space="preserve"> </w:t>
      </w:r>
      <w:r>
        <w:rPr>
          <w:i/>
          <w:iCs/>
        </w:rPr>
        <w:t xml:space="preserve">II,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Nexcha</w:t>
      </w:r>
      <w:r>
        <w:rPr>
          <w:i/>
          <w:iCs/>
        </w:rPr>
        <w:t xml:space="preserve"> </w:t>
      </w:r>
      <w:r>
        <w:rPr>
          <w:i/>
          <w:iCs/>
        </w:rPr>
        <w:t xml:space="preserve">L.L.C.</w:t>
      </w:r>
      <w:r>
        <w:t xml:space="preserve"> </w:t>
      </w:r>
      <w:r>
        <w:t xml:space="preserve">(S.D.N.Y.</w:t>
      </w:r>
      <w:r>
        <w:t xml:space="preserve"> </w:t>
      </w:r>
      <w:r>
        <w:t xml:space="preserve">2022)</w:t>
      </w:r>
      <w:r>
        <w:t xml:space="preserve"> </w:t>
      </w:r>
      <w:r>
        <w:t xml:space="preserve">581</w:t>
      </w:r>
      <w:r>
        <w:t xml:space="preserve"> </w:t>
      </w:r>
      <w:r>
        <w:t xml:space="preserve">F.Supp.3d</w:t>
      </w:r>
      <w:r>
        <w:t xml:space="preserve"> </w:t>
      </w:r>
      <w:r>
        <w:t xml:space="preserve">553</w:t>
      </w:r>
      <w:r>
        <w:t xml:space="preserve">   </w:t>
      </w:r>
      <w:r>
        <w:tab/>
      </w:r>
      <w:r>
        <w:t xml:space="preserve">24</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Long</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Mansell</w:t>
      </w:r>
      <w:r>
        <w:t xml:space="preserve"> </w:t>
      </w:r>
      <w:r>
        <w:t xml:space="preserve">(1970)</w:t>
      </w:r>
      <w:r>
        <w:t xml:space="preserve"> </w:t>
      </w:r>
      <w:r>
        <w:t xml:space="preserve">3</w:t>
      </w:r>
      <w:r>
        <w:t xml:space="preserve"> </w:t>
      </w:r>
      <w:r>
        <w:t xml:space="preserve">Cal.3d</w:t>
      </w:r>
      <w:r>
        <w:t xml:space="preserve"> </w:t>
      </w:r>
      <w:r>
        <w:t xml:space="preserve">462</w:t>
      </w:r>
      <w:r>
        <w:t xml:space="preserve">   </w:t>
      </w:r>
      <w:r>
        <w:tab/>
      </w:r>
      <w:r>
        <w:t xml:space="preserve">36</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Clara</w:t>
      </w:r>
      <w:r>
        <w:rPr>
          <w:i/>
          <w:iCs/>
        </w:rPr>
        <w:t xml:space="preserve"> </w:t>
      </w:r>
      <w:r>
        <w:rPr>
          <w:i/>
          <w:iCs/>
        </w:rPr>
        <w:t xml:space="preserve">v.</w:t>
      </w:r>
      <w:r>
        <w:rPr>
          <w:i/>
          <w:iCs/>
        </w:rPr>
        <w:t xml:space="preserve"> </w:t>
      </w:r>
      <w:r>
        <w:rPr>
          <w:i/>
          <w:iCs/>
        </w:rPr>
        <w:t xml:space="preserve">Atlantic</w:t>
      </w:r>
      <w:r>
        <w:rPr>
          <w:i/>
          <w:iCs/>
        </w:rPr>
        <w:t xml:space="preserve"> </w:t>
      </w:r>
      <w:r>
        <w:rPr>
          <w:i/>
          <w:iCs/>
        </w:rPr>
        <w:t xml:space="preserve">Richfield</w:t>
      </w:r>
      <w:r>
        <w:rPr>
          <w:i/>
          <w:iCs/>
        </w:rPr>
        <w:t xml:space="preserve"> </w:t>
      </w:r>
      <w:r>
        <w:rPr>
          <w:i/>
          <w:iCs/>
        </w:rPr>
        <w:t xml:space="preserve">Co.</w:t>
      </w:r>
      <w:r>
        <w:t xml:space="preserve"> </w:t>
      </w:r>
      <w:r>
        <w:t xml:space="preserve">(2006)</w:t>
      </w:r>
      <w:r>
        <w:t xml:space="preserve"> </w:t>
      </w:r>
      <w:r>
        <w:t xml:space="preserve">137</w:t>
      </w:r>
      <w:r>
        <w:t xml:space="preserve"> </w:t>
      </w:r>
      <w:r>
        <w:t xml:space="preserve">Cal.App.4th</w:t>
      </w:r>
      <w:r>
        <w:t xml:space="preserve"> </w:t>
      </w:r>
      <w:r>
        <w:t xml:space="preserve">292</w:t>
      </w:r>
      <w:r>
        <w:t xml:space="preserve">   </w:t>
      </w:r>
      <w:r>
        <w:tab/>
      </w:r>
      <w:r>
        <w:t xml:space="preserve">33</w:t>
      </w:r>
    </w:p>
    <w:p>
      <w:pPr>
        <w:keepLines/>
        <w:tabs>
          <w:tab w:val="right" w:leader="dot" w:pos="7920"/>
        </w:tabs>
        <w:spacing w:before="182" w:after="0" w:line="312" w:lineRule="exact"/>
        <w:ind w:left="504" w:right="720" w:hanging="504"/>
      </w:pPr>
      <w:r>
        <w:rPr>
          <w:i/>
          <w:iCs/>
        </w:rPr>
        <w:t xml:space="preserve">Curcini</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(2008)</w:t>
      </w:r>
      <w:r>
        <w:t xml:space="preserve"> </w:t>
      </w:r>
      <w:r>
        <w:t xml:space="preserve">164</w:t>
      </w:r>
      <w:r>
        <w:t xml:space="preserve"> </w:t>
      </w:r>
      <w:r>
        <w:t xml:space="preserve">Cal.App.4th</w:t>
      </w:r>
      <w:r>
        <w:t xml:space="preserve"> </w:t>
      </w:r>
      <w:r>
        <w:t xml:space="preserve">629</w:t>
      </w:r>
      <w:r>
        <w:t xml:space="preserve">   </w:t>
      </w:r>
      <w:r>
        <w:tab/>
      </w:r>
      <w:r>
        <w:t xml:space="preserve">21</w:t>
      </w:r>
    </w:p>
    <w:p>
      <w:pPr>
        <w:keepLines/>
        <w:tabs>
          <w:tab w:val="right" w:leader="dot" w:pos="7920"/>
        </w:tabs>
        <w:spacing w:before="182" w:after="0" w:line="312" w:lineRule="exact"/>
        <w:ind w:left="504" w:right="720" w:hanging="504"/>
      </w:pPr>
      <w:r>
        <w:rPr>
          <w:i/>
          <w:iCs/>
        </w:rPr>
        <w:t xml:space="preserve">D’Amico</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Examiners</w:t>
      </w:r>
      <w:r>
        <w:t xml:space="preserve"> </w:t>
      </w:r>
      <w:r>
        <w:t xml:space="preserve">(1974)</w:t>
      </w:r>
      <w:r>
        <w:t xml:space="preserve"> </w:t>
      </w:r>
      <w:r>
        <w:t xml:space="preserve">11</w:t>
      </w:r>
      <w:r>
        <w:t xml:space="preserve"> </w:t>
      </w:r>
      <w:r>
        <w:t xml:space="preserve">Cal.3d</w:t>
      </w:r>
      <w:r>
        <w:t xml:space="preserve"> </w:t>
      </w:r>
      <w:r>
        <w:t xml:space="preserve">1</w:t>
      </w:r>
      <w:r>
        <w:t xml:space="preserve">   </w:t>
      </w:r>
      <w:r>
        <w:tab/>
      </w:r>
      <w:r>
        <w:t xml:space="preserve">34</w:t>
      </w:r>
    </w:p>
    <w:p>
      <w:pPr>
        <w:keepLines/>
        <w:tabs>
          <w:tab w:val="right" w:leader="dot" w:pos="7920"/>
        </w:tabs>
        <w:spacing w:before="182" w:after="0" w:line="312" w:lineRule="exact"/>
        <w:ind w:left="504" w:right="720" w:hanging="504"/>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(2008)</w:t>
      </w:r>
      <w:r>
        <w:t xml:space="preserve"> </w:t>
      </w:r>
      <w:r>
        <w:t xml:space="preserve">554</w:t>
      </w:r>
      <w:r>
        <w:t xml:space="preserve"> </w:t>
      </w:r>
      <w:r>
        <w:t xml:space="preserve">U.S.</w:t>
      </w:r>
      <w:r>
        <w:t xml:space="preserve"> </w:t>
      </w:r>
      <w:r>
        <w:t xml:space="preserve">570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Drennan</w:t>
      </w:r>
      <w:r>
        <w:rPr>
          <w:i/>
          <w:iCs/>
        </w:rPr>
        <w:t xml:space="preserve"> </w:t>
      </w:r>
      <w:r>
        <w:rPr>
          <w:i/>
          <w:iCs/>
        </w:rPr>
        <w:t xml:space="preserve">v.</w:t>
      </w:r>
      <w:r>
        <w:rPr>
          <w:i/>
          <w:iCs/>
        </w:rPr>
        <w:t xml:space="preserve"> </w:t>
      </w:r>
      <w:r>
        <w:rPr>
          <w:i/>
          <w:iCs/>
        </w:rPr>
        <w:t xml:space="preserve">Star</w:t>
      </w:r>
      <w:r>
        <w:rPr>
          <w:i/>
          <w:iCs/>
        </w:rPr>
        <w:t xml:space="preserve"> </w:t>
      </w:r>
      <w:r>
        <w:rPr>
          <w:i/>
          <w:iCs/>
        </w:rPr>
        <w:t xml:space="preserve">Paving</w:t>
      </w:r>
      <w:r>
        <w:rPr>
          <w:i/>
          <w:iCs/>
        </w:rPr>
        <w:t xml:space="preserve"> </w:t>
      </w:r>
      <w:r>
        <w:rPr>
          <w:i/>
          <w:iCs/>
        </w:rPr>
        <w:t xml:space="preserve">Co.</w:t>
      </w:r>
      <w:r>
        <w:t xml:space="preserve"> </w:t>
      </w:r>
      <w:r>
        <w:t xml:space="preserve">(1958)</w:t>
      </w:r>
      <w:r>
        <w:t xml:space="preserve"> </w:t>
      </w:r>
      <w:r>
        <w:t xml:space="preserve">51</w:t>
      </w:r>
      <w:r>
        <w:t xml:space="preserve"> </w:t>
      </w:r>
      <w:r>
        <w:t xml:space="preserve">Cal.2d</w:t>
      </w:r>
      <w:r>
        <w:t xml:space="preserve"> </w:t>
      </w:r>
      <w:r>
        <w:t xml:space="preserve">409</w:t>
      </w:r>
      <w:r>
        <w:t xml:space="preserve">   </w:t>
      </w:r>
      <w:r>
        <w:tab/>
      </w:r>
      <w:r>
        <w:t xml:space="preserve">25</w:t>
      </w:r>
    </w:p>
    <w:p>
      <w:pPr>
        <w:keepLines/>
        <w:tabs>
          <w:tab w:val="right" w:leader="dot" w:pos="7920"/>
        </w:tabs>
        <w:spacing w:before="182" w:after="0" w:line="312" w:lineRule="exact"/>
        <w:ind w:left="504" w:right="720" w:hanging="504"/>
      </w:pPr>
      <w:r>
        <w:rPr>
          <w:i/>
          <w:iCs/>
        </w:rPr>
        <w:t xml:space="preserve">Gym</w:t>
      </w:r>
      <w:r>
        <w:rPr>
          <w:i/>
          <w:iCs/>
        </w:rPr>
        <w:t xml:space="preserve"> </w:t>
      </w:r>
      <w:r>
        <w:rPr>
          <w:i/>
          <w:iCs/>
        </w:rPr>
        <w:t xml:space="preserve">Door</w:t>
      </w:r>
      <w:r>
        <w:rPr>
          <w:i/>
          <w:iCs/>
        </w:rPr>
        <w:t xml:space="preserve"> </w:t>
      </w:r>
      <w:r>
        <w:rPr>
          <w:i/>
          <w:iCs/>
        </w:rPr>
        <w:t xml:space="preserve">Repairs,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Young</w:t>
      </w:r>
      <w:r>
        <w:rPr>
          <w:i/>
          <w:iCs/>
        </w:rPr>
        <w:t xml:space="preserve"> </w:t>
      </w:r>
      <w:r>
        <w:rPr>
          <w:i/>
          <w:iCs/>
        </w:rPr>
        <w:t xml:space="preserve">Equip.</w:t>
      </w:r>
      <w:r>
        <w:rPr>
          <w:i/>
          <w:iCs/>
        </w:rPr>
        <w:t xml:space="preserve"> </w:t>
      </w:r>
      <w:r>
        <w:rPr>
          <w:i/>
          <w:iCs/>
        </w:rPr>
        <w:t xml:space="preserve">Sales,</w:t>
      </w:r>
      <w:r>
        <w:rPr>
          <w:i/>
          <w:iCs/>
        </w:rPr>
        <w:t xml:space="preserve"> </w:t>
      </w:r>
      <w:r>
        <w:rPr>
          <w:i/>
          <w:iCs/>
        </w:rPr>
        <w:t xml:space="preserve">Inc.</w:t>
      </w:r>
      <w:r>
        <w:t xml:space="preserve"> </w:t>
      </w:r>
      <w:r>
        <w:t xml:space="preserve">(S.D.N.Y.</w:t>
      </w:r>
      <w:r>
        <w:t xml:space="preserve"> </w:t>
      </w:r>
      <w:r>
        <w:t xml:space="preserve">2016)</w:t>
      </w:r>
      <w:r>
        <w:t xml:space="preserve"> </w:t>
      </w:r>
      <w:r>
        <w:t xml:space="preserve">206</w:t>
      </w:r>
      <w:r>
        <w:t xml:space="preserve"> </w:t>
      </w:r>
      <w:r>
        <w:t xml:space="preserve">F.Supp.3d</w:t>
      </w:r>
      <w:r>
        <w:t xml:space="preserve"> </w:t>
      </w:r>
      <w:r>
        <w:t xml:space="preserve">869</w:t>
      </w:r>
      <w:r>
        <w:t xml:space="preserve">   </w:t>
      </w:r>
      <w:r>
        <w:tab/>
      </w:r>
      <w:r>
        <w:t xml:space="preserve">28</w:t>
      </w:r>
    </w:p>
    <w:p>
      <w:pPr>
        <w:keepLines/>
        <w:tabs>
          <w:tab w:val="right" w:leader="dot" w:pos="7920"/>
        </w:tabs>
        <w:spacing w:before="182" w:after="0" w:line="312" w:lineRule="exact"/>
        <w:ind w:left="504" w:right="720" w:hanging="504"/>
      </w:pPr>
      <w:r>
        <w:rPr>
          <w:i/>
          <w:iCs/>
        </w:rPr>
        <w:t xml:space="preserve">Hacala</w:t>
      </w:r>
      <w:r>
        <w:rPr>
          <w:i/>
          <w:iCs/>
        </w:rPr>
        <w:t xml:space="preserve"> </w:t>
      </w:r>
      <w:r>
        <w:rPr>
          <w:i/>
          <w:iCs/>
        </w:rPr>
        <w:t xml:space="preserve">v.</w:t>
      </w:r>
      <w:r>
        <w:rPr>
          <w:i/>
          <w:iCs/>
        </w:rPr>
        <w:t xml:space="preserve"> </w:t>
      </w:r>
      <w:r>
        <w:rPr>
          <w:i/>
          <w:iCs/>
        </w:rPr>
        <w:t xml:space="preserve">Bird</w:t>
      </w:r>
      <w:r>
        <w:rPr>
          <w:i/>
          <w:iCs/>
        </w:rPr>
        <w:t xml:space="preserve"> </w:t>
      </w:r>
      <w:r>
        <w:rPr>
          <w:i/>
          <w:iCs/>
        </w:rPr>
        <w:t xml:space="preserve">Rides,</w:t>
      </w:r>
      <w:r>
        <w:rPr>
          <w:i/>
          <w:iCs/>
        </w:rPr>
        <w:t xml:space="preserve"> </w:t>
      </w:r>
      <w:r>
        <w:rPr>
          <w:i/>
          <w:iCs/>
        </w:rPr>
        <w:t xml:space="preserve">Inc.</w:t>
      </w:r>
      <w:r>
        <w:t xml:space="preserve"> </w:t>
      </w:r>
      <w:r>
        <w:t xml:space="preserve">(2023)</w:t>
      </w:r>
      <w:r>
        <w:t xml:space="preserve"> </w:t>
      </w:r>
      <w:r>
        <w:t xml:space="preserve">90</w:t>
      </w:r>
      <w:r>
        <w:t xml:space="preserve"> </w:t>
      </w:r>
      <w:r>
        <w:t xml:space="preserve">Cal.App.5th</w:t>
      </w:r>
      <w:r>
        <w:t xml:space="preserve"> </w:t>
      </w:r>
      <w:r>
        <w:t xml:space="preserve">301</w:t>
      </w:r>
      <w:r>
        <w:t xml:space="preserve">   </w:t>
      </w:r>
      <w:r>
        <w:tab/>
      </w:r>
      <w:r>
        <w:t xml:space="preserve">21</w:t>
      </w:r>
    </w:p>
    <w:p>
      <w:pPr>
        <w:keepLines/>
        <w:tabs>
          <w:tab w:val="right" w:leader="dot" w:pos="7920"/>
        </w:tabs>
        <w:spacing w:before="182" w:after="0" w:line="312" w:lineRule="exact"/>
        <w:ind w:left="504" w:right="720"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Cal.App.148</w:t>
      </w:r>
      <w:r>
        <w:t xml:space="preserve">   </w:t>
      </w:r>
      <w:r>
        <w:tab/>
      </w:r>
      <w:r>
        <w:t xml:space="preserve">17</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Michele</w:t>
      </w:r>
      <w:r>
        <w:rPr>
          <w:i/>
          <w:iCs/>
        </w:rPr>
        <w:t xml:space="preserve"> </w:t>
      </w:r>
      <w:r>
        <w:rPr>
          <w:i/>
          <w:iCs/>
        </w:rPr>
        <w:t xml:space="preserve">D.</w:t>
      </w:r>
      <w:r>
        <w:t xml:space="preserve"> </w:t>
      </w:r>
      <w:r>
        <w:t xml:space="preserve">(2002)</w:t>
      </w:r>
      <w:r>
        <w:t xml:space="preserve"> </w:t>
      </w:r>
      <w:r>
        <w:t xml:space="preserve">29</w:t>
      </w:r>
      <w:r>
        <w:t xml:space="preserve"> </w:t>
      </w:r>
      <w:r>
        <w:t xml:space="preserve">Cal.4th</w:t>
      </w:r>
      <w:r>
        <w:t xml:space="preserve"> </w:t>
      </w:r>
      <w:r>
        <w:t xml:space="preserve">600</w:t>
      </w:r>
      <w:r>
        <w:t xml:space="preserve">   </w:t>
      </w:r>
      <w:r>
        <w:tab/>
      </w:r>
      <w:r>
        <w:t xml:space="preserve">15</w:t>
      </w:r>
    </w:p>
    <w:p>
      <w:pPr>
        <w:keepLines/>
        <w:tabs>
          <w:tab w:val="right" w:leader="dot" w:pos="7920"/>
        </w:tabs>
        <w:spacing w:before="182" w:after="0" w:line="312" w:lineRule="exact"/>
        <w:ind w:left="504" w:right="720" w:hanging="504"/>
      </w:pPr>
      <w:r>
        <w:rPr>
          <w:i/>
          <w:iCs/>
        </w:rPr>
        <w:t xml:space="preserve">Ixchel</w:t>
      </w:r>
      <w:r>
        <w:rPr>
          <w:i/>
          <w:iCs/>
        </w:rPr>
        <w:t xml:space="preserve"> </w:t>
      </w:r>
      <w:r>
        <w:rPr>
          <w:i/>
          <w:iCs/>
        </w:rPr>
        <w:t xml:space="preserve">Pharma,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Biogen,</w:t>
      </w:r>
      <w:r>
        <w:rPr>
          <w:i/>
          <w:iCs/>
        </w:rPr>
        <w:t xml:space="preserve"> </w:t>
      </w:r>
      <w:r>
        <w:rPr>
          <w:i/>
          <w:iCs/>
        </w:rPr>
        <w:t xml:space="preserve">Inc.</w:t>
      </w:r>
      <w:r>
        <w:t xml:space="preserve"> </w:t>
      </w:r>
      <w:r>
        <w:t xml:space="preserve">(2020)</w:t>
      </w:r>
      <w:r>
        <w:t xml:space="preserve"> </w:t>
      </w:r>
      <w:r>
        <w:t xml:space="preserve">9</w:t>
      </w:r>
      <w:r>
        <w:t xml:space="preserve"> </w:t>
      </w:r>
      <w:r>
        <w:t xml:space="preserve">Cal.5th</w:t>
      </w:r>
      <w:r>
        <w:t xml:space="preserve"> </w:t>
      </w:r>
      <w:r>
        <w:t xml:space="preserve">1130</w:t>
      </w:r>
      <w:r>
        <w:t xml:space="preserve">   </w:t>
      </w:r>
      <w:r>
        <w:tab/>
      </w:r>
      <w:r>
        <w:t xml:space="preserve">30</w:t>
      </w:r>
    </w:p>
    <w:p>
      <w:pPr>
        <w:keepLines/>
        <w:tabs>
          <w:tab w:val="right" w:leader="dot" w:pos="7920"/>
        </w:tabs>
        <w:spacing w:before="182" w:after="0" w:line="312" w:lineRule="exact"/>
        <w:ind w:left="504" w:right="720" w:hanging="504"/>
      </w:pPr>
      <w:r>
        <w:rPr>
          <w:i/>
          <w:iCs/>
        </w:rPr>
        <w:t xml:space="preserve">Johnson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t xml:space="preserve"> </w:t>
      </w:r>
      <w:r>
        <w:t xml:space="preserve">(1968)</w:t>
      </w:r>
      <w:r>
        <w:t xml:space="preserve"> </w:t>
      </w:r>
      <w:r>
        <w:t xml:space="preserve">69</w:t>
      </w:r>
      <w:r>
        <w:t xml:space="preserve"> </w:t>
      </w:r>
      <w:r>
        <w:t xml:space="preserve">Cal.2d</w:t>
      </w:r>
      <w:r>
        <w:t xml:space="preserve"> </w:t>
      </w:r>
      <w:r>
        <w:t xml:space="preserve">782</w:t>
      </w:r>
      <w:r>
        <w:t xml:space="preserve">   </w:t>
      </w:r>
      <w:r>
        <w:tab/>
      </w:r>
      <w:r>
        <w:t xml:space="preserve">19</w:t>
      </w:r>
    </w:p>
    <w:p>
      <w:pPr>
        <w:keepLines/>
        <w:tabs>
          <w:tab w:val="right" w:leader="dot" w:pos="7920"/>
        </w:tabs>
        <w:spacing w:before="182" w:after="0" w:line="312" w:lineRule="exact"/>
        <w:ind w:left="504" w:right="720" w:hanging="504"/>
      </w:pPr>
      <w:r>
        <w:rPr>
          <w:i/>
          <w:iCs/>
        </w:rPr>
        <w:t xml:space="preserve">Jones</w:t>
      </w:r>
      <w:r>
        <w:rPr>
          <w:i/>
          <w:iCs/>
        </w:rPr>
        <w:t xml:space="preserve"> </w:t>
      </w:r>
      <w:r>
        <w:rPr>
          <w:i/>
          <w:iCs/>
        </w:rPr>
        <w:t xml:space="preserve">v.</w:t>
      </w:r>
      <w:r>
        <w:rPr>
          <w:i/>
          <w:iCs/>
        </w:rPr>
        <w:t xml:space="preserve"> </w:t>
      </w:r>
      <w:r>
        <w:rPr>
          <w:i/>
          <w:iCs/>
        </w:rPr>
        <w:t xml:space="preserve">Wide</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Cars,</w:t>
      </w:r>
      <w:r>
        <w:rPr>
          <w:i/>
          <w:iCs/>
        </w:rPr>
        <w:t xml:space="preserve"> </w:t>
      </w:r>
      <w:r>
        <w:rPr>
          <w:i/>
          <w:iCs/>
        </w:rPr>
        <w:t xml:space="preserve">Inc.</w:t>
      </w:r>
      <w:r>
        <w:t xml:space="preserve"> </w:t>
      </w:r>
      <w:r>
        <w:t xml:space="preserve">(S.D.N.Y.</w:t>
      </w:r>
      <w:r>
        <w:t xml:space="preserve"> </w:t>
      </w:r>
      <w:r>
        <w:t xml:space="preserve">1993)</w:t>
      </w:r>
      <w:r>
        <w:t xml:space="preserve"> </w:t>
      </w:r>
      <w:r>
        <w:t xml:space="preserve">820</w:t>
      </w:r>
      <w:r>
        <w:t xml:space="preserve"> </w:t>
      </w:r>
      <w:r>
        <w:t xml:space="preserve">F.Supp.</w:t>
      </w:r>
      <w:r>
        <w:t xml:space="preserve"> </w:t>
      </w:r>
      <w:r>
        <w:t xml:space="preserve">132</w:t>
      </w:r>
      <w:r>
        <w:t xml:space="preserve">   </w:t>
      </w:r>
      <w:r>
        <w:tab/>
      </w:r>
      <w:r>
        <w:t xml:space="preserve">24</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29</w:t>
      </w:r>
    </w:p>
    <w:p>
      <w:pPr>
        <w:keepLines/>
        <w:tabs>
          <w:tab w:val="right" w:leader="dot" w:pos="7920"/>
        </w:tabs>
        <w:spacing w:before="182" w:after="0" w:line="312" w:lineRule="exact"/>
        <w:ind w:left="504" w:right="1157" w:hanging="504"/>
      </w:pPr>
      <w:r>
        <w:rPr>
          <w:i/>
          <w:iCs/>
        </w:rPr>
        <w:t xml:space="preserve">Lopez</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California</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District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17, 18, 19</w:t>
      </w:r>
    </w:p>
    <w:p>
      <w:pPr>
        <w:keepLines/>
        <w:tabs>
          <w:tab w:val="right" w:leader="dot" w:pos="7920"/>
        </w:tabs>
        <w:spacing w:before="182" w:after="0" w:line="312" w:lineRule="exact"/>
        <w:ind w:left="504" w:right="720" w:hanging="504"/>
      </w:pPr>
      <w:r>
        <w:rPr>
          <w:i/>
          <w:iCs/>
        </w:rPr>
        <w:t xml:space="preserve">McCorkle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(1969)</w:t>
      </w:r>
      <w:r>
        <w:t xml:space="preserve"> </w:t>
      </w:r>
      <w:r>
        <w:t xml:space="preserve">70</w:t>
      </w:r>
      <w:r>
        <w:t xml:space="preserve"> </w:t>
      </w:r>
      <w:r>
        <w:t xml:space="preserve">Cal.2d</w:t>
      </w:r>
      <w:r>
        <w:t xml:space="preserve"> </w:t>
      </w:r>
      <w:r>
        <w:t xml:space="preserve">252</w:t>
      </w:r>
      <w:r>
        <w:t xml:space="preserve">   </w:t>
      </w:r>
      <w:r>
        <w:tab/>
      </w:r>
      <w:r>
        <w:t xml:space="preserve">19</w:t>
      </w:r>
    </w:p>
    <w:p>
      <w:pPr>
        <w:keepLines/>
        <w:tabs>
          <w:tab w:val="right" w:leader="dot" w:pos="7920"/>
        </w:tabs>
        <w:spacing w:before="182" w:after="0" w:line="312" w:lineRule="exact"/>
        <w:ind w:left="504" w:right="720" w:hanging="504"/>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(2010)</w:t>
      </w:r>
      <w:r>
        <w:t xml:space="preserve"> </w:t>
      </w:r>
      <w:r>
        <w:t xml:space="preserve">561</w:t>
      </w:r>
      <w:r>
        <w:t xml:space="preserve"> </w:t>
      </w:r>
      <w:r>
        <w:t xml:space="preserve">U.S.</w:t>
      </w:r>
      <w:r>
        <w:t xml:space="preserve"> </w:t>
      </w:r>
      <w:r>
        <w:t xml:space="preserve">742</w:t>
      </w:r>
      <w:r>
        <w:t xml:space="preserve">   </w:t>
      </w:r>
      <w:r>
        <w:tab/>
      </w:r>
      <w:r>
        <w:t xml:space="preserve">15</w:t>
      </w:r>
    </w:p>
    <w:p>
      <w:pPr>
        <w:keepLines/>
        <w:tabs>
          <w:tab w:val="right" w:leader="dot" w:pos="7920"/>
        </w:tabs>
        <w:spacing w:before="182" w:after="0" w:line="312" w:lineRule="exact"/>
        <w:ind w:left="504" w:right="720" w:hanging="504"/>
      </w:pPr>
      <w:r>
        <w:rPr>
          <w:i/>
          <w:iCs/>
        </w:rPr>
        <w:t xml:space="preserve">Nanko</w:t>
      </w:r>
      <w:r>
        <w:rPr>
          <w:i/>
          <w:iCs/>
        </w:rPr>
        <w:t xml:space="preserve"> </w:t>
      </w:r>
      <w:r>
        <w:rPr>
          <w:i/>
          <w:iCs/>
        </w:rPr>
        <w:t xml:space="preserve">Shipping</w:t>
      </w:r>
      <w:r>
        <w:rPr>
          <w:i/>
          <w:iCs/>
        </w:rPr>
        <w:t xml:space="preserve"> </w:t>
      </w:r>
      <w:r>
        <w:rPr>
          <w:i/>
          <w:iCs/>
        </w:rPr>
        <w:t xml:space="preserve">v.</w:t>
      </w:r>
      <w:r>
        <w:rPr>
          <w:i/>
          <w:iCs/>
        </w:rPr>
        <w:t xml:space="preserve"> </w:t>
      </w:r>
      <w:r>
        <w:rPr>
          <w:i/>
          <w:iCs/>
        </w:rPr>
        <w:t xml:space="preserve">Alcoa</w:t>
      </w:r>
      <w:r>
        <w:rPr>
          <w:i/>
          <w:iCs/>
        </w:rPr>
        <w:t xml:space="preserve"> </w:t>
      </w:r>
      <w:r>
        <w:rPr>
          <w:i/>
          <w:iCs/>
        </w:rPr>
        <w:t xml:space="preserve">Inc.</w:t>
      </w:r>
      <w:r>
        <w:t xml:space="preserve"> </w:t>
      </w:r>
      <w:r>
        <w:t xml:space="preserve">(D.C.</w:t>
      </w:r>
      <w:r>
        <w:t xml:space="preserve"> </w:t>
      </w:r>
      <w:r>
        <w:t xml:space="preserve">Cir.</w:t>
      </w:r>
      <w:r>
        <w:t xml:space="preserve"> </w:t>
      </w:r>
      <w:r>
        <w:t xml:space="preserve">2015)</w:t>
      </w:r>
      <w:r>
        <w:t xml:space="preserve"> </w:t>
      </w:r>
      <w:r>
        <w:t xml:space="preserve">107</w:t>
      </w:r>
      <w:r>
        <w:t xml:space="preserve"> </w:t>
      </w:r>
      <w:r>
        <w:t xml:space="preserve">F.Supp.3rd</w:t>
      </w:r>
      <w:r>
        <w:t xml:space="preserve"> </w:t>
      </w:r>
      <w:r>
        <w:t xml:space="preserve">174</w:t>
      </w:r>
      <w:r>
        <w:t xml:space="preserve">   </w:t>
      </w:r>
      <w:r>
        <w:tab/>
      </w:r>
      <w:r>
        <w:t xml:space="preserve">27</w:t>
      </w:r>
    </w:p>
    <w:p>
      <w:pPr>
        <w:keepLines/>
        <w:tabs>
          <w:tab w:val="right" w:leader="dot" w:pos="7920"/>
        </w:tabs>
        <w:spacing w:before="182" w:after="0" w:line="312" w:lineRule="exact"/>
        <w:ind w:left="504" w:right="720" w:hanging="504"/>
      </w:pPr>
      <w:r>
        <w:rPr>
          <w:i/>
          <w:iCs/>
        </w:rPr>
        <w:t xml:space="preserve">Patel</w:t>
      </w:r>
      <w:r>
        <w:rPr>
          <w:i/>
          <w:iCs/>
        </w:rPr>
        <w:t xml:space="preserve"> </w:t>
      </w:r>
      <w:r>
        <w:rPr>
          <w:i/>
          <w:iCs/>
        </w:rPr>
        <w:t xml:space="preserve">v.</w:t>
      </w:r>
      <w:r>
        <w:rPr>
          <w:i/>
          <w:iCs/>
        </w:rPr>
        <w:t xml:space="preserve"> </w:t>
      </w:r>
      <w:r>
        <w:rPr>
          <w:i/>
          <w:iCs/>
        </w:rPr>
        <w:t xml:space="preserve">Liebermensch</w:t>
      </w:r>
      <w:r>
        <w:t xml:space="preserve"> </w:t>
      </w:r>
      <w:r>
        <w:t xml:space="preserve">(2008)</w:t>
      </w:r>
      <w:r>
        <w:t xml:space="preserve"> </w:t>
      </w:r>
      <w:r>
        <w:t xml:space="preserve">45</w:t>
      </w:r>
      <w:r>
        <w:t xml:space="preserve"> </w:t>
      </w:r>
      <w:r>
        <w:t xml:space="preserve">Cal.4th</w:t>
      </w:r>
      <w:r>
        <w:t xml:space="preserve"> </w:t>
      </w:r>
      <w:r>
        <w:t xml:space="preserve">344</w:t>
      </w:r>
      <w:r>
        <w:t xml:space="preserve">   </w:t>
      </w:r>
      <w:r>
        <w:tab/>
      </w:r>
      <w:r>
        <w:t xml:space="preserve">23</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Jenkins</w:t>
      </w:r>
      <w:r>
        <w:t xml:space="preserve"> </w:t>
      </w:r>
      <w:r>
        <w:t xml:space="preserve">(1995)</w:t>
      </w:r>
      <w:r>
        <w:t xml:space="preserve"> </w:t>
      </w:r>
      <w:r>
        <w:t xml:space="preserve">10</w:t>
      </w:r>
      <w:r>
        <w:t xml:space="preserve"> </w:t>
      </w:r>
      <w:r>
        <w:t xml:space="preserve">Cal.4th</w:t>
      </w:r>
      <w:r>
        <w:t xml:space="preserve"> </w:t>
      </w:r>
      <w:r>
        <w:t xml:space="preserve">234</w:t>
      </w:r>
      <w:r>
        <w:t xml:space="preserve">   </w:t>
      </w:r>
      <w:r>
        <w:tab/>
      </w:r>
      <w:r>
        <w:t xml:space="preserve">14</w:t>
      </w:r>
    </w:p>
    <w:p>
      <w:pPr>
        <w:keepLines/>
        <w:tabs>
          <w:tab w:val="right" w:leader="dot" w:pos="7920"/>
        </w:tabs>
        <w:spacing w:before="182" w:after="0" w:line="312" w:lineRule="exact"/>
        <w:ind w:left="504" w:right="720" w:hanging="504"/>
      </w:pPr>
      <w:r>
        <w:rPr>
          <w:i/>
          <w:iCs/>
        </w:rPr>
        <w:t xml:space="preserve">Posey</w:t>
      </w:r>
      <w:r>
        <w:rPr>
          <w:i/>
          <w:iCs/>
        </w:rPr>
        <w:t xml:space="preserve"> </w:t>
      </w:r>
      <w:r>
        <w:rPr>
          <w:i/>
          <w:iCs/>
        </w:rPr>
        <w:t xml:space="preserve">v.</w:t>
      </w:r>
      <w:r>
        <w:rPr>
          <w:i/>
          <w:iCs/>
        </w:rPr>
        <w:t xml:space="preserve"> </w:t>
      </w:r>
      <w:r>
        <w:rPr>
          <w:i/>
          <w:iCs/>
        </w:rPr>
        <w:t xml:space="preserve">State</w:t>
      </w:r>
      <w:r>
        <w:t xml:space="preserve"> </w:t>
      </w:r>
      <w:r>
        <w:t xml:space="preserve">(1986)</w:t>
      </w:r>
      <w:r>
        <w:t xml:space="preserve"> </w:t>
      </w:r>
      <w:r>
        <w:t xml:space="preserve">180</w:t>
      </w:r>
      <w:r>
        <w:t xml:space="preserve"> </w:t>
      </w:r>
      <w:r>
        <w:t xml:space="preserve">Cal.App.3d</w:t>
      </w:r>
      <w:r>
        <w:t xml:space="preserve"> </w:t>
      </w:r>
      <w:r>
        <w:t xml:space="preserve">836</w:t>
      </w:r>
      <w:r>
        <w:t xml:space="preserve">   </w:t>
      </w:r>
      <w:r>
        <w:tab/>
      </w:r>
      <w:r>
        <w:t xml:space="preserve">21</w:t>
      </w:r>
    </w:p>
    <w:p>
      <w:pPr>
        <w:keepLines/>
        <w:tabs>
          <w:tab w:val="right" w:leader="dot" w:pos="7920"/>
        </w:tabs>
        <w:spacing w:before="182" w:after="0" w:line="312" w:lineRule="exact"/>
        <w:ind w:left="504" w:right="720" w:hanging="504"/>
      </w:pPr>
      <w:r>
        <w:rPr>
          <w:i/>
          <w:iCs/>
        </w:rPr>
        <w:t xml:space="preserve">Ramos</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Madera</w:t>
      </w:r>
      <w:r>
        <w:t xml:space="preserve"> </w:t>
      </w:r>
      <w:r>
        <w:t xml:space="preserve">(1971)</w:t>
      </w:r>
      <w:r>
        <w:t xml:space="preserve"> </w:t>
      </w:r>
      <w:r>
        <w:t xml:space="preserve">4</w:t>
      </w:r>
      <w:r>
        <w:t xml:space="preserve"> </w:t>
      </w:r>
      <w:r>
        <w:t xml:space="preserve">Cal.3d</w:t>
      </w:r>
      <w:r>
        <w:t xml:space="preserve"> </w:t>
      </w:r>
      <w:r>
        <w:t xml:space="preserve">685</w:t>
      </w:r>
      <w:r>
        <w:t xml:space="preserve">   </w:t>
      </w:r>
      <w:r>
        <w:tab/>
      </w:r>
      <w:r>
        <w:t xml:space="preserve">18</w:t>
      </w:r>
    </w:p>
    <w:p>
      <w:pPr>
        <w:keepLines/>
        <w:tabs>
          <w:tab w:val="right" w:leader="dot" w:pos="7920"/>
        </w:tabs>
        <w:spacing w:before="182" w:after="0" w:line="312" w:lineRule="exact"/>
        <w:ind w:left="504" w:right="720" w:hanging="504"/>
      </w:pPr>
      <w:r>
        <w:rPr>
          <w:i/>
          <w:iCs/>
        </w:rPr>
        <w:t xml:space="preserve">Redwood</w:t>
      </w:r>
      <w:r>
        <w:rPr>
          <w:i/>
          <w:iCs/>
        </w:rPr>
        <w:t xml:space="preserve"> </w:t>
      </w:r>
      <w:r>
        <w:rPr>
          <w:i/>
          <w:iCs/>
        </w:rPr>
        <w:t xml:space="preserve">Coast</w:t>
      </w:r>
      <w:r>
        <w:rPr>
          <w:i/>
          <w:iCs/>
        </w:rPr>
        <w:t xml:space="preserve"> </w:t>
      </w:r>
      <w:r>
        <w:rPr>
          <w:i/>
          <w:iCs/>
        </w:rPr>
        <w:t xml:space="preserve">Watersheds</w:t>
      </w:r>
      <w:r>
        <w:rPr>
          <w:i/>
          <w:iCs/>
        </w:rPr>
        <w:t xml:space="preserve"> </w:t>
      </w:r>
      <w:r>
        <w:rPr>
          <w:i/>
          <w:iCs/>
        </w:rPr>
        <w:t xml:space="preserve">All.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Forestry</w:t>
      </w:r>
      <w:r>
        <w:rPr>
          <w:i/>
          <w:iCs/>
        </w:rPr>
        <w:t xml:space="preserve"> </w:t>
      </w:r>
      <w:r>
        <w:rPr>
          <w:i/>
          <w:iCs/>
        </w:rPr>
        <w:t xml:space="preserve">&amp;</w:t>
      </w:r>
      <w:r>
        <w:rPr>
          <w:i/>
          <w:iCs/>
        </w:rPr>
        <w:t xml:space="preserve"> </w:t>
      </w:r>
      <w:r>
        <w:rPr>
          <w:i/>
          <w:iCs/>
        </w:rPr>
        <w:t xml:space="preserve">Fire</w:t>
      </w:r>
      <w:r>
        <w:rPr>
          <w:i/>
          <w:iCs/>
        </w:rPr>
        <w:t xml:space="preserve"> </w:t>
      </w:r>
      <w:r>
        <w:rPr>
          <w:i/>
          <w:iCs/>
        </w:rPr>
        <w:t xml:space="preserve">Prot.</w:t>
      </w:r>
      <w:r>
        <w:t xml:space="preserve"> </w:t>
      </w:r>
      <w:r>
        <w:t xml:space="preserve">(1999)</w:t>
      </w:r>
      <w:r>
        <w:t xml:space="preserve"> </w:t>
      </w:r>
      <w:r>
        <w:t xml:space="preserve">70</w:t>
      </w:r>
      <w:r>
        <w:t xml:space="preserve"> </w:t>
      </w:r>
      <w:r>
        <w:t xml:space="preserve">Cal.App.4th</w:t>
      </w:r>
      <w:r>
        <w:t xml:space="preserve"> </w:t>
      </w:r>
      <w:r>
        <w:t xml:space="preserve">962</w:t>
      </w:r>
      <w:r>
        <w:t xml:space="preserve">   </w:t>
      </w:r>
      <w:r>
        <w:tab/>
      </w:r>
      <w:r>
        <w:t xml:space="preserve">17</w:t>
      </w:r>
    </w:p>
    <w:p>
      <w:pPr>
        <w:keepLines/>
        <w:tabs>
          <w:tab w:val="right" w:leader="dot" w:pos="7920"/>
        </w:tabs>
        <w:spacing w:before="182" w:after="0" w:line="312" w:lineRule="exact"/>
        <w:ind w:left="504" w:right="720" w:hanging="504"/>
      </w:pPr>
      <w:r>
        <w:rPr>
          <w:i/>
          <w:iCs/>
        </w:rPr>
        <w:t xml:space="preserve">Roseville</w:t>
      </w:r>
      <w:r>
        <w:rPr>
          <w:i/>
          <w:iCs/>
        </w:rPr>
        <w:t xml:space="preserve"> </w:t>
      </w:r>
      <w:r>
        <w:rPr>
          <w:i/>
          <w:iCs/>
        </w:rPr>
        <w:t xml:space="preserve">Cmty.</w:t>
      </w:r>
      <w:r>
        <w:rPr>
          <w:i/>
          <w:iCs/>
        </w:rPr>
        <w:t xml:space="preserve"> </w:t>
      </w:r>
      <w:r>
        <w:rPr>
          <w:i/>
          <w:iCs/>
        </w:rPr>
        <w:t xml:space="preserve">Hosp.</w:t>
      </w:r>
      <w:r>
        <w:rPr>
          <w:i/>
          <w:iCs/>
        </w:rPr>
        <w:t xml:space="preserve"> </w:t>
      </w:r>
      <w:r>
        <w:rPr>
          <w:i/>
          <w:iCs/>
        </w:rPr>
        <w:t xml:space="preserve">v.</w:t>
      </w:r>
      <w:r>
        <w:rPr>
          <w:i/>
          <w:iCs/>
        </w:rPr>
        <w:t xml:space="preserve"> </w:t>
      </w:r>
      <w:r>
        <w:rPr>
          <w:i/>
          <w:iCs/>
        </w:rPr>
        <w:t xml:space="preserve">State</w:t>
      </w:r>
      <w:r>
        <w:t xml:space="preserve"> </w:t>
      </w:r>
      <w:r>
        <w:t xml:space="preserve">(1977)</w:t>
      </w:r>
      <w:r>
        <w:t xml:space="preserve"> </w:t>
      </w:r>
      <w:r>
        <w:t xml:space="preserve">74</w:t>
      </w:r>
      <w:r>
        <w:t xml:space="preserve"> </w:t>
      </w:r>
      <w:r>
        <w:t xml:space="preserve">Cal.App.3d</w:t>
      </w:r>
      <w:r>
        <w:t xml:space="preserve"> </w:t>
      </w:r>
      <w:r>
        <w:t xml:space="preserve">583</w:t>
      </w:r>
      <w:r>
        <w:t xml:space="preserve">   </w:t>
      </w:r>
      <w:r>
        <w:tab/>
      </w:r>
      <w:r>
        <w:t xml:space="preserve">21</w:t>
      </w:r>
    </w:p>
    <w:p>
      <w:pPr>
        <w:keepLines/>
        <w:tabs>
          <w:tab w:val="right" w:leader="dot" w:pos="7920"/>
        </w:tabs>
        <w:spacing w:before="182" w:after="0" w:line="312" w:lineRule="exact"/>
        <w:ind w:left="504" w:right="720" w:hanging="504"/>
      </w:pPr>
      <w:r>
        <w:rPr>
          <w:i/>
          <w:iCs/>
        </w:rPr>
        <w:t xml:space="preserve">Roy</w:t>
      </w:r>
      <w:r>
        <w:rPr>
          <w:i/>
          <w:iCs/>
        </w:rPr>
        <w:t xml:space="preserve"> </w:t>
      </w:r>
      <w:r>
        <w:rPr>
          <w:i/>
          <w:iCs/>
        </w:rPr>
        <w:t xml:space="preserve">Allan</w:t>
      </w:r>
      <w:r>
        <w:rPr>
          <w:i/>
          <w:iCs/>
        </w:rPr>
        <w:t xml:space="preserve"> </w:t>
      </w:r>
      <w:r>
        <w:rPr>
          <w:i/>
          <w:iCs/>
        </w:rPr>
        <w:t xml:space="preserve">Slurry</w:t>
      </w:r>
      <w:r>
        <w:rPr>
          <w:i/>
          <w:iCs/>
        </w:rPr>
        <w:t xml:space="preserve"> </w:t>
      </w:r>
      <w:r>
        <w:rPr>
          <w:i/>
          <w:iCs/>
        </w:rPr>
        <w:t xml:space="preserve">Seal,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Asphalt</w:t>
      </w:r>
      <w:r>
        <w:rPr>
          <w:i/>
          <w:iCs/>
        </w:rPr>
        <w:t xml:space="preserve"> </w:t>
      </w:r>
      <w:r>
        <w:rPr>
          <w:i/>
          <w:iCs/>
        </w:rPr>
        <w:t xml:space="preserve">S.,</w:t>
      </w:r>
      <w:r>
        <w:rPr>
          <w:i/>
          <w:iCs/>
        </w:rPr>
        <w:t xml:space="preserve"> </w:t>
      </w:r>
      <w:r>
        <w:rPr>
          <w:i/>
          <w:iCs/>
        </w:rPr>
        <w:t xml:space="preserve">Inc.</w:t>
      </w:r>
      <w:r>
        <w:t xml:space="preserve"> </w:t>
      </w:r>
      <w:r>
        <w:t xml:space="preserve">(2017)</w:t>
      </w:r>
      <w:r>
        <w:t xml:space="preserve"> </w:t>
      </w:r>
      <w:r>
        <w:t xml:space="preserve">2</w:t>
      </w:r>
      <w:r>
        <w:t xml:space="preserve"> </w:t>
      </w:r>
      <w:r>
        <w:t xml:space="preserve">Cal.5th</w:t>
      </w:r>
      <w:r>
        <w:t xml:space="preserve"> </w:t>
      </w:r>
      <w:r>
        <w:t xml:space="preserve">505</w:t>
      </w:r>
      <w:r>
        <w:t xml:space="preserve">   </w:t>
      </w:r>
      <w:r>
        <w:tab/>
      </w:r>
      <w:r>
        <w:t xml:space="preserve">26</w:t>
      </w:r>
    </w:p>
    <w:p>
      <w:pPr>
        <w:keepLines/>
        <w:tabs>
          <w:tab w:val="right" w:leader="dot" w:pos="7920"/>
        </w:tabs>
        <w:spacing w:before="182" w:after="0" w:line="312" w:lineRule="exact"/>
        <w:ind w:left="504" w:right="720" w:hanging="504"/>
      </w:pPr>
      <w:r>
        <w:rPr>
          <w:i/>
          <w:iCs/>
        </w:rPr>
        <w:t xml:space="preserve">Schafer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(2015)</w:t>
      </w:r>
      <w:r>
        <w:t xml:space="preserve"> </w:t>
      </w:r>
      <w:r>
        <w:t xml:space="preserve">237</w:t>
      </w:r>
      <w:r>
        <w:t xml:space="preserve"> </w:t>
      </w:r>
      <w:r>
        <w:t xml:space="preserve">Cal.App.4th</w:t>
      </w:r>
      <w:r>
        <w:t xml:space="preserve"> </w:t>
      </w:r>
      <w:r>
        <w:t xml:space="preserve">1250</w:t>
      </w:r>
      <w:r>
        <w:t xml:space="preserve">   </w:t>
      </w:r>
      <w:r>
        <w:tab/>
      </w:r>
      <w:r>
        <w:t xml:space="preserve">36</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18-cv-⁠02317</w:t>
      </w:r>
      <w:r>
        <w:t xml:space="preserve">   </w:t>
      </w:r>
      <w:r>
        <w:tab/>
      </w:r>
      <w:r>
        <w:t xml:space="preserve">38</w:t>
      </w:r>
    </w:p>
    <w:p>
      <w:pPr>
        <w:keepLines/>
        <w:tabs>
          <w:tab w:val="right" w:leader="dot" w:pos="7920"/>
        </w:tabs>
        <w:spacing w:before="182" w:after="0" w:line="312" w:lineRule="exact"/>
        <w:ind w:left="504" w:right="720" w:hanging="504"/>
      </w:pPr>
      <w:r>
        <w:rPr>
          <w:i/>
          <w:iCs/>
        </w:rPr>
        <w:t xml:space="preserve">Steiner</w:t>
      </w:r>
      <w:r>
        <w:rPr>
          <w:i/>
          <w:iCs/>
        </w:rPr>
        <w:t xml:space="preserve"> </w:t>
      </w:r>
      <w:r>
        <w:rPr>
          <w:i/>
          <w:iCs/>
        </w:rPr>
        <w:t xml:space="preserve">v.</w:t>
      </w:r>
      <w:r>
        <w:rPr>
          <w:i/>
          <w:iCs/>
        </w:rPr>
        <w:t xml:space="preserve"> </w:t>
      </w:r>
      <w:r>
        <w:rPr>
          <w:i/>
          <w:iCs/>
        </w:rPr>
        <w:t xml:space="preserve">Thexton</w:t>
      </w:r>
      <w:r>
        <w:t xml:space="preserve"> </w:t>
      </w:r>
      <w:r>
        <w:t xml:space="preserve">(2010)</w:t>
      </w:r>
      <w:r>
        <w:t xml:space="preserve"> </w:t>
      </w:r>
      <w:r>
        <w:t xml:space="preserve">48</w:t>
      </w:r>
      <w:r>
        <w:t xml:space="preserve"> </w:t>
      </w:r>
      <w:r>
        <w:t xml:space="preserve">Cal.4th</w:t>
      </w:r>
      <w:r>
        <w:t xml:space="preserve"> </w:t>
      </w:r>
      <w:r>
        <w:t xml:space="preserve">411</w:t>
      </w:r>
      <w:r>
        <w:t xml:space="preserve">   </w:t>
      </w:r>
      <w:r>
        <w:tab/>
      </w:r>
      <w:r>
        <w:t xml:space="preserve">24</w:t>
      </w:r>
    </w:p>
    <w:p>
      <w:pPr>
        <w:keepLines/>
        <w:tabs>
          <w:tab w:val="right" w:leader="dot" w:pos="7920"/>
        </w:tabs>
        <w:spacing w:before="182" w:after="0" w:line="312" w:lineRule="exact"/>
        <w:ind w:left="504" w:right="720" w:hanging="504"/>
      </w:pPr>
      <w:r>
        <w:rPr>
          <w:i/>
          <w:iCs/>
        </w:rPr>
        <w:t xml:space="preserve">Teixeira</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(9th</w:t>
      </w:r>
      <w:r>
        <w:t xml:space="preserve"> </w:t>
      </w:r>
      <w:r>
        <w:t xml:space="preserve">Cir.</w:t>
      </w:r>
      <w:r>
        <w:t xml:space="preserve"> </w:t>
      </w:r>
      <w:r>
        <w:t xml:space="preserve">2017)</w:t>
      </w:r>
      <w:r>
        <w:t xml:space="preserve"> </w:t>
      </w:r>
      <w:r>
        <w:t xml:space="preserve">873</w:t>
      </w:r>
      <w:r>
        <w:t xml:space="preserve"> </w:t>
      </w:r>
      <w:r>
        <w:t xml:space="preserve">F.3d</w:t>
      </w:r>
      <w:r>
        <w:t xml:space="preserve"> </w:t>
      </w:r>
      <w:r>
        <w:t xml:space="preserve">670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Thompson</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(1980)</w:t>
      </w:r>
      <w:r>
        <w:t xml:space="preserve"> </w:t>
      </w:r>
      <w:r>
        <w:t xml:space="preserve">27</w:t>
      </w:r>
      <w:r>
        <w:t xml:space="preserve"> </w:t>
      </w:r>
      <w:r>
        <w:t xml:space="preserve">Cal.3d</w:t>
      </w:r>
      <w:r>
        <w:t xml:space="preserve"> </w:t>
      </w:r>
      <w:r>
        <w:t xml:space="preserve">741</w:t>
      </w:r>
      <w:r>
        <w:t xml:space="preserve">   </w:t>
      </w:r>
      <w:r>
        <w:tab/>
      </w:r>
      <w:r>
        <w:t xml:space="preserve">20</w:t>
      </w:r>
    </w:p>
    <w:p>
      <w:pPr>
        <w:keepLines/>
        <w:tabs>
          <w:tab w:val="right" w:leader="dot" w:pos="7920"/>
        </w:tabs>
        <w:spacing w:before="182" w:after="0" w:line="312" w:lineRule="exact"/>
        <w:ind w:left="504" w:right="720" w:hanging="504"/>
      </w:pPr>
      <w:r>
        <w:rPr>
          <w:i/>
          <w:iCs/>
        </w:rPr>
        <w:t xml:space="preserve">Zelig</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(2002)</w:t>
      </w:r>
      <w:r>
        <w:t xml:space="preserve"> </w:t>
      </w:r>
      <w:r>
        <w:t xml:space="preserve">27</w:t>
      </w:r>
      <w:r>
        <w:t xml:space="preserve"> </w:t>
      </w:r>
      <w:r>
        <w:t xml:space="preserve">Cal.4th</w:t>
      </w:r>
      <w:r>
        <w:t xml:space="preserve"> </w:t>
      </w:r>
      <w:r>
        <w:t xml:space="preserve">1112</w:t>
      </w:r>
      <w:r>
        <w:t xml:space="preserve">   </w:t>
      </w:r>
      <w:r>
        <w:tab/>
      </w:r>
      <w:r>
        <w:t xml:space="preserve">13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3517</w:t>
      </w:r>
      <w:r>
        <w:t xml:space="preserve">   </w:t>
      </w:r>
      <w:r>
        <w:tab/>
      </w:r>
      <w:r>
        <w:t xml:space="preserve">36</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906</w:t>
      </w:r>
      <w:r>
        <w:t xml:space="preserve">   </w:t>
      </w:r>
      <w:r>
        <w:tab/>
      </w:r>
      <w:r>
        <w:t xml:space="preserve">33</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805.6</w:t>
      </w:r>
      <w:r>
        <w:t xml:space="preserve">   </w:t>
      </w:r>
      <w:r>
        <w:tab/>
      </w:r>
      <w:r>
        <w:t xml:space="preserve">10</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815</w:t>
      </w:r>
      <w:r>
        <w:t xml:space="preserve">   </w:t>
      </w:r>
      <w:r>
        <w:tab/>
      </w:r>
      <w:r>
        <w:t xml:space="preserve">10</w:t>
      </w:r>
    </w:p>
    <w:p>
      <w:pPr>
        <w:keepLines/>
        <w:tabs>
          <w:tab w:val="right" w:leader="dot" w:pos="7920"/>
        </w:tabs>
        <w:spacing w:before="182" w:after="0" w:line="312" w:lineRule="exact"/>
        <w:ind w:left="504" w:right="723" w:hanging="504"/>
      </w:pPr>
      <w:r>
        <w:t xml:space="preserve">Govt.</w:t>
      </w:r>
      <w:r>
        <w:t xml:space="preserve"> </w:t>
      </w:r>
      <w:r>
        <w:t xml:space="preserve">Code,</w:t>
      </w:r>
      <w:r>
        <w:t xml:space="preserve"> </w:t>
      </w:r>
      <w:r>
        <w:t xml:space="preserve">§</w:t>
      </w:r>
      <w:r>
        <w:t xml:space="preserve"> </w:t>
      </w:r>
      <w:r>
        <w:t xml:space="preserve">815.6</w:t>
      </w:r>
      <w:r>
        <w:t xml:space="preserve">   </w:t>
      </w:r>
      <w:r>
        <w:tab/>
      </w:r>
      <w:r>
        <w:t xml:space="preserve">10, 11</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820</w:t>
      </w:r>
      <w:r>
        <w:t xml:space="preserve">   </w:t>
      </w:r>
      <w:r>
        <w:tab/>
      </w:r>
      <w:r>
        <w:t xml:space="preserve">11</w:t>
      </w:r>
    </w:p>
    <w:p>
      <w:pPr>
        <w:keepLines/>
        <w:tabs>
          <w:tab w:val="right" w:leader="dot" w:pos="7920"/>
        </w:tabs>
        <w:spacing w:before="182" w:after="0" w:line="312" w:lineRule="exact"/>
        <w:ind w:left="504" w:right="1880" w:hanging="504"/>
      </w:pPr>
      <w:r>
        <w:t xml:space="preserve">Govt.</w:t>
      </w:r>
      <w:r>
        <w:t xml:space="preserve"> </w:t>
      </w:r>
      <w:r>
        <w:t xml:space="preserve">Code,</w:t>
      </w:r>
      <w:r>
        <w:t xml:space="preserve"> </w:t>
      </w:r>
      <w:r>
        <w:t xml:space="preserve">§</w:t>
      </w:r>
      <w:r>
        <w:t xml:space="preserve"> </w:t>
      </w:r>
      <w:r>
        <w:t xml:space="preserve">820.2</w:t>
      </w:r>
      <w:r>
        <w:t xml:space="preserve">   </w:t>
      </w:r>
      <w:r>
        <w:tab/>
      </w:r>
      <w:r>
        <w:t xml:space="preserve">7, 11, 18, 19, 20</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12, 14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28160</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12, 14, 16</w:t>
      </w:r>
    </w:p>
    <w:p>
      <w:pPr>
        <w:keepLines/>
        <w:tabs>
          <w:tab w:val="right" w:leader="dot" w:pos="7920"/>
        </w:tabs>
        <w:spacing w:before="182" w:after="0" w:line="312" w:lineRule="exact"/>
        <w:ind w:left="504" w:right="1591"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12, 13, 14, 17</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28245</w:t>
      </w:r>
      <w:r>
        <w:t xml:space="preserve">   </w:t>
      </w:r>
      <w:r>
        <w:tab/>
      </w:r>
      <w:r>
        <w:t xml:space="preserve">14, 15</w:t>
      </w:r>
    </w:p>
    <w:p>
      <w:pPr>
        <w:keepLines/>
        <w:tabs>
          <w:tab w:val="right" w:leader="dot" w:pos="7920"/>
        </w:tabs>
        <w:spacing w:before="182" w:after="0" w:line="312" w:lineRule="exact"/>
        <w:ind w:left="504" w:right="720" w:hanging="504"/>
      </w:pPr>
      <w:r>
        <w:t xml:space="preserve">Senate</w:t>
      </w:r>
      <w:r>
        <w:t xml:space="preserve"> </w:t>
      </w:r>
      <w:r>
        <w:t xml:space="preserve">Bill</w:t>
      </w:r>
      <w:r>
        <w:t xml:space="preserve"> </w:t>
      </w:r>
      <w:r>
        <w:t xml:space="preserve">118,</w:t>
      </w:r>
      <w:r>
        <w:t xml:space="preserve"> </w:t>
      </w:r>
      <w:r>
        <w:t xml:space="preserve">(SB</w:t>
      </w:r>
      <w:r>
        <w:t xml:space="preserve"> </w:t>
      </w:r>
      <w:r>
        <w:t xml:space="preserve">118)</w:t>
      </w:r>
      <w:r>
        <w:t xml:space="preserve">   </w:t>
      </w:r>
      <w:r>
        <w:tab/>
      </w:r>
      <w:r>
        <w:t xml:space="preserve">7</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1</w:t>
      </w:r>
      <w:r>
        <w:t xml:space="preserve"> </w:t>
      </w:r>
      <w:r>
        <w:t xml:space="preserve">Williston</w:t>
      </w:r>
      <w:r>
        <w:t xml:space="preserve"> </w:t>
      </w:r>
      <w:r>
        <w:t xml:space="preserve">on</w:t>
      </w:r>
      <w:r>
        <w:t xml:space="preserve"> </w:t>
      </w:r>
      <w:r>
        <w:t xml:space="preserve">Contracts</w:t>
      </w:r>
      <w:r>
        <w:t xml:space="preserve"> </w:t>
      </w:r>
      <w:r>
        <w:t xml:space="preserve">(4th</w:t>
      </w:r>
      <w:r>
        <w:t xml:space="preserve"> </w:t>
      </w:r>
      <w:r>
        <w:t xml:space="preserve">ed.),</w:t>
      </w:r>
      <w:r>
        <w:t xml:space="preserve"> </w:t>
      </w:r>
      <w:r>
        <w:t xml:space="preserve">§</w:t>
      </w:r>
      <w:r>
        <w:t xml:space="preserve"> </w:t>
      </w:r>
      <w:r>
        <w:t xml:space="preserve">3:7</w:t>
      </w:r>
      <w:r>
        <w:t xml:space="preserve">   </w:t>
      </w:r>
      <w:r>
        <w:tab/>
      </w:r>
      <w:r>
        <w:t xml:space="preserve">24</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This case is not about policy discretion. It is about a public agency’s refusal to perform a clear statutory duty. Respondents are required by law to maintain a system capable of processing all lawful firearm transfers. Instead, they knowingly operated that system in a way that blocked the sale of Franklin Armory Incorporated’s (FAI) then-lawful Title 1® firearms. They did so not because they lacked the resources or the means to fix the problem, but because they chose to delay a nearly completed fix until they had coaxed the Legislature to retroactively ban those firearms through Senate</w:t>
      </w:r>
      <w:r>
        <w:t xml:space="preserve"> </w:t>
      </w:r>
      <w:r>
        <w:t xml:space="preserve">Bill 118 (SB</w:t>
      </w:r>
      <w:r>
        <w:t xml:space="preserve"> </w:t>
      </w:r>
      <w:r>
        <w:t xml:space="preserve">118). The law should not tolerate such government misconduct.</w:t>
      </w:r>
    </w:p>
    <w:p>
      <w:pPr>
        <w:pStyle w:val="BodyText"/>
      </w:pPr>
      <w:r>
        <w:t xml:space="preserve">Respondents spend pages describing the supposed complexities of DES programming, invoking discretion and Government</w:t>
      </w:r>
      <w:r>
        <w:t xml:space="preserve"> </w:t>
      </w:r>
      <w:r>
        <w:t xml:space="preserve">Code section 820.2 to suggest that any decision they made about the DES is immune. That framing distorts both the record and the statutory scheme. The Penal Code does not grant Respondents the discretion to decide whether to maintain an operational transfer system; it commands that they shall maintain one. Discretion exists only as to the form of implementation, not as to the functionality of the system itself.</w:t>
      </w:r>
    </w:p>
    <w:p>
      <w:pPr>
        <w:pStyle w:val="BodyText"/>
      </w:pPr>
      <w:r>
        <w:t xml:space="preserve">By treating statutory compliance as optional and discretion as boundless, Respondents ask this Court to bless an expansion of agency power that would allow state officials to ignore clear legislative mandates so long as they claim to have “weighed competing priorities.” Discretionary immunity does not shield an agency’s refusal to perform a ministerial duty, and it does not protect the deliberate obstruction of lawful commerce until legislation makes that obstruction permanent.</w:t>
      </w:r>
    </w:p>
    <w:p>
      <w:pPr>
        <w:pStyle w:val="BodyText"/>
      </w:pPr>
      <w:r>
        <w:t xml:space="preserve">The trial court’s decision disregards the mandatory language of the Penal Code and invites agencies to evade legislative command through inaction. If affirmed, the ruling would give the DOJ unchecked authority to suspend lawful commerce in firearms simply by refusing to maintain the systems the law requires it to operate. The judgment should be reversed.</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pStyle w:val="BodyText"/>
      </w:pPr>
      <w:r>
        <w:t xml:space="preserve">The trial court erred in holding that discretionary immunity bars FAI’s tort claims and that the claims fail as a matter of law. Respondents’ (mis)conduct was not a protected policy choice but a refusal to perform a clear statutory duty. The Penal Code requires Respondents to maintain a system capable of processing all lawful firearm transfers. Yet DOJ officials knowingly operated that system in a way that blocked transfers of then-lawful Title 1® firearms, despite acknowledging that a fix was underway. By categorically blocking transfers of then-lawful Title 1® firearms, Respondents did not exercise discretion, they refused to act where the law required performance.</w:t>
      </w:r>
    </w:p>
    <w:p>
      <w:pPr>
        <w:pStyle w:val="BodyText"/>
      </w:pPr>
      <w:r>
        <w:t xml:space="preserve">Respondents’ alternative argument—that Appellants would be unable to prove every element of their interference torts—fares no better. At a minimum, the record establishes triable issues on every element of interference: FAI’s existing and prospective contractual and economic relationships, Respondents’ intentional obstruction of those relationships, and the resulting economic harm. Regulation of firearm commerce does not authorize state officials to disable lawful transactions or insulate them from liability when they do so.</w:t>
      </w:r>
    </w:p>
    <w:p>
      <w:pPr>
        <w:pStyle w:val="BodyText"/>
      </w:pPr>
      <w:r>
        <w:t xml:space="preserve">In short, this case does not test the boundaries of discretion but of accountability. The law required Respondents to maintain a functioning transfer system. They chose not to. Neither statutory immunity nor the summary judgment record supports excusing that failure. The trial court’s decision on summary judgment should be reversed.</w:t>
      </w:r>
    </w:p>
    <w:p>
      <w:pPr>
        <w:keepNext/>
        <w:keepLines/>
        <w:spacing w:before="260" w:after="208" w:line="312" w:lineRule="exact"/>
        <w:ind w:left="1440" w:hanging="720"/>
        <w:jc w:val="left"/>
      </w:pPr>
      <w:r>
        <w:rPr>
          <w:b/>
          <w:bCs/>
        </w:rPr>
        <w:t xml:space="preserve">A.</w:t>
      </w:r>
      <w:r>
        <w:rPr>
          <w:b/>
          <w:bCs/>
        </w:rPr>
        <w:tab/>
      </w:r>
      <w:r>
        <w:rPr>
          <w:b/>
          <w:bCs/>
        </w:rPr>
        <w:t xml:space="preserve">Discretionary</w:t>
      </w:r>
      <w:r>
        <w:rPr>
          <w:b/>
          <w:bCs/>
        </w:rPr>
        <w:t xml:space="preserve"> </w:t>
      </w:r>
      <w:r>
        <w:rPr>
          <w:b/>
          <w:bCs/>
        </w:rPr>
        <w:t xml:space="preserve">Immunity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Shield</w:t>
      </w:r>
      <w:r>
        <w:rPr>
          <w:b/>
          <w:bCs/>
        </w:rPr>
        <w:t xml:space="preserve"> </w:t>
      </w:r>
      <w:r>
        <w:rPr>
          <w:b/>
          <w:bCs/>
        </w:rPr>
        <w:t xml:space="preserve">Respondents’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Their</w:t>
      </w:r>
      <w:r>
        <w:rPr>
          <w:b/>
          <w:bCs/>
        </w:rPr>
        <w:t xml:space="preserve"> </w:t>
      </w:r>
      <w:r>
        <w:rPr>
          <w:b/>
          <w:bCs/>
        </w:rPr>
        <w:t xml:space="preserve">Mandatory</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Functional</w:t>
      </w:r>
      <w:r>
        <w:rPr>
          <w:b/>
          <w:bCs/>
        </w:rPr>
        <w:t xml:space="preserve"> </w:t>
      </w:r>
      <w:r>
        <w:rPr>
          <w:b/>
          <w:bCs/>
        </w:rPr>
        <w:t xml:space="preserve">DES</w:t>
      </w:r>
    </w:p>
    <w:p>
      <w:pPr>
        <w:pStyle w:val="BodyText"/>
      </w:pPr>
      <w:r>
        <w:t xml:space="preserve">Respondents devote much of their brief to arguing that they had no mandatory duty to fix a known DES defect that blocked lawful firearm transfers and that Government Code section 820.2 immunizes their inaction. (R.B., pp. 32-⁠56.) Their theory is sweeping: They claim that decisions about whether and when to update the DES are discretionary judgments about resource allocation, arguing that immunity applies even to “lousy decisions” or abuses of discretion. (R.B., p. 49.) Respondents’ theory fails from the start. The law does not give them discretion to operate the DES in a way that blocks lawful firearm transactions. On the contrary, the Penal Code imposes a mandatory duty to maintain a system that serves as the exclusive means of processing all lawful firearm transfers.</w:t>
      </w:r>
    </w:p>
    <w:p>
      <w:pPr>
        <w:pStyle w:val="BodyText"/>
      </w:pPr>
      <w:r>
        <w:t xml:space="preserve">Ultimately, Respondents’ argument rests on two strawmen. First, they argue at length that the DOJ cannot be liable under common law or Government Code sections 815</w:t>
      </w:r>
      <w:r>
        <w:t xml:space="preserve"> </w:t>
      </w:r>
      <w:r>
        <w:t xml:space="preserve">or 815.6</w:t>
      </w:r>
      <w:r>
        <w:t xml:space="preserve">. (R.B., pp. 31-⁠35.) The argument is wrong. The DOJ was under a “mandatory duty imposed by an enactment that is designed to protect against the risk of a particular kind of injury,” and the DOJ’s refusal to discharge that duty was not an exercise of “reasonable diligence.” (Govt.</w:t>
      </w:r>
      <w:r>
        <w:t xml:space="preserve"> </w:t>
      </w:r>
      <w:r>
        <w:t xml:space="preserve">Code, § 805.6.) But the argument is ultimately irrelevant. FAI set aside its common-law tort claims against the DOJ in the trial court, and it did not revive those claims on appeal. Appellants pursue their tort causes of action against the former Attorney General and Doe individuals in their personal capacities. (A.A.VI 968.)</w:t>
      </w:r>
    </w:p>
    <w:p>
      <w:pPr>
        <w:pStyle w:val="BodyText"/>
      </w:pPr>
      <w:r>
        <w:t xml:space="preserve">Second, Respondents devote another dozen pages to dismantling a claim that Appellants have never made—that DOJ officials had a statutory duty to add an “Other” option to the DES for long-gun subtypes before SB 118 took effect. (R.B., pp. 35-⁠49.) But Appellants never argued that Respondents were required to implement any particular fix, or to do so within any particular timeframe. The real issue is simpler. DOJ officials had a mandatory duty to maintain the DES so that dealers could process all lawful firearm transfers. They knowingly refused to perform that duty, allowing the DES to block transfers of then-lawful Title 1® firearms until the Legislature acted to ban them.</w:t>
      </w:r>
    </w:p>
    <w:p>
      <w:pPr>
        <w:pStyle w:val="BodyTextNote"/>
      </w:pPr>
      <w:r>
        <w:t xml:space="preserve">Respondents’ tactic is not harmless. By first mischaracterizing FAI’s position as an attempt to impose public entity liability on the DOJ, Respondents frame the case as though all tort liability is foreclosed outright. (See R.B., p. 43.)</w:t>
      </w:r>
      <w:r>
        <w:rPr>
          <w:rStyle w:val="FootnoteReference"/>
        </w:rPr>
        <w:footnoteReference w:id="9"/>
      </w:r>
      <w:r>
        <w:t xml:space="preserve"> </w:t>
      </w:r>
      <w:r>
        <w:t xml:space="preserve">Then they pivot to the second false premise that Appellants demand a specific fix, obscuring the real dispute over whether individual officials may be held liable for deliberately refusing to perform a mandatory statutory duty. That question cannot be answered by refuting claims Appellants never made.</w:t>
      </w:r>
    </w:p>
    <w:p>
      <w:pPr>
        <w:pStyle w:val="BodyText"/>
      </w:pPr>
      <w:r>
        <w:t xml:space="preserve">Properly framed, the inquiry rests on two interrelated questions: (1) whether Respondents had a mandatory duty to maintain a system capable of accepting and processing all statutorily required information for all lawful firearm transfers; and (2) whether section</w:t>
      </w:r>
      <w:r>
        <w:t xml:space="preserve"> </w:t>
      </w:r>
      <w:r>
        <w:t xml:space="preserve">820.2 immunizes their refusal to perform that duty. The answer to both is clear. The Penal Code leaves no doubt that Respondents must keep the DES functional for all lawful transfers; discretion exists only as to the form of implementation. Section</w:t>
      </w:r>
      <w:r>
        <w:t xml:space="preserve"> </w:t>
      </w:r>
      <w:r>
        <w:t xml:space="preserve">820.2 does not shield Respondents’ refusal to discharge that obligation. It protects basic policy judgments, not ministerial failures to implement a legislative mandate. The trial court erred in holding that discretionary immunity barred FAI’s tort claims; the summary judgment decision should be reversed.</w:t>
      </w:r>
    </w:p>
    <w:p>
      <w:pPr>
        <w:keepNext/>
        <w:keepLines/>
        <w:spacing w:before="260" w:after="208" w:line="31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Penal</w:t>
      </w:r>
      <w:r>
        <w:rPr>
          <w:b/>
          <w:bCs/>
          <w:i/>
          <w:iCs/>
        </w:rPr>
        <w:t xml:space="preserve"> </w:t>
      </w:r>
      <w:r>
        <w:rPr>
          <w:b/>
          <w:bCs/>
          <w:i/>
          <w:iCs/>
        </w:rPr>
        <w:t xml:space="preserve">Code</w:t>
      </w:r>
      <w:r>
        <w:rPr>
          <w:b/>
          <w:bCs/>
          <w:i/>
          <w:iCs/>
        </w:rPr>
        <w:t xml:space="preserve"> </w:t>
      </w:r>
      <w:r>
        <w:rPr>
          <w:b/>
          <w:bCs/>
          <w:i/>
          <w:iCs/>
        </w:rPr>
        <w:t xml:space="preserve">creates</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
      </w:pPr>
      <w:r>
        <w:t xml:space="preserve">California law unambiguously requires the DOJ to maintain a system for transmitting and processing the information required for transfers of all legal firearms. (See Pen. Code, §§ 28155</w:t>
      </w:r>
      <w:r>
        <w:t xml:space="preserve">, 28160</w:t>
      </w:r>
      <w:r>
        <w:t xml:space="preserve">, 28205</w:t>
      </w:r>
      <w:r>
        <w:t xml:space="preserve">, 28215</w:t>
      </w:r>
      <w:r>
        <w:t xml:space="preserve">, 28220</w:t>
      </w:r>
      <w:r>
        <w:t xml:space="preserve">.</w:t>
      </w:r>
      <w:r>
        <w:t xml:space="preserve"> </w:t>
      </w:r>
      <w:r>
        <w:rPr>
          <w:i/>
          <w:iCs/>
        </w:rPr>
        <w:t xml:space="preserve">See also</w:t>
      </w:r>
      <w:r>
        <w:t xml:space="preserve"> </w:t>
      </w:r>
      <w:r>
        <w:t xml:space="preserve">A.A. III 0289-⁠0290; A.A.V 0724-⁠0725.) By design, the Legislature left DOJ officials no discretion to configure the DES in a way that blocks otherwise lawful firearm transactions. Respondents’ claim that DES operations are purely discretionary cannot be squared with this structure. Indeed, maintaining the system in a manner that rejects a class of lawful firearms is not a mere policy choice about software design. It is a violation of the statutory mandate to process all lawful transfers.</w:t>
      </w:r>
    </w:p>
    <w:p>
      <w:pPr>
        <w:pStyle w:val="BodyText"/>
      </w:pPr>
      <w:r>
        <w:t xml:space="preserve">For every firearm transaction, the Penal Code requires dealers to transmit certain details, including the type of firearm, to the DOJ. (Pen. Code, §§ 28155</w:t>
      </w:r>
      <w:r>
        <w:t xml:space="preserve">, 28160</w:t>
      </w:r>
      <w:r>
        <w:t xml:space="preserve">.) Upon receipt of that information, the DOJ must examine its records and immediately notify the dealer whether the purchaser is prohibited. (Pen.</w:t>
      </w:r>
      <w:r>
        <w:t xml:space="preserve"> </w:t>
      </w:r>
      <w:r>
        <w:t xml:space="preserve">Code, § 28220.) And the DES is statutorily designated as the “exclusive means” to transmit this information unless the DOJ designates another means, which it has not done. (Pen.</w:t>
      </w:r>
      <w:r>
        <w:t xml:space="preserve"> </w:t>
      </w:r>
      <w:r>
        <w:t xml:space="preserve">Code, § 28205.</w:t>
      </w:r>
      <w:r>
        <w:t xml:space="preserve"> </w:t>
      </w:r>
      <w:r>
        <w:rPr>
          <w:i/>
          <w:iCs/>
        </w:rPr>
        <w:t xml:space="preserve">See also</w:t>
      </w:r>
      <w:r>
        <w:t xml:space="preserve"> </w:t>
      </w:r>
      <w:r>
        <w:t xml:space="preserve">R.B., p. 36 [conceding that “it is undisputed that the [DOJ] has required use of the DES for processing firearms transfers”].) Read together, these provisions create an integrated, mandatory scheme: The dealer must use the DES, the DOJ must accept and process the information, and the DES must therefore be capable of processing every lawful firearm transaction. If the system cannot process a particular lawful firearm, the statutory loop collapses. Dealers cannot comply with section</w:t>
      </w:r>
      <w:r>
        <w:t xml:space="preserve"> </w:t>
      </w:r>
      <w:r>
        <w:t xml:space="preserve">28160. The DOJ cannot fulfill its duties under section</w:t>
      </w:r>
      <w:r>
        <w:t xml:space="preserve"> </w:t>
      </w:r>
      <w:r>
        <w:t xml:space="preserve">28220. And lawful commerce in firearms halts—just as it did here.</w:t>
      </w:r>
    </w:p>
    <w:p>
      <w:pPr>
        <w:pStyle w:val="BodyText"/>
      </w:pPr>
      <w:r>
        <w:t xml:space="preserve">Respondents argue that neither the DOJ nor its employees owed a duty to FAI to correct the DES defect, relying on the general rule that one “who has not created a peril” has no duty to come to another’s aid absent a “special relationship.” (R.B., pp. 32-⁠33, citing</w:t>
      </w:r>
      <w:r>
        <w:t xml:space="preserve"> </w:t>
      </w:r>
      <w:r>
        <w:rPr>
          <w:i/>
          <w:iCs/>
        </w:rPr>
        <w:t xml:space="preserve">Zelig</w:t>
      </w:r>
      <w:r>
        <w:rPr>
          <w:i/>
          <w:iCs/>
        </w:rPr>
        <w:t xml:space="preserve"> </w:t>
      </w:r>
      <w:r>
        <w:rPr>
          <w:i/>
          <w:iCs/>
        </w:rPr>
        <w:t xml:space="preserve">v. County of Los Angeles</w:t>
      </w:r>
      <w:r>
        <w:t xml:space="preserve"> </w:t>
      </w:r>
      <w:r>
        <w:t xml:space="preserve">(2002) 27 Cal.4th 1112, 1128-⁠1129.) That principle has no application here for two reasons. First, DOJ officials did not merely fail to protect FAI from harm caused by others. They created the very peril that caused FAI’s injury. By knowingly allowing the DES to categorically block transfers of then-lawful Title 1® firearms, DOJ officials interfered with FAI’s ability to complete lawful transactions. Having created the risk of harm to FAI, Respondents were obligated to correct the defect they created. Second, Respondents’ statutory and regulatory relationship with firearm dealers gives rise to a “special relationship” that goes beyond any duty owed to the public at large. Respondents have exclusive control over the DES and the infrastructure necessary to process lawful firearm transfers. Dealers cannot lawfully complete a transfer without Respondents’ participation and approval, giving Respondents direct control over the dealers’ ability to conduct business. This combination of dependence and control establishes precisely the kind of “special relationship” that gives rise to a duty to avoid causing foreseeable harm.</w:t>
      </w:r>
    </w:p>
    <w:p>
      <w:pPr>
        <w:pStyle w:val="BodyText"/>
      </w:pPr>
      <w:r>
        <w:t xml:space="preserve">Respondents further resist the conclusion that they had a mandatory duty to act, pointing to section</w:t>
      </w:r>
      <w:r>
        <w:t xml:space="preserve"> </w:t>
      </w:r>
      <w:r>
        <w:t xml:space="preserve">28245, which describes the DOJ’s acts or omission regarding the DES as “discretionary.” (R.B., p. 36-⁠37.) To begin with, section</w:t>
      </w:r>
      <w:r>
        <w:t xml:space="preserve"> </w:t>
      </w:r>
      <w:r>
        <w:t xml:space="preserve">28245 applies only when the DOJ acts pursuant to Article 3, which concerns the submission of fees and firearm purchaser information. (Pen.</w:t>
      </w:r>
      <w:r>
        <w:t xml:space="preserve"> </w:t>
      </w:r>
      <w:r>
        <w:t xml:space="preserve">Code, § 28245 [“Whenever the [DOJ] acts pursuant to this article as it pertains to firearms other than handguns, the department’s acts or omissions shall be deemed to be discretionary,…”], italics added.) Sections</w:t>
      </w:r>
      <w:r>
        <w:t xml:space="preserve"> </w:t>
      </w:r>
      <w:r>
        <w:t xml:space="preserve">28155 and 28160</w:t>
      </w:r>
      <w:r>
        <w:t xml:space="preserve">, however, are part of Article 2. Section</w:t>
      </w:r>
      <w:r>
        <w:t xml:space="preserve"> </w:t>
      </w:r>
      <w:r>
        <w:t xml:space="preserve">28245 has no relevance here.</w:t>
      </w:r>
    </w:p>
    <w:p>
      <w:pPr>
        <w:pStyle w:val="BodyText"/>
      </w:pPr>
      <w:r>
        <w:t xml:space="preserve">But even if it did, statutes must be harmonized, not read in isolation. (See</w:t>
      </w:r>
      <w:r>
        <w:t xml:space="preserve"> </w:t>
      </w:r>
      <w:r>
        <w:rPr>
          <w:i/>
          <w:iCs/>
        </w:rPr>
        <w:t xml:space="preserve">People</w:t>
      </w:r>
      <w:r>
        <w:rPr>
          <w:i/>
          <w:iCs/>
        </w:rPr>
        <w:t xml:space="preserve"> </w:t>
      </w:r>
      <w:r>
        <w:rPr>
          <w:i/>
          <w:iCs/>
        </w:rPr>
        <w:t xml:space="preserve">v. Jenkins</w:t>
      </w:r>
      <w:r>
        <w:t xml:space="preserve"> </w:t>
      </w:r>
      <w:r>
        <w:t xml:space="preserve">(1995) 10 Cal.4th 234, 246.) Section</w:t>
      </w:r>
      <w:r>
        <w:t xml:space="preserve"> </w:t>
      </w:r>
      <w:r>
        <w:t xml:space="preserve">28245 cannot be construed to nullify the statutory duties set forth in sections 28155</w:t>
      </w:r>
      <w:r>
        <w:t xml:space="preserve">, 28160</w:t>
      </w:r>
      <w:r>
        <w:t xml:space="preserve">, 28205</w:t>
      </w:r>
      <w:r>
        <w:t xml:space="preserve">, 28215</w:t>
      </w:r>
      <w:r>
        <w:t xml:space="preserve">, and 28220</w:t>
      </w:r>
      <w:r>
        <w:t xml:space="preserve">. At most, section</w:t>
      </w:r>
      <w:r>
        <w:t xml:space="preserve"> </w:t>
      </w:r>
      <w:r>
        <w:t xml:space="preserve">28245 confirms what Appellants have always acknowledged—that Respondents have discretion over matters of form and implementation. It does not authorize Respondents to operate the DES in a manner that makes compliance with the rest of the Penal Code impossible. Under Respondents’ reading, they could shut down the DES altogether and claim immunity from all liability. Courts rightly reject statutory interpretations that reach such absurd results. (See</w:t>
      </w:r>
      <w:r>
        <w:t xml:space="preserve"> </w:t>
      </w:r>
      <w:r>
        <w:rPr>
          <w:i/>
          <w:iCs/>
        </w:rPr>
        <w:t xml:space="preserve">In</w:t>
      </w:r>
      <w:r>
        <w:rPr>
          <w:i/>
          <w:iCs/>
        </w:rPr>
        <w:t xml:space="preserve"> </w:t>
      </w:r>
      <w:r>
        <w:rPr>
          <w:i/>
          <w:iCs/>
        </w:rPr>
        <w:t xml:space="preserve">re Michele D.</w:t>
      </w:r>
      <w:r>
        <w:t xml:space="preserve"> </w:t>
      </w:r>
      <w:r>
        <w:t xml:space="preserve">(2002) 29 Cal.4th 600, 606 [“[I]t is settled that the language of a statute should not be given a literal meaning if doing so would result in absurd consequences that the Legislature did not intend”].)</w:t>
      </w:r>
    </w:p>
    <w:p>
      <w:pPr>
        <w:pStyle w:val="BodyText"/>
      </w:pPr>
      <w:r>
        <w:t xml:space="preserve">In short, the statutory scheme leaves Respondents no discretion to configure the DES so that it categorically blocks lawful transfers. Respondents’ contrary position is irreconcilable with the text and structure of the statutory scheme. What’s more, this case is unique because it deals with commerce in firearms, which implicates constitutionally protected rights. (</w:t>
      </w:r>
      <w:r>
        <w:rPr>
          <w:i/>
          <w:iCs/>
        </w:rPr>
        <w:t xml:space="preserve">District</w:t>
      </w:r>
      <w:r>
        <w:rPr>
          <w:i/>
          <w:iCs/>
        </w:rPr>
        <w:t xml:space="preserve"> </w:t>
      </w:r>
      <w:r>
        <w:rPr>
          <w:i/>
          <w:iCs/>
        </w:rPr>
        <w:t xml:space="preserve">of Columbia v. Heller</w:t>
      </w:r>
      <w:r>
        <w:t xml:space="preserve"> </w:t>
      </w:r>
      <w:r>
        <w:t xml:space="preserve">(2008) 554 U.S. 570, 635;</w:t>
      </w:r>
      <w:r>
        <w:t xml:space="preserve"> </w:t>
      </w:r>
      <w:r>
        <w:rPr>
          <w:i/>
          <w:iCs/>
        </w:rPr>
        <w:t xml:space="preserve">McDonald</w:t>
      </w:r>
      <w:r>
        <w:rPr>
          <w:i/>
          <w:iCs/>
        </w:rPr>
        <w:t xml:space="preserve"> </w:t>
      </w:r>
      <w:r>
        <w:rPr>
          <w:i/>
          <w:iCs/>
        </w:rPr>
        <w:t xml:space="preserve">v. City of Chicago</w:t>
      </w:r>
      <w:r>
        <w:t xml:space="preserve"> </w:t>
      </w:r>
      <w:r>
        <w:t xml:space="preserve">(2010) 561 U.S. 742, 780;</w:t>
      </w:r>
      <w:r>
        <w:t xml:space="preserve"> </w:t>
      </w:r>
      <w:r>
        <w:rPr>
          <w:i/>
          <w:iCs/>
        </w:rPr>
        <w:t xml:space="preserve">Teixeira</w:t>
      </w:r>
      <w:r>
        <w:rPr>
          <w:i/>
          <w:iCs/>
        </w:rPr>
        <w:t xml:space="preserve"> </w:t>
      </w:r>
      <w:r>
        <w:rPr>
          <w:i/>
          <w:iCs/>
        </w:rPr>
        <w:t xml:space="preserve">v. Cty. of Alameda</w:t>
      </w:r>
      <w:r>
        <w:t xml:space="preserve"> </w:t>
      </w:r>
      <w:r>
        <w:t xml:space="preserve">(9th Cir. 2017) 873 F.3d 670, 677-⁠678 [en banc] [recognizing that “the core Second Amendment right to keep and bear arms for self-defense ‘wouldn’t mean much” without the ability to acquire arms’”].) When interpreting statutes in this context, courts must be especially cautious not to adopt constructions that allow agencies to invoke “discretion” to obstruct commerce in constitutionally protected goods. Yet Respondents’ reading of section</w:t>
      </w:r>
      <w:r>
        <w:t xml:space="preserve"> </w:t>
      </w:r>
      <w:r>
        <w:t xml:space="preserve">28245 would allow exactly that, effectively empowering the DOJ to ban the sale of any class of firearms simply by configuring the DES to reject them. That interpretation is not simply wrong; it is constitutionally dangerous.</w:t>
      </w:r>
    </w:p>
    <w:p>
      <w:pPr>
        <w:pStyle w:val="BodyText"/>
      </w:pPr>
      <w:r>
        <w:t xml:space="preserve">Rather than respond to FAI’s argument, Respondents attempt to dismantle an argument Appellants have never made. They insist the code does not require the DOJ “to modify DES to add an ‘Other’ option after the Title 1 was introduced in October 2019, and before SB 118 banned it.” (R.B., p. 33.) But Respondents’ extended discussion of “discretion” over how to configure the DES misses the point. Appellants never argued that Respondents were required to adopt a particular fix or to implement that fix within a particular timeframe. Appellants’ position has always been that Respondents have a mandatory duty to maintain the DES so it can process all lawful transfers, including Title 1® transfers, while leaving the form of the record to Respondents’ discretion. (A.O.B., pp. 25-⁠28; R.B., pp. 37-⁠38 [discussing allegations and arguments in the SAC, summary judgment briefing, and Opening Brief].)</w:t>
      </w:r>
    </w:p>
    <w:p>
      <w:pPr>
        <w:pStyle w:val="BodyText"/>
      </w:pPr>
      <w:r>
        <w:t xml:space="preserve">This distinction matters. Respondents certainly have some discretion over the implementation of the DES, including how to transmit information about Title 1® firearms’ type. But discretion over form does not confer discretion to disable function. The statutory mandate is clear: The DOJ “shall” accept and process all statutorily required information for all lawful firearm transfers. (Pen.</w:t>
      </w:r>
      <w:r>
        <w:t xml:space="preserve"> </w:t>
      </w:r>
      <w:r>
        <w:t xml:space="preserve">Code, §§ 28155, 28160, 28215, 28220.) Respondents devote pages to showing that they had options for doing so, but those pages merely prove Appellants’ point: Respondents had discretion among fixes, but they had no discretion to do nothing.</w:t>
      </w:r>
    </w:p>
    <w:p>
      <w:pPr>
        <w:pStyle w:val="BodyTextNote"/>
      </w:pPr>
      <w:r>
        <w:t xml:space="preserve">Several cases confirm this principle. Indeed, California courts have long recognized the distinction between discretion as to means and discretion as to ends. In their Opening Brief, Appellants cited</w:t>
      </w:r>
      <w:r>
        <w:t xml:space="preserve"> </w:t>
      </w:r>
      <w:r>
        <w:rPr>
          <w:i/>
          <w:iCs/>
        </w:rPr>
        <w:t xml:space="preserve">Ham</w:t>
      </w:r>
      <w:r>
        <w:rPr>
          <w:i/>
          <w:iCs/>
        </w:rPr>
        <w:t xml:space="preserve"> </w:t>
      </w:r>
      <w:r>
        <w:rPr>
          <w:i/>
          <w:iCs/>
        </w:rPr>
        <w:t xml:space="preserve">v. County of Los Angeles</w:t>
      </w:r>
      <w:r>
        <w:t xml:space="preserve"> </w:t>
      </w:r>
      <w:r>
        <w:t xml:space="preserve">(1920) 46 Cal.App.148 (Ham), for this general rule: “To the extent that [the] performance [of some duty] is unqualifiedly required, it is not discretionary, even though the manner of its performance may be discretionary.” (A.O.B., pp. 26-⁠27, discussing</w:t>
      </w:r>
      <w:r>
        <w:t xml:space="preserve"> </w:t>
      </w:r>
      <w:r>
        <w:rPr>
          <w:i/>
          <w:iCs/>
        </w:rPr>
        <w:t xml:space="preserve">Ham</w:t>
      </w:r>
      <w:r>
        <w:t xml:space="preserve">,</w:t>
      </w:r>
      <w:r>
        <w:t xml:space="preserve"> </w:t>
      </w:r>
      <w:r>
        <w:rPr>
          <w:i/>
          <w:iCs/>
        </w:rPr>
        <w:t xml:space="preserve">supra</w:t>
      </w:r>
      <w:r>
        <w:t xml:space="preserve">, 46 Cal.App. at p. 162.)</w:t>
      </w:r>
      <w:r>
        <w:rPr>
          <w:rStyle w:val="FootnoteReference"/>
        </w:rPr>
        <w:footnoteReference w:id="10"/>
      </w:r>
      <w:r>
        <w:t xml:space="preserve"> </w:t>
      </w:r>
      <w:r>
        <w:rPr>
          <w:i/>
          <w:iCs/>
        </w:rPr>
        <w:t xml:space="preserve">Redwood</w:t>
      </w:r>
      <w:r>
        <w:rPr>
          <w:i/>
          <w:iCs/>
        </w:rPr>
        <w:t xml:space="preserve"> </w:t>
      </w:r>
      <w:r>
        <w:rPr>
          <w:i/>
          <w:iCs/>
        </w:rPr>
        <w:t xml:space="preserve">Coast Watersheds Alliance v. State Board of Forestry and Fire Prot.</w:t>
      </w:r>
      <w:r>
        <w:t xml:space="preserve"> </w:t>
      </w:r>
      <w:r>
        <w:t xml:space="preserve">(1999) 70 Cal.App.4th 962, applied the same logic, holding that where an agency “has a mandatory or ministerial duty to adopt … regulations,” it “does not have a choice whether to adopt such regulations” even though it retains discretion over their content. (</w:t>
      </w:r>
      <w:r>
        <w:rPr>
          <w:i/>
          <w:iCs/>
        </w:rPr>
        <w:t xml:space="preserve">Id.</w:t>
      </w:r>
      <w:r>
        <w:t xml:space="preserve"> </w:t>
      </w:r>
      <w:r>
        <w:t xml:space="preserve">at p. 970, quoting</w:t>
      </w:r>
      <w:r>
        <w:t xml:space="preserve"> </w:t>
      </w:r>
      <w:r>
        <w:rPr>
          <w:i/>
          <w:iCs/>
        </w:rPr>
        <w:t xml:space="preserve">Ham</w:t>
      </w:r>
      <w:r>
        <w:t xml:space="preserve">,</w:t>
      </w:r>
      <w:r>
        <w:t xml:space="preserve"> </w:t>
      </w:r>
      <w:r>
        <w:rPr>
          <w:i/>
          <w:iCs/>
        </w:rPr>
        <w:t xml:space="preserve">supra</w:t>
      </w:r>
      <w:r>
        <w:t xml:space="preserve">, 46 Cal.App. at p. 162 [italics added].)</w:t>
      </w:r>
    </w:p>
    <w:p>
      <w:pPr>
        <w:pStyle w:val="BodyText"/>
      </w:pPr>
      <w:r>
        <w:t xml:space="preserve">The California Supreme Court’s decision in</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w:t>
      </w:r>
      <w:r>
        <w:rPr>
          <w:i/>
          <w:iCs/>
        </w:rPr>
        <w:t xml:space="preserve">Lopez</w:t>
      </w:r>
      <w:r>
        <w:t xml:space="preserve">), illustrates the point even more vividly. There, the transit district argued it was entitled to discretionary immunity for failing to protect passengers from assaults, since bus drivers had discretion over how to respond to such incidents. (</w:t>
      </w:r>
      <w:r>
        <w:rPr>
          <w:i/>
          <w:iCs/>
        </w:rPr>
        <w:t xml:space="preserve">Id.</w:t>
      </w:r>
      <w:r>
        <w:t xml:space="preserve"> </w:t>
      </w:r>
      <w:r>
        <w:t xml:space="preserve">at p. 793.) The Court disagreed. Although bus drivers must exercise judgment in the manner of intervention, the district had a mandatory statutory duty to take reasonable steps to protect passenger safety. (</w:t>
      </w:r>
      <w:r>
        <w:rPr>
          <w:i/>
          <w:iCs/>
        </w:rPr>
        <w:t xml:space="preserve">Id.</w:t>
      </w:r>
      <w:r>
        <w:t xml:space="preserve"> </w:t>
      </w:r>
      <w:r>
        <w:t xml:space="preserve">at pp. 793-⁠794.) The agency could not invoke “discretion” as an excuse for doing nothing.</w:t>
      </w:r>
    </w:p>
    <w:p>
      <w:pPr>
        <w:pStyle w:val="BodyText"/>
      </w:pPr>
      <w:r>
        <w:t xml:space="preserve">Likewise, here, Respondents may have had discretion in how to configure the DES to process then-lawful Title 1® transfers, but they had no discretion to withhold a completed (or nearly completed) fix indefinitely and operate DES in a way that categorically blocked those lawful transactions.</w:t>
      </w:r>
    </w:p>
    <w:p>
      <w:pPr>
        <w:keepNext/>
        <w:keepLines/>
        <w:spacing w:before="260" w:after="208" w:line="312" w:lineRule="exact"/>
        <w:ind w:left="2160" w:hanging="720"/>
        <w:jc w:val="left"/>
      </w:pPr>
      <w:r>
        <w:rPr>
          <w:b/>
          <w:bCs/>
          <w:i/>
          <w:iCs/>
        </w:rPr>
        <w:t xml:space="preserve">2.</w:t>
      </w:r>
      <w:r>
        <w:rPr>
          <w:b/>
          <w:bCs/>
          <w:i/>
          <w:iCs/>
        </w:rPr>
        <w:tab/>
      </w:r>
      <w:r>
        <w:rPr>
          <w:b/>
          <w:bCs/>
          <w:i/>
          <w:iCs/>
        </w:rPr>
        <w:t xml:space="preserve">Section</w:t>
      </w:r>
      <w:r>
        <w:rPr>
          <w:b/>
          <w:bCs/>
          <w:i/>
          <w:iCs/>
        </w:rPr>
        <w:t xml:space="preserve"> </w:t>
      </w:r>
      <w:r>
        <w:rPr>
          <w:b/>
          <w:bCs/>
          <w:i/>
          <w:iCs/>
        </w:rPr>
        <w:t xml:space="preserve">820.2</w:t>
      </w:r>
      <w:r>
        <w:rPr>
          <w:b/>
          <w:bCs/>
          <w:i/>
          <w:iCs/>
        </w:rPr>
        <w:t xml:space="preserve"> </w:t>
      </w:r>
      <w:r>
        <w:rPr>
          <w:b/>
          <w:bCs/>
          <w:i/>
          <w:iCs/>
        </w:rPr>
        <w:t xml:space="preserve">immunity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Respondents’</w:t>
      </w:r>
      <w:r>
        <w:rPr>
          <w:b/>
          <w:bCs/>
          <w:i/>
          <w:iCs/>
        </w:rPr>
        <w:t xml:space="preserve"> </w:t>
      </w:r>
      <w:r>
        <w:rPr>
          <w:b/>
          <w:bCs/>
          <w:i/>
          <w:iCs/>
        </w:rPr>
        <w:t xml:space="preserve">mandatory,</w:t>
      </w:r>
      <w:r>
        <w:rPr>
          <w:b/>
          <w:bCs/>
          <w:i/>
          <w:iCs/>
        </w:rPr>
        <w:t xml:space="preserve"> </w:t>
      </w:r>
      <w:r>
        <w:rPr>
          <w:b/>
          <w:bCs/>
          <w:i/>
          <w:iCs/>
        </w:rPr>
        <w:t xml:space="preserve">ministerial</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an</w:t>
      </w:r>
      <w:r>
        <w:rPr>
          <w:b/>
          <w:bCs/>
          <w:i/>
          <w:iCs/>
        </w:rPr>
        <w:t xml:space="preserve"> </w:t>
      </w:r>
      <w:r>
        <w:rPr>
          <w:b/>
          <w:bCs/>
          <w:i/>
          <w:iCs/>
        </w:rPr>
        <w:t xml:space="preserve">operational</w:t>
      </w:r>
      <w:r>
        <w:rPr>
          <w:b/>
          <w:bCs/>
          <w:i/>
          <w:iCs/>
        </w:rPr>
        <w:t xml:space="preserve"> </w:t>
      </w:r>
      <w:r>
        <w:rPr>
          <w:b/>
          <w:bCs/>
          <w:i/>
          <w:iCs/>
        </w:rPr>
        <w:t xml:space="preserve">DES.</w:t>
      </w:r>
    </w:p>
    <w:p>
      <w:pPr>
        <w:pStyle w:val="BodyText"/>
      </w:pPr>
      <w:r>
        <w:t xml:space="preserve">Relatedly, Respondents invoke section</w:t>
      </w:r>
      <w:r>
        <w:t xml:space="preserve"> </w:t>
      </w:r>
      <w:r>
        <w:t xml:space="preserve">820.2 and a string of inapposite cases to claim that DOJ officials were merely exercising discretionary judgment in managing “competing priorities” when they refused to implement a nearly completed fix to the DES that would have allowed lawful Title 1® firearm transfers. But this framing evades the dispositive point: Where a public agency is under a statutory duty to act, it has no discretion to refuse to do so. Section</w:t>
      </w:r>
      <w:r>
        <w:t xml:space="preserve"> </w:t>
      </w:r>
      <w:r>
        <w:t xml:space="preserve">820.2 does not apply to an unlawful abdication of mandatory duties. The trial court erred in granting summary judgment on this basis.</w:t>
      </w:r>
    </w:p>
    <w:p>
      <w:pPr>
        <w:pStyle w:val="BodyText"/>
      </w:pPr>
      <w:r>
        <w:t xml:space="preserve">In tort claims against public officials, “‘the rule is liability, immunity is the exception.’” (</w:t>
      </w:r>
      <w:r>
        <w:rPr>
          <w:i/>
          <w:iCs/>
        </w:rPr>
        <w:t xml:space="preserve">Lopez</w:t>
      </w:r>
      <w:r>
        <w:rPr>
          <w:i/>
          <w:iCs/>
        </w:rPr>
        <w:t xml:space="preserve"> </w:t>
      </w:r>
      <w:r>
        <w:rPr>
          <w:i/>
          <w:iCs/>
        </w:rPr>
        <w:t xml:space="preserve">v. S. Cal. Rapid Transit Dist.</w:t>
      </w:r>
      <w:r>
        <w:t xml:space="preserve"> </w:t>
      </w:r>
      <w:r>
        <w:t xml:space="preserve">(1985) 40 Cal.3d 780, 792-⁠793, quoting</w:t>
      </w:r>
      <w:r>
        <w:t xml:space="preserve"> </w:t>
      </w:r>
      <w:r>
        <w:rPr>
          <w:i/>
          <w:iCs/>
        </w:rPr>
        <w:t xml:space="preserve">Ramos</w:t>
      </w:r>
      <w:r>
        <w:rPr>
          <w:i/>
          <w:iCs/>
        </w:rPr>
        <w:t xml:space="preserve"> </w:t>
      </w:r>
      <w:r>
        <w:rPr>
          <w:i/>
          <w:iCs/>
        </w:rPr>
        <w:t xml:space="preserve">v. County of Madera</w:t>
      </w:r>
      <w:r>
        <w:t xml:space="preserve"> </w:t>
      </w:r>
      <w:r>
        <w:t xml:space="preserve">(1971) 4 Cal.3d 685, 692, italics added.) “Whether or not a public employee is immune from liability under section 820.2 depends in many cases upon whether the act in question was ‘discretionary’ or ‘ministerial,’ respectively. (</w:t>
      </w:r>
      <w:r>
        <w:rPr>
          <w:i/>
          <w:iCs/>
        </w:rPr>
        <w:t xml:space="preserve">McCorkle</w:t>
      </w:r>
      <w:r>
        <w:rPr>
          <w:i/>
          <w:iCs/>
        </w:rPr>
        <w:t xml:space="preserve"> </w:t>
      </w:r>
      <w:r>
        <w:rPr>
          <w:i/>
          <w:iCs/>
        </w:rPr>
        <w:t xml:space="preserve">v. City of Los Angeles</w:t>
      </w:r>
      <w:r>
        <w:t xml:space="preserve"> </w:t>
      </w:r>
      <w:r>
        <w:t xml:space="preserve">(1969) 70 Cal.2d 252, 260.) Having established, as the trial court twice held (A.A.III 289-⁠290; A.A.V 724-⁠725), that Respondents’ duty to maintain an operable DES that processes all lawful firearm transfers is ministerial and mandatory, it is clear that Respondents’ reliance on Government</w:t>
      </w:r>
      <w:r>
        <w:t xml:space="preserve"> </w:t>
      </w:r>
      <w:r>
        <w:t xml:space="preserve">Code section 820.2 is misplaced.</w:t>
      </w:r>
    </w:p>
    <w:p>
      <w:pPr>
        <w:pStyle w:val="BodyTextNote"/>
      </w:pPr>
      <w:r>
        <w:t xml:space="preserve">Section 820.2 protects genuine policy decisions; it does not license public officials to disregard legislative mandates by characterizing their inaction as a “policy choice.” (</w:t>
      </w:r>
      <w:r>
        <w:rPr>
          <w:i/>
          <w:iCs/>
        </w:rPr>
        <w:t xml:space="preserve">Johnson</w:t>
      </w:r>
      <w:r>
        <w:rPr>
          <w:i/>
          <w:iCs/>
        </w:rPr>
        <w:t xml:space="preserve"> </w:t>
      </w:r>
      <w:r>
        <w:rPr>
          <w:i/>
          <w:iCs/>
        </w:rPr>
        <w:t xml:space="preserve">v. State of California</w:t>
      </w:r>
      <w:r>
        <w:t xml:space="preserve"> </w:t>
      </w:r>
      <w:r>
        <w:t xml:space="preserve">(1968) 69 Cal.2d 782, 793-⁠794 (</w:t>
      </w:r>
      <w:r>
        <w:rPr>
          <w:i/>
          <w:iCs/>
        </w:rPr>
        <w:t xml:space="preserve">Johnson</w:t>
      </w:r>
      <w:r>
        <w:t xml:space="preserve">).) Indeed, “not all acts requiring a public employee to choose among alternatives entail the use of ‘discretion’ within the meaning of section</w:t>
      </w:r>
      <w:r>
        <w:t xml:space="preserve"> </w:t>
      </w:r>
      <w:r>
        <w:t xml:space="preserve">820.2.” (</w:t>
      </w:r>
      <w:r>
        <w:rPr>
          <w:i/>
          <w:iCs/>
        </w:rPr>
        <w:t xml:space="preserve">Barner</w:t>
      </w:r>
      <w:r>
        <w:rPr>
          <w:i/>
          <w:iCs/>
        </w:rPr>
        <w:t xml:space="preserve"> </w:t>
      </w:r>
      <w:r>
        <w:rPr>
          <w:i/>
          <w:iCs/>
        </w:rPr>
        <w:t xml:space="preserve">v. Leeds</w:t>
      </w:r>
      <w:r>
        <w:t xml:space="preserve"> </w:t>
      </w:r>
      <w:r>
        <w:t xml:space="preserve">(2000) 24 Cal.4th 676, 684-⁠685.) Immunity covers only high-level policy choices, not the routine implementation of established policy. (</w:t>
      </w:r>
      <w:r>
        <w:rPr>
          <w:i/>
          <w:iCs/>
        </w:rPr>
        <w:t xml:space="preserve">Id.</w:t>
      </w:r>
      <w:r>
        <w:t xml:space="preserve"> </w:t>
      </w:r>
      <w:r>
        <w:t xml:space="preserve">at p. 685;</w:t>
      </w:r>
      <w:r>
        <w:t xml:space="preserve"> </w:t>
      </w:r>
      <w:r>
        <w:rPr>
          <w:i/>
          <w:iCs/>
        </w:rPr>
        <w:t xml:space="preserve">Johnson</w:t>
      </w:r>
      <w:r>
        <w:t xml:space="preserve">,</w:t>
      </w:r>
      <w:r>
        <w:t xml:space="preserve"> </w:t>
      </w:r>
      <w:r>
        <w:rPr>
          <w:i/>
          <w:iCs/>
        </w:rPr>
        <w:t xml:space="preserve">supra</w:t>
      </w:r>
      <w:r>
        <w:t xml:space="preserve">, 69 Cal.2d at p. 793-⁠794.)</w:t>
      </w:r>
      <w:r>
        <w:rPr>
          <w:rStyle w:val="FootnoteReference"/>
        </w:rPr>
        <w:footnoteReference w:id="11"/>
      </w:r>
      <w:r>
        <w:t xml:space="preserve"> </w:t>
      </w:r>
      <w:r>
        <w:t xml:space="preserve">Here, the Legislature made the basic policy decision that the DOJ must create and maintain a system that processes all lawful firearm transfers. Respondents were not free to disregard that legislative mandate. While they may enjoy immunity for their decisions as to the form of the DES fix, they enjoy no immunity for their decision not to fix it at all.</w:t>
      </w:r>
    </w:p>
    <w:p>
      <w:pPr>
        <w:pStyle w:val="BodyText"/>
      </w:pPr>
      <w:r>
        <w:t xml:space="preserve">In the end, Respondents claim that they undertook a “conscious balancing of risks and advantages,” relying on</w:t>
      </w:r>
      <w:r>
        <w:t xml:space="preserve"> </w:t>
      </w:r>
      <w:r>
        <w:rPr>
          <w:i/>
          <w:iCs/>
        </w:rPr>
        <w:t xml:space="preserve">Caldwell</w:t>
      </w:r>
      <w:r>
        <w:rPr>
          <w:i/>
          <w:iCs/>
        </w:rPr>
        <w:t xml:space="preserve"> </w:t>
      </w:r>
      <w:r>
        <w:rPr>
          <w:i/>
          <w:iCs/>
        </w:rPr>
        <w:t xml:space="preserve">v. Montoya</w:t>
      </w:r>
      <w:r>
        <w:t xml:space="preserve"> </w:t>
      </w:r>
      <w:r>
        <w:t xml:space="preserve">(1995) 10 Cal.4th 972, 983, to argue that immunity attaches even if they did not engage in a “‘strictly careful, thorough, formal, or correct evaluation.’” (R.B., p. 50, italics original). But</w:t>
      </w:r>
      <w:r>
        <w:t xml:space="preserve"> </w:t>
      </w:r>
      <w:r>
        <w:rPr>
          <w:i/>
          <w:iCs/>
        </w:rPr>
        <w:t xml:space="preserve">Caldwell</w:t>
      </w:r>
      <w:r>
        <w:t xml:space="preserve"> </w:t>
      </w:r>
      <w:r>
        <w:t xml:space="preserve">is not on point. That case concerned a school board’s decision to terminate a superintendent—a quintessential policy-level decision that is “peculiarly sensitive and subjective.” (10 Cal.4th at p. 983.) The Court described the choice as a matter “expressly entrusted to a coordinate branch of government’ at its highest level.” (</w:t>
      </w:r>
      <w:r>
        <w:rPr>
          <w:i/>
          <w:iCs/>
        </w:rPr>
        <w:t xml:space="preserve">Id.</w:t>
      </w:r>
      <w:r>
        <w:t xml:space="preserve"> </w:t>
      </w:r>
      <w:r>
        <w:t xml:space="preserve">at p. 982.) By contrast, Respondents were not weighing political goals or formulating new policy. The Legislature had already made the relevant policy choice—that all lawful firearm transactions must be processed through a functional DES. Respondents were legally bound to implement that framework. Choosing to withhold a completed (or near-completed) fix—not because of time or resources, but to deliberately stall lawful transfers of FAI’s Title 1® firearms until they could be banned—is not policymaking. And section</w:t>
      </w:r>
      <w:r>
        <w:t xml:space="preserve"> </w:t>
      </w:r>
      <w:r>
        <w:t xml:space="preserve">820.2 does not immunize it.</w:t>
      </w:r>
    </w:p>
    <w:p>
      <w:pPr>
        <w:pStyle w:val="BodyText"/>
      </w:pPr>
      <w:r>
        <w:t xml:space="preserve">None of Respondents’ other examples of cases where discretionary immunity attached involved a mandatory duty to act. (R.B., pp. 50-⁠52 [collecting cases].) Those cases are inapt. Like</w:t>
      </w:r>
      <w:r>
        <w:t xml:space="preserve"> </w:t>
      </w:r>
      <w:r>
        <w:rPr>
          <w:i/>
          <w:iCs/>
        </w:rPr>
        <w:t xml:space="preserve">Caldwell</w:t>
      </w:r>
      <w:r>
        <w:t xml:space="preserve">,</w:t>
      </w:r>
      <w:r>
        <w:t xml:space="preserve"> </w:t>
      </w:r>
      <w:r>
        <w:rPr>
          <w:i/>
          <w:iCs/>
        </w:rPr>
        <w:t xml:space="preserve">Thompson</w:t>
      </w:r>
      <w:r>
        <w:rPr>
          <w:i/>
          <w:iCs/>
        </w:rPr>
        <w:t xml:space="preserve"> </w:t>
      </w:r>
      <w:r>
        <w:rPr>
          <w:i/>
          <w:iCs/>
        </w:rPr>
        <w:t xml:space="preserve">v. County of Alameda</w:t>
      </w:r>
      <w:r>
        <w:t xml:space="preserve"> </w:t>
      </w:r>
      <w:r>
        <w:t xml:space="preserve">(1980) 27 Cal.3d 741, involved a classic discretionary decision—the release of a violent juvenile offender to his parent’s custody—where the government enjoys broad latitude to choose among lawful options.</w:t>
      </w:r>
      <w:r>
        <w:t xml:space="preserve"> </w:t>
      </w:r>
      <w:r>
        <w:rPr>
          <w:i/>
          <w:iCs/>
        </w:rPr>
        <w:t xml:space="preserve">Curcini</w:t>
      </w:r>
      <w:r>
        <w:rPr>
          <w:i/>
          <w:iCs/>
        </w:rPr>
        <w:t xml:space="preserve"> </w:t>
      </w:r>
      <w:r>
        <w:rPr>
          <w:i/>
          <w:iCs/>
        </w:rPr>
        <w:t xml:space="preserve">v. County of Alameda</w:t>
      </w:r>
      <w:r>
        <w:t xml:space="preserve"> </w:t>
      </w:r>
      <w:r>
        <w:t xml:space="preserve">(2008) 164 Cal.App.4th 629, 648, concerned the highly discretionary act of awarding public contracts.</w:t>
      </w:r>
      <w:r>
        <w:t xml:space="preserve"> </w:t>
      </w:r>
      <w:r>
        <w:rPr>
          <w:i/>
          <w:iCs/>
        </w:rPr>
        <w:t xml:space="preserve">Hacala</w:t>
      </w:r>
      <w:r>
        <w:rPr>
          <w:i/>
          <w:iCs/>
        </w:rPr>
        <w:t xml:space="preserve"> </w:t>
      </w:r>
      <w:r>
        <w:rPr>
          <w:i/>
          <w:iCs/>
        </w:rPr>
        <w:t xml:space="preserve">v. Bird Rides, Inc.</w:t>
      </w:r>
      <w:r>
        <w:t xml:space="preserve"> </w:t>
      </w:r>
      <w:r>
        <w:t xml:space="preserve">(2023) 90 Cal.App.5th 301, 306,</w:t>
      </w:r>
      <w:r>
        <w:t xml:space="preserve"> </w:t>
      </w:r>
      <w:r>
        <w:rPr>
          <w:i/>
          <w:iCs/>
        </w:rPr>
        <w:t xml:space="preserve">Posey</w:t>
      </w:r>
      <w:r>
        <w:rPr>
          <w:i/>
          <w:iCs/>
        </w:rPr>
        <w:t xml:space="preserve"> </w:t>
      </w:r>
      <w:r>
        <w:rPr>
          <w:i/>
          <w:iCs/>
        </w:rPr>
        <w:t xml:space="preserve">v. State</w:t>
      </w:r>
      <w:r>
        <w:t xml:space="preserve"> </w:t>
      </w:r>
      <w:r>
        <w:t xml:space="preserve">(1986) 180 Cal.App.3d 836, 848-⁠850, and</w:t>
      </w:r>
      <w:r>
        <w:t xml:space="preserve"> </w:t>
      </w:r>
      <w:r>
        <w:rPr>
          <w:i/>
          <w:iCs/>
        </w:rPr>
        <w:t xml:space="preserve">Bonds</w:t>
      </w:r>
      <w:r>
        <w:rPr>
          <w:i/>
          <w:iCs/>
        </w:rPr>
        <w:t xml:space="preserve"> </w:t>
      </w:r>
      <w:r>
        <w:rPr>
          <w:i/>
          <w:iCs/>
        </w:rPr>
        <w:t xml:space="preserve">v. State</w:t>
      </w:r>
      <w:r>
        <w:t xml:space="preserve"> </w:t>
      </w:r>
      <w:r>
        <w:t xml:space="preserve">(1982) 138 Cal.App.3d 314, 321, all involved decisions not to remove a road hazard under enactments expressly imposing “discretionary enforcement authority,” not a mandatory duty to act. And, in</w:t>
      </w:r>
      <w:r>
        <w:t xml:space="preserve"> </w:t>
      </w:r>
      <w:r>
        <w:rPr>
          <w:i/>
          <w:iCs/>
        </w:rPr>
        <w:t xml:space="preserve">Roseville</w:t>
      </w:r>
      <w:r>
        <w:rPr>
          <w:i/>
          <w:iCs/>
        </w:rPr>
        <w:t xml:space="preserve"> </w:t>
      </w:r>
      <w:r>
        <w:rPr>
          <w:i/>
          <w:iCs/>
        </w:rPr>
        <w:t xml:space="preserve">Community Hosp. v. State</w:t>
      </w:r>
      <w:r>
        <w:t xml:space="preserve"> </w:t>
      </w:r>
      <w:r>
        <w:t xml:space="preserve">(1977) 74 Cal.App.3d 583, 589-⁠590, the court recognized that the law did not require the Attorney General to investigate or take any action at all against unregistered health plans. In short, none of these cases supports immunity where, as here, a public agency was statutorily required to act and refused.</w:t>
      </w:r>
    </w:p>
    <w:p>
      <w:pPr>
        <w:pStyle w:val="BodyText"/>
      </w:pPr>
      <w:r>
        <w:t xml:space="preserve">Still, Respondents rely heavily on Director Mendoza’s claims that DOJ officials considered various options to fix the DES defect and “engage[d] in the balancing of multiple factors and weighing of competing priorities.” (R.B., pp. 52-⁠54.) FAI does not challenge Respondents’ internal deliberations or the quality of their judgment. That is beside the point. Even a “careful” or “deliberate” decision to violate a mandatory legal obligation is not immune. The issue here is not whether Respondents engaged in a decision-making process or whether their decisions were reasonable, but whether the decision they reached—to do nothing for nearly two years while the DES blocked lawful transfers of FAI’s Title 1®—was legally authorized in the first place. It was not.</w:t>
      </w:r>
    </w:p>
    <w:p>
      <w:pPr>
        <w:pStyle w:val="BodyText"/>
      </w:pPr>
      <w:r>
        <w:t xml:space="preserve">To the extent Appellants’ Opening Brief discusses the disputed facts about Respondents’ “decision-making process,” it was not to argue that their “decisions as to the timing of the DES modification were incorrect.” (R.B., p. 55.) It was simply to rebut Respondents’ post hoc justification that the delay resulted from “competing priorities.” As Appellants’ summary judgment opposition explained, and internal documents and testimony confirmed, Respondents had developed a fix, knew it was needed, and affirmatively chose not to deploy it. (A.A.VI 0990-⁠0991, citing A.A.VI 1057-⁠1058; A.A.VI 1000, citing A.A.VI 856-⁠857, 860-⁠861, 864-⁠865, 868-⁠873, 8760877, 880-⁠881, 883; A.A.VI 1001-⁠1002 [citing evidence]; A.A.X 1311, 1318-⁠1319, 1354-⁠1358, A.A.XVII 1768, 1770-⁠1773, 1778-⁠1780. See also Appellants’ Req. Jud. Notice (“RJN”), Ex. B.) That evidentiary showing raised, at a minimum, a triable issue of fact as to whether the delay was the product of legitimate policy discretion or a deliberate effort to suppress a lawful product. That question was not properly resolved on summary judgment. And even if it were, no amount of internal deliberation can convert a refusal to discharge a mandatory duty into a protected policy choice.</w:t>
      </w:r>
    </w:p>
    <w:p>
      <w:pPr>
        <w:keepNext/>
        <w:keepLines/>
        <w:spacing w:before="260" w:after="208" w:line="312" w:lineRule="exact"/>
        <w:ind w:left="1440" w:hanging="720"/>
        <w:jc w:val="left"/>
      </w:pPr>
      <w:r>
        <w:rPr>
          <w:b/>
          <w:bCs/>
        </w:rPr>
        <w:t xml:space="preserve">B.</w:t>
      </w:r>
      <w:r>
        <w:rPr>
          <w:b/>
          <w:bCs/>
        </w:rPr>
        <w:tab/>
      </w:r>
      <w:r>
        <w:rPr>
          <w:b/>
          <w:bCs/>
        </w:rPr>
        <w:t xml:space="preserve">Respondents’</w:t>
      </w:r>
      <w:r>
        <w:rPr>
          <w:b/>
          <w:bCs/>
        </w:rPr>
        <w:t xml:space="preserve"> </w:t>
      </w:r>
      <w:r>
        <w:rPr>
          <w:b/>
          <w:bCs/>
        </w:rPr>
        <w:t xml:space="preserve">Alternative</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Affirmance</w:t>
      </w:r>
      <w:r>
        <w:rPr>
          <w:b/>
          <w:bCs/>
        </w:rPr>
        <w:t xml:space="preserve"> </w:t>
      </w:r>
      <w:r>
        <w:rPr>
          <w:b/>
          <w:bCs/>
        </w:rPr>
        <w:t xml:space="preserve">Fail</w:t>
      </w:r>
    </w:p>
    <w:p>
      <w:pPr>
        <w:pStyle w:val="BodyText"/>
      </w:pPr>
      <w:r>
        <w:t xml:space="preserve">Respondents’ alternative grounds for affirmance—that FAI cannot establish the elements of contractual or economic interference—collapse under the record. FAI had enforceable contracts and valid economic relationships with thousands of customers. Respondents intentionally and wrongfully obstructed those relationships, causing substantial economic damage. And public policy, especially in the context of constitutionally protected commerce, demands a remedy.</w:t>
      </w:r>
    </w:p>
    <w:p>
      <w:pPr>
        <w:pStyle w:val="BodyText"/>
      </w:pPr>
      <w:r>
        <w:t xml:space="preserve">As to each of the interference torts, Respondents failed to carry their burden on summary judgment. They did not prove that there is no material fact in dispute or that they were entitled to judgment as a matter of law. Their “no contract” theory ignores that customer deposits created enforceable commitments. Their “speculative injury” claim disregards concrete evidence of deposits, refunds, and lost sales. And their insistence that no independently wrongful act occurred cannot be squared with DOJ officials’ deliberate obstruction of lawful (constitutionally protected) commerce. This Court should reject Respondents’ request for affirmance on these alternative grounds.</w:t>
      </w:r>
    </w:p>
    <w:p>
      <w:pPr>
        <w:keepNext/>
        <w:keepLines/>
        <w:spacing w:before="260" w:after="208" w:line="312" w:lineRule="exact"/>
        <w:ind w:left="2160" w:hanging="720"/>
        <w:jc w:val="left"/>
      </w:pPr>
      <w:r>
        <w:rPr>
          <w:b/>
          <w:bCs/>
          <w:i/>
          <w:iCs/>
        </w:rPr>
        <w:t xml:space="preserve">1.</w:t>
      </w:r>
      <w:r>
        <w:rPr>
          <w:b/>
          <w:bCs/>
          <w:i/>
          <w:iCs/>
        </w:rPr>
        <w:tab/>
      </w:r>
      <w:r>
        <w:rPr>
          <w:b/>
          <w:bCs/>
          <w:i/>
          <w:iCs/>
        </w:rPr>
        <w:t xml:space="preserve">FAI</w:t>
      </w:r>
      <w:r>
        <w:rPr>
          <w:b/>
          <w:bCs/>
          <w:i/>
          <w:iCs/>
        </w:rPr>
        <w:t xml:space="preserve"> </w:t>
      </w:r>
      <w:r>
        <w:rPr>
          <w:b/>
          <w:bCs/>
          <w:i/>
          <w:iCs/>
        </w:rPr>
        <w:t xml:space="preserve">had</w:t>
      </w:r>
      <w:r>
        <w:rPr>
          <w:b/>
          <w:bCs/>
          <w:i/>
          <w:iCs/>
        </w:rPr>
        <w:t xml:space="preserve"> </w:t>
      </w:r>
      <w:r>
        <w:rPr>
          <w:b/>
          <w:bCs/>
          <w:i/>
          <w:iCs/>
        </w:rPr>
        <w:t xml:space="preserve">valid</w:t>
      </w:r>
      <w:r>
        <w:rPr>
          <w:b/>
          <w:bCs/>
          <w:i/>
          <w:iCs/>
        </w:rPr>
        <w:t xml:space="preserve"> </w:t>
      </w:r>
      <w:r>
        <w:rPr>
          <w:b/>
          <w:bCs/>
          <w:i/>
          <w:iCs/>
        </w:rPr>
        <w:t xml:space="preserve">economic</w:t>
      </w:r>
      <w:r>
        <w:rPr>
          <w:b/>
          <w:bCs/>
          <w:i/>
          <w:iCs/>
        </w:rPr>
        <w:t xml:space="preserve"> </w:t>
      </w:r>
      <w:r>
        <w:rPr>
          <w:b/>
          <w:bCs/>
          <w:i/>
          <w:iCs/>
        </w:rPr>
        <w:t xml:space="preserve">relationships</w:t>
      </w:r>
      <w:r>
        <w:rPr>
          <w:b/>
          <w:bCs/>
          <w:i/>
          <w:iCs/>
        </w:rPr>
        <w:t xml:space="preserve"> </w:t>
      </w:r>
      <w:r>
        <w:rPr>
          <w:b/>
          <w:bCs/>
          <w:i/>
          <w:iCs/>
        </w:rPr>
        <w:t xml:space="preserve">with</w:t>
      </w:r>
      <w:r>
        <w:rPr>
          <w:b/>
          <w:bCs/>
          <w:i/>
          <w:iCs/>
        </w:rPr>
        <w:t xml:space="preserve"> </w:t>
      </w:r>
      <w:r>
        <w:rPr>
          <w:b/>
          <w:bCs/>
          <w:i/>
          <w:iCs/>
        </w:rPr>
        <w:t xml:space="preserve">thousands</w:t>
      </w:r>
      <w:r>
        <w:rPr>
          <w:b/>
          <w:bCs/>
          <w:i/>
          <w:iCs/>
        </w:rPr>
        <w:t xml:space="preserve"> </w:t>
      </w:r>
      <w:r>
        <w:rPr>
          <w:b/>
          <w:bCs/>
          <w:i/>
          <w:iCs/>
        </w:rPr>
        <w:t xml:space="preserve">of</w:t>
      </w:r>
      <w:r>
        <w:rPr>
          <w:b/>
          <w:bCs/>
          <w:i/>
          <w:iCs/>
        </w:rPr>
        <w:t xml:space="preserve"> </w:t>
      </w:r>
      <w:r>
        <w:rPr>
          <w:b/>
          <w:bCs/>
          <w:i/>
          <w:iCs/>
        </w:rPr>
        <w:t xml:space="preserve">buyers.</w:t>
      </w:r>
    </w:p>
    <w:p>
      <w:pPr>
        <w:pStyle w:val="BodyText"/>
      </w:pPr>
      <w:r>
        <w:t xml:space="preserve">Respondents contend that no valid contract existed because FAI’s pre-order deposits were refundable, the customers were not obligated to complete their purchase, and shipment of the firearms was contingent on completion of the full sale. (R.B., pp. 56-⁠57.) This caricature of the record fails legally and factually.</w:t>
      </w:r>
    </w:p>
    <w:p>
      <w:pPr>
        <w:pStyle w:val="BodyText"/>
      </w:pPr>
      <w:r>
        <w:t xml:space="preserve">First, California law recognizes that valid contracts may exist even if performance is contingent or subject to cancellation. The touchstone is not whether cancellation was possible, but whether the parties intended to enter a binding agreement supported by consideration. (See, e.g.,</w:t>
      </w:r>
      <w:r>
        <w:t xml:space="preserve"> </w:t>
      </w:r>
      <w:r>
        <w:rPr>
          <w:i/>
          <w:iCs/>
        </w:rPr>
        <w:t xml:space="preserve">Patel</w:t>
      </w:r>
      <w:r>
        <w:rPr>
          <w:i/>
          <w:iCs/>
        </w:rPr>
        <w:t xml:space="preserve"> </w:t>
      </w:r>
      <w:r>
        <w:rPr>
          <w:i/>
          <w:iCs/>
        </w:rPr>
        <w:t xml:space="preserve">v. Liebermensch</w:t>
      </w:r>
      <w:r>
        <w:t xml:space="preserve"> </w:t>
      </w:r>
      <w:r>
        <w:t xml:space="preserve">(2008) 45 Cal.4th 344, 349 [option contract enforceable so long as “essential terms” exist];</w:t>
      </w:r>
      <w:r>
        <w:t xml:space="preserve"> </w:t>
      </w:r>
      <w:r>
        <w:rPr>
          <w:i/>
          <w:iCs/>
        </w:rPr>
        <w:t xml:space="preserve">See also</w:t>
      </w:r>
      <w:r>
        <w:t xml:space="preserve"> </w:t>
      </w:r>
      <w:r>
        <w:t xml:space="preserve">1</w:t>
      </w:r>
      <w:r>
        <w:t xml:space="preserve"> </w:t>
      </w:r>
      <w:r>
        <w:t xml:space="preserve">Williston on Contracts (4th ed.) § 3:7 [parties must “have a present intention to be bound by their agreement”].)</w:t>
      </w:r>
    </w:p>
    <w:p>
      <w:pPr>
        <w:pStyle w:val="BodyTextNote"/>
      </w:pPr>
      <w:r>
        <w:t xml:space="preserve">Here, roughly 35,000 customers paid earnest money deposits to secure the right to purchase a Title 1® firearm, ranging from $5 to the full purchase price of $944.99. (A.A.VI 999, citing A.A.VI 1080, 1103-⁠1104.) That deposit was legal consideration. FAI, in turn, promised to fulfill those orders once the DOJ removed the unlawful barrier to doing so. (A.A.VI 1021, citing A.A. VI 1080, A.A.XVI 1704-⁠1705, 17710-⁠1711, A.A.XVII 1720.)</w:t>
      </w:r>
      <w:r>
        <w:rPr>
          <w:rStyle w:val="FootnoteReference"/>
        </w:rPr>
        <w:footnoteReference w:id="12"/>
      </w:r>
      <w:r>
        <w:t xml:space="preserve"> </w:t>
      </w:r>
      <w:r>
        <w:t xml:space="preserve">That enforceable obligation was not illusory merely because customers could later elect to cancel. On the contrary, courts have long held that a money deposit can bind the seller, even if the buyer may withdraw later. (See, e.g.,</w:t>
      </w:r>
      <w:r>
        <w:t xml:space="preserve"> </w:t>
      </w:r>
      <w:r>
        <w:rPr>
          <w:i/>
          <w:iCs/>
        </w:rPr>
        <w:t xml:space="preserve">Jones</w:t>
      </w:r>
      <w:r>
        <w:rPr>
          <w:i/>
          <w:iCs/>
        </w:rPr>
        <w:t xml:space="preserve"> </w:t>
      </w:r>
      <w:r>
        <w:rPr>
          <w:i/>
          <w:iCs/>
        </w:rPr>
        <w:t xml:space="preserve">v. Wide World of Cars, Inc.</w:t>
      </w:r>
      <w:r>
        <w:t xml:space="preserve"> </w:t>
      </w:r>
      <w:r>
        <w:t xml:space="preserve">(S.D.N.Y. 1993) 820 F.Supp. 132, 136 [“[I]t is the recipient accepting a down payment, not a buyer parting with the money, who may be bound.”];</w:t>
      </w:r>
      <w:r>
        <w:t xml:space="preserve"> </w:t>
      </w:r>
      <w:r>
        <w:rPr>
          <w:i/>
          <w:iCs/>
        </w:rPr>
        <w:t xml:space="preserve">CareandWear</w:t>
      </w:r>
      <w:r>
        <w:rPr>
          <w:i/>
          <w:iCs/>
        </w:rPr>
        <w:t xml:space="preserve"> </w:t>
      </w:r>
      <w:r>
        <w:rPr>
          <w:i/>
          <w:iCs/>
        </w:rPr>
        <w:t xml:space="preserve">II, Inc. v. Nexcha L.L.C.</w:t>
      </w:r>
      <w:r>
        <w:t xml:space="preserve"> </w:t>
      </w:r>
      <w:r>
        <w:t xml:space="preserve">(S.D.N.Y. 2022) 581 F.Supp.3d 553, 557 [“[P]urchase orders are sufficient … to confirm the existence of a contract between the parties.”].) As the California Supreme Court explained in</w:t>
      </w:r>
      <w:r>
        <w:t xml:space="preserve"> </w:t>
      </w:r>
      <w:r>
        <w:rPr>
          <w:i/>
          <w:iCs/>
        </w:rPr>
        <w:t xml:space="preserve">Steiner</w:t>
      </w:r>
      <w:r>
        <w:rPr>
          <w:i/>
          <w:iCs/>
        </w:rPr>
        <w:t xml:space="preserve"> </w:t>
      </w:r>
      <w:r>
        <w:rPr>
          <w:i/>
          <w:iCs/>
        </w:rPr>
        <w:t xml:space="preserve">v. Thexton</w:t>
      </w:r>
      <w:r>
        <w:t xml:space="preserve"> </w:t>
      </w:r>
      <w:r>
        <w:t xml:space="preserve">(2010) 48 Cal.4th 411:</w:t>
      </w:r>
    </w:p>
    <w:p>
      <w:pPr>
        <w:pStyle w:val="XdQuoteOnly"/>
      </w:pPr>
      <w:r>
        <w:t xml:space="preserve">[W]hen an offer for a unilateral contract is made (as in the case of an option) “‘and part of the consideration requested in the offer is given or tendered by the offeree in response thereto, the offeror is bound by a contract, the duty of immediate performance of which is conditional on the full consideration being given or tendered within the time stated in the offer.’”</w:t>
      </w:r>
    </w:p>
    <w:p>
      <w:pPr>
        <w:pStyle w:val="BodyText"/>
      </w:pPr>
      <w:r>
        <w:t xml:space="preserve">(Id. at pp. 423-⁠424, quoting</w:t>
      </w:r>
      <w:r>
        <w:t xml:space="preserve"> </w:t>
      </w:r>
      <w:r>
        <w:rPr>
          <w:i/>
          <w:iCs/>
        </w:rPr>
        <w:t xml:space="preserve">Drennan</w:t>
      </w:r>
      <w:r>
        <w:rPr>
          <w:i/>
          <w:iCs/>
        </w:rPr>
        <w:t xml:space="preserve"> </w:t>
      </w:r>
      <w:r>
        <w:rPr>
          <w:i/>
          <w:iCs/>
        </w:rPr>
        <w:t xml:space="preserve">v. Star Paving Co.</w:t>
      </w:r>
      <w:r>
        <w:t xml:space="preserve"> </w:t>
      </w:r>
      <w:r>
        <w:t xml:space="preserve">(1958) 51 Cal.2d 409, 414.) That is precisely what occurred here. Customers tendered deposits, and FAI was bound to honor those orders once the transfers became legally possible.</w:t>
      </w:r>
    </w:p>
    <w:p>
      <w:pPr>
        <w:pStyle w:val="BodyText"/>
      </w:pPr>
      <w:r>
        <w:t xml:space="preserve">Respondents claim that FAI “admit[ed] there was no intent to ship any Title 1 firearm and a person would have to complete the full purchase before [FAI] would ship it.” (R.B., p. 57.) That assertion is unsupported by the record and defies common sense. FAI brought the Title 1® to market to sell and ship it to California customers. Indeed, the company accepted deposits and stood ready to complete deliveries—the only obstacle was Respondents’ deliberate refusal to maintain a fully functional DES. To suggest that a manufacturer would invest in designing and marketing a new firearm specifically for the California market and accept thousands of deposits for the purchase of those guns without ever intending to ship them is, frankly, not a serious argument.</w:t>
      </w:r>
    </w:p>
    <w:p>
      <w:pPr>
        <w:pStyle w:val="BodyText"/>
      </w:pPr>
      <w:r>
        <w:t xml:space="preserve">Finally, even if Respondents were correct that the contracts were somehow insufficient to support a claim for interference with contractual relations, FAI also pled interference with prospective economic advantage. (A.A.II 150-⁠153.) That tort requires only “an economic relationship that contains the probability of future economic benefit.” (</w:t>
      </w:r>
      <w:r>
        <w:rPr>
          <w:i/>
          <w:iCs/>
        </w:rPr>
        <w:t xml:space="preserve">Roy</w:t>
      </w:r>
      <w:r>
        <w:rPr>
          <w:i/>
          <w:iCs/>
        </w:rPr>
        <w:t xml:space="preserve"> </w:t>
      </w:r>
      <w:r>
        <w:rPr>
          <w:i/>
          <w:iCs/>
        </w:rPr>
        <w:t xml:space="preserve">Allan Slurry Seal, Inc. v. Am. Asphalt S., Inc.</w:t>
      </w:r>
      <w:r>
        <w:t xml:space="preserve"> </w:t>
      </w:r>
      <w:r>
        <w:t xml:space="preserve">(2017) 2 Cal.5th 505, 512 (</w:t>
      </w:r>
      <w:r>
        <w:rPr>
          <w:i/>
          <w:iCs/>
        </w:rPr>
        <w:t xml:space="preserve">Roy Allan</w:t>
      </w:r>
      <w:r>
        <w:t xml:space="preserve">).) At the very least, FAI had protectable economic relationships with thousands of prospective buyers who had manifested their intent to buy a Title 1® and put down money to do so. As the trial court itself found, “placing a deposit is an overt act towards making a purchase and sufficiently creates a probability that [FAI] will profit from a sale.” (A.A.V 724.) That is enough to establish that FAI “had existing economic relationships with its customers” to sustain an interference claim. (A.A.V 724.) Respondents’ attempt to trivialize those relationships ignores reality.</w:t>
      </w:r>
    </w:p>
    <w:p>
      <w:pPr>
        <w:pStyle w:val="BodyText"/>
      </w:pPr>
      <w:r>
        <w:t xml:space="preserve">In short, Respondents’ “no contract” theory is both legally wrong and factually baseless. The deposits created enforceable commitments and, at a minimum, actual prospective relationships.</w:t>
      </w:r>
    </w:p>
    <w:p>
      <w:pPr>
        <w:keepNext/>
        <w:keepLines/>
        <w:spacing w:before="260" w:after="208" w:line="312" w:lineRule="exact"/>
        <w:ind w:left="2160" w:hanging="720"/>
        <w:jc w:val="left"/>
      </w:pPr>
      <w:r>
        <w:rPr>
          <w:b/>
          <w:bCs/>
          <w:i/>
          <w:iCs/>
        </w:rPr>
        <w:t xml:space="preserve">2.</w:t>
      </w:r>
      <w:r>
        <w:rPr>
          <w:b/>
          <w:bCs/>
          <w:i/>
          <w:iCs/>
        </w:rPr>
        <w:tab/>
      </w:r>
      <w:r>
        <w:rPr>
          <w:b/>
          <w:bCs/>
          <w:i/>
          <w:iCs/>
        </w:rPr>
        <w:t xml:space="preserve">Respondents</w:t>
      </w:r>
      <w:r>
        <w:rPr>
          <w:b/>
          <w:bCs/>
          <w:i/>
          <w:iCs/>
        </w:rPr>
        <w:t xml:space="preserve"> </w:t>
      </w:r>
      <w:r>
        <w:rPr>
          <w:b/>
          <w:bCs/>
          <w:i/>
          <w:iCs/>
        </w:rPr>
        <w:t xml:space="preserve">intentionally</w:t>
      </w:r>
      <w:r>
        <w:rPr>
          <w:b/>
          <w:bCs/>
          <w:i/>
          <w:iCs/>
        </w:rPr>
        <w:t xml:space="preserve"> </w:t>
      </w:r>
      <w:r>
        <w:rPr>
          <w:b/>
          <w:bCs/>
          <w:i/>
          <w:iCs/>
        </w:rPr>
        <w:t xml:space="preserve">interfered</w:t>
      </w:r>
      <w:r>
        <w:rPr>
          <w:b/>
          <w:bCs/>
          <w:i/>
          <w:iCs/>
        </w:rPr>
        <w:t xml:space="preserve"> </w:t>
      </w:r>
      <w:r>
        <w:rPr>
          <w:b/>
          <w:bCs/>
          <w:i/>
          <w:iCs/>
        </w:rPr>
        <w:t xml:space="preserve">with</w:t>
      </w:r>
      <w:r>
        <w:rPr>
          <w:b/>
          <w:bCs/>
          <w:i/>
          <w:iCs/>
        </w:rPr>
        <w:t xml:space="preserve"> </w:t>
      </w:r>
      <w:r>
        <w:rPr>
          <w:b/>
          <w:bCs/>
          <w:i/>
          <w:iCs/>
        </w:rPr>
        <w:t xml:space="preserve">FAI’s</w:t>
      </w:r>
      <w:r>
        <w:rPr>
          <w:b/>
          <w:bCs/>
          <w:i/>
          <w:iCs/>
        </w:rPr>
        <w:t xml:space="preserve"> </w:t>
      </w:r>
      <w:r>
        <w:rPr>
          <w:b/>
          <w:bCs/>
          <w:i/>
          <w:iCs/>
        </w:rPr>
        <w:t xml:space="preserve">contractual</w:t>
      </w:r>
      <w:r>
        <w:rPr>
          <w:b/>
          <w:bCs/>
          <w:i/>
          <w:iCs/>
        </w:rPr>
        <w:t xml:space="preserve"> </w:t>
      </w:r>
      <w:r>
        <w:rPr>
          <w:b/>
          <w:bCs/>
          <w:i/>
          <w:iCs/>
        </w:rPr>
        <w:t xml:space="preserve">and</w:t>
      </w:r>
      <w:r>
        <w:rPr>
          <w:b/>
          <w:bCs/>
          <w:i/>
          <w:iCs/>
        </w:rPr>
        <w:t xml:space="preserve"> </w:t>
      </w:r>
      <w:r>
        <w:rPr>
          <w:b/>
          <w:bCs/>
          <w:i/>
          <w:iCs/>
        </w:rPr>
        <w:t xml:space="preserve">economic</w:t>
      </w:r>
      <w:r>
        <w:rPr>
          <w:b/>
          <w:bCs/>
          <w:i/>
          <w:iCs/>
        </w:rPr>
        <w:t xml:space="preserve"> </w:t>
      </w:r>
      <w:r>
        <w:rPr>
          <w:b/>
          <w:bCs/>
          <w:i/>
          <w:iCs/>
        </w:rPr>
        <w:t xml:space="preserve">relationships.</w:t>
      </w:r>
    </w:p>
    <w:p>
      <w:pPr>
        <w:pStyle w:val="BodyText"/>
      </w:pPr>
      <w:r>
        <w:t xml:space="preserve">Respondents next claim that no “intentional act” occurred because the DES drop-down menu predated Title 1® and Respondents’ failure to take any action to correct the DES defect That is wrong twice over. (R.B., pp. 57-⁠58.)</w:t>
      </w:r>
    </w:p>
    <w:p>
      <w:pPr>
        <w:pStyle w:val="BodyText"/>
      </w:pPr>
      <w:r>
        <w:t xml:space="preserve">First, Respondents argue “that the act of setting up the DES drop-down menu without the ‘other’ option could not logically have been an intentional act designed to interfere with the sales of a gun that would not be offered for sale until years later.” (R.B., p. 57, citing</w:t>
      </w:r>
      <w:r>
        <w:t xml:space="preserve"> </w:t>
      </w:r>
      <w:r>
        <w:rPr>
          <w:i/>
          <w:iCs/>
        </w:rPr>
        <w:t xml:space="preserve">Nanko</w:t>
      </w:r>
      <w:r>
        <w:rPr>
          <w:i/>
          <w:iCs/>
        </w:rPr>
        <w:t xml:space="preserve"> </w:t>
      </w:r>
      <w:r>
        <w:rPr>
          <w:i/>
          <w:iCs/>
        </w:rPr>
        <w:t xml:space="preserve">Shipping v. Alcoa Inc.</w:t>
      </w:r>
      <w:r>
        <w:t xml:space="preserve"> </w:t>
      </w:r>
      <w:r>
        <w:t xml:space="preserve">(D.C. Cir. 2015) 107 F.Supp.3rd 174, 182-⁠183 (</w:t>
      </w:r>
      <w:r>
        <w:rPr>
          <w:i/>
          <w:iCs/>
        </w:rPr>
        <w:t xml:space="preserve">Nanko Shipping</w:t>
      </w:r>
      <w:r>
        <w:t xml:space="preserve">), reversed on other grounds in</w:t>
      </w:r>
      <w:r>
        <w:t xml:space="preserve"> </w:t>
      </w:r>
      <w:r>
        <w:rPr>
          <w:i/>
          <w:iCs/>
        </w:rPr>
        <w:t xml:space="preserve">Nanko Shipping, USA v. Alcoa, Inc.</w:t>
      </w:r>
      <w:r>
        <w:t xml:space="preserve"> </w:t>
      </w:r>
      <w:r>
        <w:t xml:space="preserve">(D.C. Cir. 2017)850 F.3d 461, 467.) But here, the interference occurred when FAI sought to conduct business, not when the DES was first coded. By October 2019, FAI had launched the Title 1®, and Respondents knew of its existence. (A.A.VI 1019-⁠1020 [citing evidence].) FAI had also expressly notified Respondents that the DES, as configured, could not process the transfer of these legal firearms. (A.A.V 1020, citing A.A.VI 1035, 1037-⁠1043.) At that point, Respondents made an affirmative decision to refuse to modify the DES and thereby to block the lawful transfer of FAI’s Title 1s®. As the trial court held:</w:t>
      </w:r>
    </w:p>
    <w:p>
      <w:pPr>
        <w:pStyle w:val="XdQuoteOnly"/>
      </w:pPr>
      <w:r>
        <w:t xml:space="preserve">[Respondents] were under a Penal Code mandate to provide a reporting system for ‘all firearms,’ … [I]mplementing a reporting system that excludes a particular type of firearm that was legal to sell at the time, and required to be reported, constitutes an intentional act designed to prevent the sale of those firearms, and thereby interferes with the alleged sale contracts.</w:t>
      </w:r>
    </w:p>
    <w:p>
      <w:pPr>
        <w:pStyle w:val="BodyText"/>
      </w:pPr>
      <w:r>
        <w:t xml:space="preserve">(A.A.V 723, italics added.) The trial court’s findings were correct.</w:t>
      </w:r>
    </w:p>
    <w:p>
      <w:pPr>
        <w:pStyle w:val="BodyText"/>
      </w:pPr>
      <w:r>
        <w:t xml:space="preserve">Still, Respondents claim that their inaction cannot be considered an intentional act of interference. (R.B., p. 58.) But the only authority Respondents cite is a federal district case from Washington, D.C. (R.B., pp. 57-⁠58, citing</w:t>
      </w:r>
      <w:r>
        <w:t xml:space="preserve"> </w:t>
      </w:r>
      <w:r>
        <w:rPr>
          <w:i/>
          <w:iCs/>
        </w:rPr>
        <w:t xml:space="preserve">Nanko Shipping</w:t>
      </w:r>
      <w:r>
        <w:t xml:space="preserve">,</w:t>
      </w:r>
      <w:r>
        <w:t xml:space="preserve"> </w:t>
      </w:r>
      <w:r>
        <w:rPr>
          <w:i/>
          <w:iCs/>
        </w:rPr>
        <w:t xml:space="preserve">supra</w:t>
      </w:r>
      <w:r>
        <w:t xml:space="preserve">, 107 F. Supp.3d at pp. 182-⁠183.) FAI knows of no California authority holding that a deliberate refusal to act cannot qualify as an “intentional act” for purposes of an intentional interference with contract claim. And some jurisdictions have expressly held that it can be. (See, e.g.,</w:t>
      </w:r>
      <w:r>
        <w:t xml:space="preserve"> </w:t>
      </w:r>
      <w:r>
        <w:rPr>
          <w:i/>
          <w:iCs/>
        </w:rPr>
        <w:t xml:space="preserve">Gym</w:t>
      </w:r>
      <w:r>
        <w:rPr>
          <w:i/>
          <w:iCs/>
        </w:rPr>
        <w:t xml:space="preserve"> </w:t>
      </w:r>
      <w:r>
        <w:rPr>
          <w:i/>
          <w:iCs/>
        </w:rPr>
        <w:t xml:space="preserve">Door Repairs, Inc. v. Young Equip. Sales, Inc.</w:t>
      </w:r>
      <w:r>
        <w:t xml:space="preserve"> </w:t>
      </w:r>
      <w:r>
        <w:t xml:space="preserve">(S.D.N.Y. 2016) 206 F.Supp.3d 869, 910, [“A tortious interference with prospective economic advantage ‘claim begins to run when the defendant performs the action (or inaction) that constitutes the alleged interference.’”], bold and italics added.)</w:t>
      </w:r>
    </w:p>
    <w:p>
      <w:pPr>
        <w:pStyle w:val="BodyText"/>
      </w:pPr>
      <w:r>
        <w:t xml:space="preserve">Regardless, FAI does “not merely allege that DOJ sat idly by while certain consumers were unable to purchase Title 1 firearms.” (A.A.V 723.) Instead, they argue that Respondents “intentionally excluded Title 1 firearms from DES to delay their transfer until the Legislature could pass SB 118.” (A.A.V 723.) As the trial court held, this “sufficiently constitutes an intentional act.” (A.A.V 723.) What’s more, FAI established facts tending to prove that is exactly what Respondents did. The record shows that Respondents were working on a DES enhancement that would have allowed Title 1s® to be transferred in early 2020. (A.A.V 1012 [citing evidence]; A.A.V 1021-⁠1022 [citing evidence].) The DOJ had virtually completed that fix. (A.A.V. 1022 [citing evidence].</w:t>
      </w:r>
      <w:r>
        <w:t xml:space="preserve"> </w:t>
      </w:r>
      <w:r>
        <w:rPr>
          <w:i/>
          <w:iCs/>
        </w:rPr>
        <w:t xml:space="preserve">See also</w:t>
      </w:r>
      <w:r>
        <w:t xml:space="preserve"> </w:t>
      </w:r>
      <w:r>
        <w:t xml:space="preserve">RJN, Ex. B.) Yet rather than implement that fix, which only took months to complete, the DOJ stalled it until SB 118 could pass. (A.A.V 1022-⁠1024 [citing evidence].) The undisputed timeline, combined with the unorthodox process by which SB 118 was proposed and adopted (see A.A.V 1022-⁠1024 [citing evidence]), establishes that Respondents intentionally delayed the fix until SB 118 could take effect, preventing centerfire Title 1® transfers from ever being completed. Respondents may dispute that conclusion. But, at a minimum, that means there is a dispute over whether Respondents deliberately delayed fixing the DES to block lawful transfers of FAI legal firearms, making summary judgment improper.</w:t>
      </w:r>
    </w:p>
    <w:p>
      <w:pPr>
        <w:pStyle w:val="BodyText"/>
      </w:pPr>
      <w:r>
        <w:t xml:space="preserve">Finally, without citing any authority, Respondents argue that “there must be a statutory basis establishing a mandatory duty to modify DES” for FAI to establish an intentional act. (R.B., p. 58.) While it is unclear if that is an accurate statement of the law, it does not matter because a mandatory duty existed. (See Part A,</w:t>
      </w:r>
      <w:r>
        <w:t xml:space="preserve"> </w:t>
      </w:r>
      <w:r>
        <w:rPr>
          <w:i/>
          <w:iCs/>
        </w:rPr>
        <w:t xml:space="preserve">supra</w:t>
      </w:r>
      <w:r>
        <w:t xml:space="preserve">.)</w:t>
      </w:r>
    </w:p>
    <w:p>
      <w:pPr>
        <w:keepNext/>
        <w:keepLines/>
        <w:spacing w:before="260" w:after="208" w:line="312" w:lineRule="exact"/>
        <w:ind w:left="2160" w:hanging="720"/>
        <w:jc w:val="left"/>
      </w:pPr>
      <w:r>
        <w:rPr>
          <w:b/>
          <w:bCs/>
          <w:i/>
          <w:iCs/>
        </w:rPr>
        <w:t xml:space="preserve">3.</w:t>
      </w:r>
      <w:r>
        <w:rPr>
          <w:b/>
          <w:bCs/>
          <w:i/>
          <w:iCs/>
        </w:rPr>
        <w:tab/>
      </w:r>
      <w:r>
        <w:rPr>
          <w:b/>
          <w:bCs/>
          <w:i/>
          <w:iCs/>
        </w:rPr>
        <w:t xml:space="preserve">Respondents’</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“independently</w:t>
      </w:r>
      <w:r>
        <w:rPr>
          <w:b/>
          <w:bCs/>
          <w:i/>
          <w:iCs/>
        </w:rPr>
        <w:t xml:space="preserve"> </w:t>
      </w:r>
      <w:r>
        <w:rPr>
          <w:b/>
          <w:bCs/>
          <w:i/>
          <w:iCs/>
        </w:rPr>
        <w:t xml:space="preserve">wrongful”</w:t>
      </w:r>
    </w:p>
    <w:p>
      <w:pPr>
        <w:pStyle w:val="BodyText"/>
      </w:pPr>
      <w:r>
        <w:t xml:space="preserve">To maintain a claim for interference with prospective economic advantage, FAI must demonstrate that Respondents engaged in an independently wrongful act. (</w:t>
      </w:r>
      <w:r>
        <w:rPr>
          <w:i/>
          <w:iCs/>
        </w:rPr>
        <w:t xml:space="preserve">Korea</w:t>
      </w:r>
      <w:r>
        <w:rPr>
          <w:i/>
          <w:iCs/>
        </w:rPr>
        <w:t xml:space="preserve"> </w:t>
      </w:r>
      <w:r>
        <w:rPr>
          <w:i/>
          <w:iCs/>
        </w:rPr>
        <w:t xml:space="preserve">Supply Co. v. Lockheed Martin Corp.</w:t>
      </w:r>
      <w:r>
        <w:t xml:space="preserve"> </w:t>
      </w:r>
      <w:r>
        <w:t xml:space="preserve">(2003) 29 Cal.4th 1134, 1158 (</w:t>
      </w:r>
      <w:r>
        <w:rPr>
          <w:i/>
          <w:iCs/>
        </w:rPr>
        <w:t xml:space="preserve">Korea Supply</w:t>
      </w:r>
      <w:r>
        <w:t xml:space="preserve">).) “[A]n act is independently wrongful if it is unlawful, that is, if it is proscribed by some constitutional, statutory, regulatory, common law, or other determinable legal standard.” (</w:t>
      </w:r>
      <w:r>
        <w:rPr>
          <w:i/>
          <w:iCs/>
        </w:rPr>
        <w:t xml:space="preserve">Id.</w:t>
      </w:r>
      <w:r>
        <w:t xml:space="preserve"> </w:t>
      </w:r>
      <w:r>
        <w:t xml:space="preserve">at p. 1159.) The trial court already correctly held that Respondents’ failure to provide a method by which Title 1® firearms could be legally transferred met that test. (A.A.V 724.)</w:t>
      </w:r>
    </w:p>
    <w:p>
      <w:pPr>
        <w:pStyle w:val="BodyText"/>
      </w:pPr>
      <w:r>
        <w:t xml:space="preserve">Respondents insist, however, that FAI cannot prove this element because no statute expressly required them to modify the DES. (R.B., pp. 59-⁠60.) The argument misses the point. Interference liability does not turn on the existence of a mandatory duty. It turns on whether Respondents engaged in conduct that is unlawful by some measure other than the interference itself. (</w:t>
      </w:r>
      <w:r>
        <w:rPr>
          <w:i/>
          <w:iCs/>
        </w:rPr>
        <w:t xml:space="preserve">Ixchel</w:t>
      </w:r>
      <w:r>
        <w:rPr>
          <w:i/>
          <w:iCs/>
        </w:rPr>
        <w:t xml:space="preserve"> </w:t>
      </w:r>
      <w:r>
        <w:rPr>
          <w:i/>
          <w:iCs/>
        </w:rPr>
        <w:t xml:space="preserve">Pharma, LLC v. Biogen, Inc.</w:t>
      </w:r>
      <w:r>
        <w:t xml:space="preserve"> </w:t>
      </w:r>
      <w:r>
        <w:t xml:space="preserve">(2020) 9 Cal.5th 1130, 1142). Here, they did just that. By deliberately blocking transfers of a firearm the Legislature had not yet banned, Respondents exceeded their statutory authority, deprived FAI and its customers of due process, and interfered with lawful firearms commerce. Agencies cannot impose de facto bans the Legislature did not enact. That is “independently wrongful” conduct.</w:t>
      </w:r>
    </w:p>
    <w:p>
      <w:pPr>
        <w:keepNext/>
        <w:keepLines/>
        <w:spacing w:before="260" w:after="208" w:line="312" w:lineRule="exact"/>
        <w:ind w:left="2160" w:hanging="720"/>
        <w:jc w:val="left"/>
      </w:pPr>
      <w:r>
        <w:rPr>
          <w:b/>
          <w:bCs/>
          <w:i/>
          <w:iCs/>
        </w:rPr>
        <w:t xml:space="preserve">4.</w:t>
      </w:r>
      <w:r>
        <w:rPr>
          <w:b/>
          <w:bCs/>
          <w:i/>
          <w:iCs/>
        </w:rPr>
        <w:tab/>
      </w:r>
      <w:r>
        <w:rPr>
          <w:b/>
          <w:bCs/>
          <w:i/>
          <w:iCs/>
        </w:rPr>
        <w:t xml:space="preserve">Respondents’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Roy</w:t>
      </w:r>
      <w:r>
        <w:rPr>
          <w:b/>
          <w:bCs/>
          <w:i/>
          <w:iCs/>
        </w:rPr>
        <w:t xml:space="preserve"> </w:t>
      </w:r>
      <w:r>
        <w:rPr>
          <w:b/>
          <w:bCs/>
          <w:i/>
          <w:iCs/>
        </w:rPr>
        <w:t xml:space="preserve">Allan</w:t>
      </w:r>
      <w:r>
        <w:rPr>
          <w:b/>
          <w:bCs/>
          <w:i/>
          <w:iCs/>
        </w:rPr>
        <w:t xml:space="preserve"> </w:t>
      </w:r>
      <w:r>
        <w:rPr>
          <w:b/>
          <w:bCs/>
          <w:i/>
          <w:iCs/>
        </w:rPr>
        <w:t xml:space="preserve">is</w:t>
      </w:r>
      <w:r>
        <w:rPr>
          <w:b/>
          <w:bCs/>
          <w:i/>
          <w:iCs/>
        </w:rPr>
        <w:t xml:space="preserve"> </w:t>
      </w:r>
      <w:r>
        <w:rPr>
          <w:b/>
          <w:bCs/>
          <w:i/>
          <w:iCs/>
        </w:rPr>
        <w:t xml:space="preserve">misplaced;</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favors</w:t>
      </w:r>
      <w:r>
        <w:rPr>
          <w:b/>
          <w:bCs/>
          <w:i/>
          <w:iCs/>
        </w:rPr>
        <w:t xml:space="preserve"> </w:t>
      </w:r>
      <w:r>
        <w:rPr>
          <w:b/>
          <w:bCs/>
          <w:i/>
          <w:iCs/>
        </w:rPr>
        <w:t xml:space="preserve">liability</w:t>
      </w:r>
      <w:r>
        <w:rPr>
          <w:b/>
          <w:bCs/>
          <w:i/>
          <w:iCs/>
        </w:rPr>
        <w:t xml:space="preserve"> </w:t>
      </w:r>
      <w:r>
        <w:rPr>
          <w:b/>
          <w:bCs/>
          <w:i/>
          <w:iCs/>
        </w:rPr>
        <w:t xml:space="preserve">for</w:t>
      </w:r>
      <w:r>
        <w:rPr>
          <w:b/>
          <w:bCs/>
          <w:i/>
          <w:iCs/>
        </w:rPr>
        <w:t xml:space="preserve"> </w:t>
      </w:r>
      <w:r>
        <w:rPr>
          <w:b/>
          <w:bCs/>
          <w:i/>
          <w:iCs/>
        </w:rPr>
        <w:t xml:space="preserve">interference</w:t>
      </w:r>
      <w:r>
        <w:rPr>
          <w:b/>
          <w:bCs/>
          <w:i/>
          <w:iCs/>
        </w:rPr>
        <w:t xml:space="preserve"> </w:t>
      </w:r>
      <w:r>
        <w:rPr>
          <w:b/>
          <w:bCs/>
          <w:i/>
          <w:iCs/>
        </w:rPr>
        <w:t xml:space="preserve">with</w:t>
      </w:r>
      <w:r>
        <w:rPr>
          <w:b/>
          <w:bCs/>
          <w:i/>
          <w:iCs/>
        </w:rPr>
        <w:t xml:space="preserve"> </w:t>
      </w:r>
      <w:r>
        <w:rPr>
          <w:b/>
          <w:bCs/>
          <w:i/>
          <w:iCs/>
        </w:rPr>
        <w:t xml:space="preserve">ordinary</w:t>
      </w:r>
      <w:r>
        <w:rPr>
          <w:b/>
          <w:bCs/>
          <w:i/>
          <w:iCs/>
        </w:rPr>
        <w:t xml:space="preserve"> </w:t>
      </w:r>
      <w:r>
        <w:rPr>
          <w:b/>
          <w:bCs/>
          <w:i/>
          <w:iCs/>
        </w:rPr>
        <w:t xml:space="preserve">commercial</w:t>
      </w:r>
      <w:r>
        <w:rPr>
          <w:b/>
          <w:bCs/>
          <w:i/>
          <w:iCs/>
        </w:rPr>
        <w:t xml:space="preserve"> </w:t>
      </w:r>
      <w:r>
        <w:rPr>
          <w:b/>
          <w:bCs/>
          <w:i/>
          <w:iCs/>
        </w:rPr>
        <w:t xml:space="preserve">dealings.</w:t>
      </w:r>
    </w:p>
    <w:p>
      <w:pPr>
        <w:pStyle w:val="BodyText"/>
      </w:pPr>
      <w:r>
        <w:t xml:space="preserve">Finally, Respondents invoke</w:t>
      </w:r>
      <w:r>
        <w:t xml:space="preserve"> </w:t>
      </w:r>
      <w:r>
        <w:rPr>
          <w:i/>
          <w:iCs/>
        </w:rPr>
        <w:t xml:space="preserve">Roy Allan</w:t>
      </w:r>
      <w:r>
        <w:t xml:space="preserve">, claiming that courts should hesitate to expand interference liability in regulated industries. (R.B., pp. 60-⁠61.) The argument must fail. In</w:t>
      </w:r>
      <w:r>
        <w:t xml:space="preserve"> </w:t>
      </w:r>
      <w:r>
        <w:rPr>
          <w:i/>
          <w:iCs/>
        </w:rPr>
        <w:t xml:space="preserve">Roy Allan</w:t>
      </w:r>
      <w:r>
        <w:t xml:space="preserve">, the California Supreme Court declined to extend interference liability into the uniquely specialized field of public works bidding. (2 Cal.5th at pp. 520-⁠521.) It did so because an extensive statutory scheme already governs remedies and bidders have no expectation of contract because “public entities retain[] broad discretion to reject all bids.” (</w:t>
      </w:r>
      <w:r>
        <w:rPr>
          <w:i/>
          <w:iCs/>
        </w:rPr>
        <w:t xml:space="preserve">Id.</w:t>
      </w:r>
      <w:r>
        <w:t xml:space="preserve"> </w:t>
      </w:r>
      <w:r>
        <w:t xml:space="preserve">at p. 510.) As a result, public works bidders cannot establish that they have “an ‘economic relationship’ containing the ‘probability of future economic benefit’” between the bidder and the public entity. (</w:t>
      </w:r>
      <w:r>
        <w:rPr>
          <w:i/>
          <w:iCs/>
        </w:rPr>
        <w:t xml:space="preserve">Id.</w:t>
      </w:r>
      <w:r>
        <w:t xml:space="preserve"> </w:t>
      </w:r>
      <w:r>
        <w:t xml:space="preserve">at p. 516-⁠517.)</w:t>
      </w:r>
    </w:p>
    <w:p>
      <w:pPr>
        <w:pStyle w:val="BodyText"/>
      </w:pPr>
      <w:r>
        <w:t xml:space="preserve">FAI’s claims are fundamentally different. They arise from “ordinary commercial dealings” between willing buyers and sellers. That the firearms industry is closely regulated does not insulate Respondents from liability for wrongfully obstructing otherwise lawful transactions. Regulation is designed to protect the public, not to give agencies a license to sabotage private contracts. Recognizing liability here does not “expand” tort law. It applies existing principles to prevent regulators from weaponizing their authority against lawful businesses.</w:t>
      </w:r>
    </w:p>
    <w:p>
      <w:pPr>
        <w:pStyle w:val="BodyText"/>
      </w:pPr>
      <w:r>
        <w:t xml:space="preserve">Tellingly,</w:t>
      </w:r>
      <w:r>
        <w:t xml:space="preserve"> </w:t>
      </w:r>
      <w:r>
        <w:rPr>
          <w:i/>
          <w:iCs/>
        </w:rPr>
        <w:t xml:space="preserve">Roy Allan</w:t>
      </w:r>
      <w:r>
        <w:t xml:space="preserve"> </w:t>
      </w:r>
      <w:r>
        <w:t xml:space="preserve">itself distinguishes public works bids from a case involving companies’ “bids to the Republic of Korea to provide military” arms. (2 Cal.5th at p. 513, citing</w:t>
      </w:r>
      <w:r>
        <w:t xml:space="preserve"> </w:t>
      </w:r>
      <w:r>
        <w:rPr>
          <w:i/>
          <w:iCs/>
        </w:rPr>
        <w:t xml:space="preserve">Korea Supply</w:t>
      </w:r>
      <w:r>
        <w:t xml:space="preserve">,</w:t>
      </w:r>
      <w:r>
        <w:t xml:space="preserve"> </w:t>
      </w:r>
      <w:r>
        <w:rPr>
          <w:i/>
          <w:iCs/>
        </w:rPr>
        <w:t xml:space="preserve">supra</w:t>
      </w:r>
      <w:r>
        <w:t xml:space="preserve">, 29 Cal.4th 1134.) It reasoned that “[s]ignificantly,… there is no indication that the bidding process … was constrained in a manner similar to the statutory rules that govern California public works contracts.” (</w:t>
      </w:r>
      <w:r>
        <w:rPr>
          <w:i/>
          <w:iCs/>
        </w:rPr>
        <w:t xml:space="preserve">Ibid.</w:t>
      </w:r>
      <w:r>
        <w:t xml:space="preserve">) Specifically, it explained that the arms dealer had a relationship with an expectation of economic advantage that was interfered with. (</w:t>
      </w:r>
      <w:r>
        <w:rPr>
          <w:i/>
          <w:iCs/>
        </w:rPr>
        <w:t xml:space="preserve">Ibid.</w:t>
      </w:r>
      <w:r>
        <w:t xml:space="preserve">) This distinction eviscerates Respondents’ reliance on</w:t>
      </w:r>
      <w:r>
        <w:t xml:space="preserve"> </w:t>
      </w:r>
      <w:r>
        <w:rPr>
          <w:i/>
          <w:iCs/>
        </w:rPr>
        <w:t xml:space="preserve">Roy Allan</w:t>
      </w:r>
      <w:r>
        <w:t xml:space="preserve">. Indeed, if international sales of military arms are not exempt from interference torts, then surely domestic civilian firearm sales are not. Regulation involved with the former is certainly more “extensive” than with the latter.</w:t>
      </w:r>
    </w:p>
    <w:p>
      <w:pPr>
        <w:pStyle w:val="BodyText"/>
      </w:pPr>
      <w:r>
        <w:t xml:space="preserve">What’s more, the case for liability is perhaps far stronger here than in</w:t>
      </w:r>
      <w:r>
        <w:t xml:space="preserve"> </w:t>
      </w:r>
      <w:r>
        <w:rPr>
          <w:i/>
          <w:iCs/>
        </w:rPr>
        <w:t xml:space="preserve">Roy Allan</w:t>
      </w:r>
      <w:r>
        <w:t xml:space="preserve">. Public works bidding implicates only economic interest, while firearm commerce implicates constitutionally protected rights. The Second Amendment guarantees the right of individuals to acquire arms, and the Fourteenth Amendment prohibits arbitrary governmental obstruction of lawful commerce in such arms. If interference liability was off the table in</w:t>
      </w:r>
      <w:r>
        <w:t xml:space="preserve"> </w:t>
      </w:r>
      <w:r>
        <w:rPr>
          <w:i/>
          <w:iCs/>
        </w:rPr>
        <w:t xml:space="preserve">Roy Allan</w:t>
      </w:r>
      <w:r>
        <w:t xml:space="preserve"> </w:t>
      </w:r>
      <w:r>
        <w:t xml:space="preserve">because bidders lacked protectable expectations, the opposite is true here. FAI and its customers had protectable expectations reinforced by constitutional guarantees. To withhold a remedy in this context would not merely leave FAI without redress for lost business, it would leave buyers and sellers without a meaningful avenue to vindicate interference with their constitutionally protected interests. Public policy does not tolerate such a result.</w:t>
      </w:r>
    </w:p>
    <w:p>
      <w:pPr>
        <w:keepNext/>
        <w:keepLines/>
        <w:spacing w:before="260" w:after="208" w:line="312" w:lineRule="exact"/>
        <w:ind w:left="720" w:hanging="720"/>
        <w:jc w:val="left"/>
      </w:pPr>
      <w:r>
        <w:rPr>
          <w:b/>
          <w:bCs/>
        </w:rPr>
        <w:t xml:space="preserve">II.</w:t>
      </w:r>
      <w:r>
        <w:rPr>
          <w:b/>
          <w:bCs/>
        </w:rPr>
        <w:tab/>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THEIR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WRONGFUL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AND</w:t>
      </w:r>
      <w:r>
        <w:rPr>
          <w:b/>
          <w:bCs/>
        </w:rPr>
        <w:t xml:space="preserve"> </w:t>
      </w:r>
      <w:r>
        <w:rPr>
          <w:b/>
          <w:bCs/>
        </w:rPr>
        <w:t xml:space="preserve">MANDAMUS</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Respondents contend that “[t]he first and second causes of action were dismissed per the court’s January 27, 2022, order granting respondents’ motion to dismiss,” and that “Appellants incorrectly reference the trial court’s order sustaining the demurrer to the first amended complaint (FAC) with leave to amend.” (R.B., p. 62, citing A.A.I 110-⁠118, A.A.V 491-⁠501.) Once again, Respondents attempt to reframe the issues Appellants are pursuing (and not pursuing) on appeal to knock down arguments they wish Appellants were making.</w:t>
      </w:r>
    </w:p>
    <w:p>
      <w:pPr>
        <w:pStyle w:val="BodyText"/>
      </w:pPr>
      <w:r>
        <w:t xml:space="preserve">Respondents argue that by filing the Second Amended Complaint (SAC), Appellants waived their right to challenge the trial court’s order sustaining the first demurrer as to Appellants’ claims regarding the centerfire Title 1®. (R.B., p. 62, citing</w:t>
      </w:r>
      <w:r>
        <w:t xml:space="preserve"> </w:t>
      </w:r>
      <w:r>
        <w:rPr>
          <w:i/>
          <w:iCs/>
        </w:rPr>
        <w:t xml:space="preserve">Aubry</w:t>
      </w:r>
      <w:r>
        <w:rPr>
          <w:i/>
          <w:iCs/>
        </w:rPr>
        <w:t xml:space="preserve"> </w:t>
      </w:r>
      <w:r>
        <w:rPr>
          <w:i/>
          <w:iCs/>
        </w:rPr>
        <w:t xml:space="preserve">v. Tri-City Hosp. Dist.</w:t>
      </w:r>
      <w:r>
        <w:t xml:space="preserve"> </w:t>
      </w:r>
      <w:r>
        <w:t xml:space="preserve">(1992) 2 Cal.4th 962, 966 fn.2.) That is wrong. Code</w:t>
      </w:r>
      <w:r>
        <w:t xml:space="preserve"> </w:t>
      </w:r>
      <w:r>
        <w:t xml:space="preserve">of Civil Procedure section 906 expressly allows review of “any intermediate ruling … which involves the merits or necessarily affects the judgment or order appealed from or which substantially affects the rights of a party” if the intermediate order was not appealable. While amendment generally waives any error in sustaining a demurrer, that rule does not apply when a plaintiff has “clearly elected to stand on [their] complaint with respect to [a demurred] cause of action.” (</w:t>
      </w:r>
      <w:r>
        <w:rPr>
          <w:i/>
          <w:iCs/>
        </w:rPr>
        <w:t xml:space="preserve">Cnty.</w:t>
      </w:r>
      <w:r>
        <w:rPr>
          <w:i/>
          <w:iCs/>
        </w:rPr>
        <w:t xml:space="preserve"> </w:t>
      </w:r>
      <w:r>
        <w:rPr>
          <w:i/>
          <w:iCs/>
        </w:rPr>
        <w:t xml:space="preserve">of Santa Clara v. Atlantic Richfield Co.</w:t>
      </w:r>
      <w:r>
        <w:t xml:space="preserve"> </w:t>
      </w:r>
      <w:r>
        <w:t xml:space="preserve">(2006) 137 Cal.App.4th 292, 312.) In such cases, the plaintiff preserves the issue for appellate review even if other claims are amended. (</w:t>
      </w:r>
      <w:r>
        <w:rPr>
          <w:i/>
          <w:iCs/>
        </w:rPr>
        <w:t xml:space="preserve">Ibid.</w:t>
      </w:r>
      <w:r>
        <w:t xml:space="preserve"> </w:t>
      </w:r>
      <w:r>
        <w:rPr>
          <w:i/>
          <w:iCs/>
        </w:rPr>
        <w:t xml:space="preserve">See also</w:t>
      </w:r>
      <w:r>
        <w:t xml:space="preserve"> </w:t>
      </w:r>
      <w:r>
        <w:t xml:space="preserve">citing</w:t>
      </w:r>
      <w:r>
        <w:t xml:space="preserve"> </w:t>
      </w:r>
      <w:r>
        <w:rPr>
          <w:i/>
          <w:iCs/>
        </w:rPr>
        <w:t xml:space="preserve">Bank</w:t>
      </w:r>
      <w:r>
        <w:rPr>
          <w:i/>
          <w:iCs/>
        </w:rPr>
        <w:t xml:space="preserve"> </w:t>
      </w:r>
      <w:r>
        <w:rPr>
          <w:i/>
          <w:iCs/>
        </w:rPr>
        <w:t xml:space="preserve">of Am. v. Super. Ct.</w:t>
      </w:r>
      <w:r>
        <w:t xml:space="preserve"> </w:t>
      </w:r>
      <w:r>
        <w:t xml:space="preserve">(1942) 20 Cal.2d 697, 703.)</w:t>
      </w:r>
    </w:p>
    <w:p>
      <w:pPr>
        <w:pStyle w:val="BodyText"/>
      </w:pPr>
      <w:r>
        <w:t xml:space="preserve">This is exactly what happened here. Appellants amended only to add allegations about rimfire Title 1s® and other firearms with undefined subtypes. They deliberately retained the centerfire Title 1® portions of the first and second claims to preserve appellate review. (A.A.II 145-⁠149; A.A.III 250-⁠251. See also Mot. Augment Record with Feb. 25, 2021 Rptr’s Tr.) Respondents themselves objected that it was improper to keep those claims in the SAC, arguing that the trial court had already disposed of them in the first demurrer. (Feb. 25, 2021 Rptr’s Tr., pp. 5:21-⁠6:5.) The trial court rejected the argument, recognizing that Appellants needed to include the centerfire claims “to be able to appeal [the trial court’s] previous ruling.” (</w:t>
      </w:r>
      <w:r>
        <w:rPr>
          <w:i/>
          <w:iCs/>
        </w:rPr>
        <w:t xml:space="preserve">Id.</w:t>
      </w:r>
      <w:r>
        <w:t xml:space="preserve">, p. 7:4-⁠11.) Both parties, understanding that the claims remained simply to preserve the record for appeal, “agreed not to relitigate the issue” below. (A.A.III 250-⁠251.) And Respondents never again moved against those portions of the complaint. In short, Appellants stood on their complaint as to the centerfire Title 1® claims, preserving the issues for appeal.</w:t>
      </w:r>
    </w:p>
    <w:p>
      <w:pPr>
        <w:pStyle w:val="BodyText"/>
      </w:pPr>
      <w:r>
        <w:t xml:space="preserve">Respondents’ contrary argument, if accepted, would produce an absurd result. It would mean that Appellants’ centerfire claims were never dismissed—or were dismissed without any reasoning at all. Even assuming the 2022 dismissal somehow encompassed the centerfire claims, this Court may affirm on grounds, as long as they are supported by the record. (See</w:t>
      </w:r>
      <w:r>
        <w:t xml:space="preserve"> </w:t>
      </w:r>
      <w:r>
        <w:rPr>
          <w:i/>
          <w:iCs/>
        </w:rPr>
        <w:t xml:space="preserve">D’Amico</w:t>
      </w:r>
      <w:r>
        <w:rPr>
          <w:i/>
          <w:iCs/>
        </w:rPr>
        <w:t xml:space="preserve"> </w:t>
      </w:r>
      <w:r>
        <w:rPr>
          <w:i/>
          <w:iCs/>
        </w:rPr>
        <w:t xml:space="preserve">v. Bd. of Med. Examiners</w:t>
      </w:r>
      <w:r>
        <w:t xml:space="preserve"> </w:t>
      </w:r>
      <w:r>
        <w:t xml:space="preserve">(1974) 11 Cal.3d 1, 19.) Here, the only reasoning that could support dismissal of the centerfire Title 1® theories appears in the 2021 demurrer ruling. The later 2022 dismissal relied on mootness resulting from the DES enhancement adding the “Other” option—an issue that concerned only the rimfire Title 1® and other firearms with undefined subtypes that remained lawful after SB 118. The centerfire Title 1® claims were different. Simply adding “Other” to the dropdown could not provide relief from Respondents’ past misconduct once the Legislature designated centerfire Title 1® firearms as “assault weapons.” Appellants required equitable relief restoring the status quo ante, allowing FAI to complete the lawful transfers that were pending when SB 118 took effect (and would have been completed but for Respondents’ unlawful conduct). (A.A.II 145-⁠149, 160-⁠163.)</w:t>
      </w:r>
    </w:p>
    <w:p>
      <w:pPr>
        <w:pStyle w:val="BodyTextNote"/>
      </w:pPr>
      <w:r>
        <w:t xml:space="preserve">The January 2021 demurrer order squarely addressed (and rejected) FAI’s theory that Respondents had a mandatory duty to maintain a DES capable of processing centerfire Title 1®s and that SB 118’s passage did not eliminate the court’s ability to fashion a remedy. (A.A.I 114-⁠115.)</w:t>
      </w:r>
      <w:r>
        <w:rPr>
          <w:rStyle w:val="FootnoteReference"/>
        </w:rPr>
        <w:footnoteReference w:id="13"/>
      </w:r>
      <w:r>
        <w:t xml:space="preserve"> </w:t>
      </w:r>
      <w:r>
        <w:t xml:space="preserve">So even if this Court determines that the January 2022 dismissal encompassed the centerfire claims, it must nonetheless review and decide the correctness of the 2021 demurrer ruling—the only decision that ever provided a reasoning for dismissing them. And because Respondents do not even try to defend that ruling on the merits, they have waived any argument to affirm it.</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r>
        <w:rPr>
          <w:b/>
          <w:bCs/>
        </w:rPr>
        <w:t xml:space="preserve"> </w:t>
      </w:r>
      <w:r>
        <w:rPr>
          <w:b/>
          <w:bCs/>
        </w:rPr>
        <w:t xml:space="preserve">SB</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ELIMINATE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p>
    <w:p>
      <w:pPr>
        <w:pStyle w:val="BodyText"/>
      </w:pPr>
      <w:r>
        <w:t xml:space="preserve">Respondents finally argue that SB 118 rendered Appellants’ due process claims moot because, once enacted, the statute banned centerfire Title 1® firearms outright. (R.B., pp. 65-⁠67.) But this argument is both factually and legally flawed. It disregards the equitable nature of Appellants’ requested relief, misstates the scope of the due process claims, and ignores well-settled law preserving courts’ authority to remedy government misconduct even where later legislation complicates the picture.</w:t>
      </w:r>
    </w:p>
    <w:p>
      <w:pPr>
        <w:pStyle w:val="BodyText"/>
      </w:pPr>
      <w:r>
        <w:t xml:space="preserve">Appellants’ claims are not moot. SB 118 may have changed the prospective legality of Title 1® sales, but it did not strip the courts of their power to address unlawful conduct that occurred before the statute’s adoption. Respondents’ argument that SB 118 rendered relief “illegal” fails for a simple reason: The DOJ cannot manufacture impossibility by its own misconduct and then invoke that impossibility as a defense. The record shows that DOJ officials deliberately withheld a completed fix to the DES until SB 118 took effect, ensuring that lawful transfers of centerfire Title 1® firearms would become impossible. Equity does not reward such gamesmanship.</w:t>
      </w:r>
    </w:p>
    <w:p>
      <w:pPr>
        <w:pStyle w:val="BodyText"/>
      </w:pPr>
      <w:r>
        <w:t xml:space="preserve">California law is explicit: “No one can take advantage of their own wrong.” (Civ.</w:t>
      </w:r>
      <w:r>
        <w:t xml:space="preserve"> </w:t>
      </w:r>
      <w:r>
        <w:t xml:space="preserve">Code, § 3517.) That maxim applies with special force to public officials. Indeed, California courts have recognized that, where there is “clear evidence of wrongdoing,” a public entity can be estopped from asserting a legal or procedural bar that it created through its own misconduct. (See, e.g.,</w:t>
      </w:r>
      <w:r>
        <w:t xml:space="preserve"> </w:t>
      </w:r>
      <w:r>
        <w:rPr>
          <w:i/>
          <w:iCs/>
        </w:rPr>
        <w:t xml:space="preserve">City</w:t>
      </w:r>
      <w:r>
        <w:rPr>
          <w:i/>
          <w:iCs/>
        </w:rPr>
        <w:t xml:space="preserve"> </w:t>
      </w:r>
      <w:r>
        <w:rPr>
          <w:i/>
          <w:iCs/>
        </w:rPr>
        <w:t xml:space="preserve">of Long Beach v. Mansell</w:t>
      </w:r>
      <w:r>
        <w:t xml:space="preserve"> </w:t>
      </w:r>
      <w:r>
        <w:t xml:space="preserve">(1970) 3 Cal.3d 462, 493-⁠494 [estoppel “may be applied against the government where justice and right require it”];</w:t>
      </w:r>
      <w:r>
        <w:t xml:space="preserve"> </w:t>
      </w:r>
      <w:r>
        <w:rPr>
          <w:i/>
          <w:iCs/>
        </w:rPr>
        <w:t xml:space="preserve">Schafer</w:t>
      </w:r>
      <w:r>
        <w:rPr>
          <w:i/>
          <w:iCs/>
        </w:rPr>
        <w:t xml:space="preserve"> </w:t>
      </w:r>
      <w:r>
        <w:rPr>
          <w:i/>
          <w:iCs/>
        </w:rPr>
        <w:t xml:space="preserve">v. City of Los Angeles</w:t>
      </w:r>
      <w:r>
        <w:t xml:space="preserve"> </w:t>
      </w:r>
      <w:r>
        <w:t xml:space="preserve">(2015) 237 Cal.App.4th 1250, 1261-⁠1262 [public entity may be estopped where denying relief would result in grave injustice].) In such cases, the court retains equitable jurisdiction to restore the status quo ante where government actors—through delay or manipulation—unlawfully interfere with vested rights. To hold otherwise would invite agencies to evade judicial review by obstructing compliance until they can secure legislative absolution. The Constitution does not tolerate that outcome.</w:t>
      </w:r>
    </w:p>
    <w:p>
      <w:pPr>
        <w:pStyle w:val="BodyText"/>
      </w:pPr>
      <w:r>
        <w:t xml:space="preserve">Respondents’ reliance on cases like</w:t>
      </w:r>
      <w:r>
        <w:t xml:space="preserve"> </w:t>
      </w:r>
      <w:r>
        <w:rPr>
          <w:i/>
          <w:iCs/>
        </w:rPr>
        <w:t xml:space="preserve">All</w:t>
      </w:r>
      <w:r>
        <w:rPr>
          <w:i/>
          <w:iCs/>
        </w:rPr>
        <w:t xml:space="preserve"> </w:t>
      </w:r>
      <w:r>
        <w:rPr>
          <w:i/>
          <w:iCs/>
        </w:rPr>
        <w:t xml:space="preserve">Towing Services v. City of Orange</w:t>
      </w:r>
      <w:r>
        <w:t xml:space="preserve"> </w:t>
      </w:r>
      <w:r>
        <w:t xml:space="preserve">(2013) 220 Cal.App.4th 946, and</w:t>
      </w:r>
      <w:r>
        <w:t xml:space="preserve"> </w:t>
      </w:r>
      <w:r>
        <w:rPr>
          <w:i/>
          <w:iCs/>
        </w:rPr>
        <w:t xml:space="preserve">Adoption</w:t>
      </w:r>
      <w:r>
        <w:rPr>
          <w:i/>
          <w:iCs/>
        </w:rPr>
        <w:t xml:space="preserve"> </w:t>
      </w:r>
      <w:r>
        <w:rPr>
          <w:i/>
          <w:iCs/>
        </w:rPr>
        <w:t xml:space="preserve">of S.S.</w:t>
      </w:r>
      <w:r>
        <w:t xml:space="preserve"> </w:t>
      </w:r>
      <w:r>
        <w:t xml:space="preserve">(2021) 72 Cal.App.5th 607, is misplaced. Those decisions stand for the uncontroversial proposition that courts may not disregard clear statutory commands where the legislature has addressed a matter through valid lawmaking. But that principle presumes that the statute existed before the challenged conduct and reflects a legitimate exercise of legislative authority, not a retroactive attempt to sanitize an agency’s unlawful action. Equity should not yield to statutes enacted precisely to shield prior violations of law.</w:t>
      </w:r>
    </w:p>
    <w:p>
      <w:pPr>
        <w:pStyle w:val="BodyText"/>
      </w:pPr>
      <w:r>
        <w:t xml:space="preserve">Here, the Legislature’s adoption of SB 118 merely changed the law going forward. It did not—and constitutionally could not—retroactively extinguish vested rights or immunize Respondents’ past violations of the law. The record shows that Respondents deliberately shelved the completed DES fix, proposed a ban on centerfire Title 1s® via SB 118, and only added the “Other” option once SB 118 had taken effect, making it impossible for FAI and its customers to complete the once-lawful transfers before the clock ran out. (A.A.VI 0990-⁠0991, 1000-⁠1002 [citing evidence]; A.A.X 1311, 1318-⁠1319, 1354-⁠1358, A.A.XVII 1768, 1770-⁠1773, 1778-⁠1780. See also RJN, Ex. B.) Now they seek to invoke that very law to justify their unlawful pre-enactment obstruction. Equity exists to do justice in precisely this sort of scenario. Courts do not “ignore” statutes when they prevent the government from profiting from its own misconduct—they vindicate the rule of law.</w:t>
      </w:r>
    </w:p>
    <w:p>
      <w:pPr>
        <w:pStyle w:val="BodyText"/>
      </w:pPr>
      <w:r>
        <w:t xml:space="preserve">Respondents themselves have recognized this principle in practice. In</w:t>
      </w:r>
      <w:r>
        <w:t xml:space="preserve"> </w:t>
      </w:r>
      <w:r>
        <w:rPr>
          <w:i/>
          <w:iCs/>
        </w:rPr>
        <w:t xml:space="preserve">Sharp</w:t>
      </w:r>
      <w:r>
        <w:rPr>
          <w:i/>
          <w:iCs/>
        </w:rPr>
        <w:t xml:space="preserve"> </w:t>
      </w:r>
      <w:r>
        <w:rPr>
          <w:i/>
          <w:iCs/>
        </w:rPr>
        <w:t xml:space="preserve">v. Becerra</w:t>
      </w:r>
      <w:r>
        <w:t xml:space="preserve">, E.D. Cal. Mar. 29, 2021) No. 18-cv-⁠02317, the Attorney General agreed to a settlement allowing firearm owners to complete late registrations of assault weapons that had, by then, been rendered statutorily “illegal” due to the DOJ’s own system failures. There, as here, the DOJ’s misconduct prevented law-abiding citizens from exercising rights that existed under then-valid law. Rather than invoke statutory illegality, the Attorney General conceded that equity required reopening the registration system to restore the status quo ante.</w:t>
      </w:r>
    </w:p>
    <w:p>
      <w:pPr>
        <w:pStyle w:val="BodyText"/>
      </w:pPr>
      <w:r>
        <w:t xml:space="preserve">Respondents try to distinguish</w:t>
      </w:r>
      <w:r>
        <w:t xml:space="preserve"> </w:t>
      </w:r>
      <w:r>
        <w:rPr>
          <w:i/>
          <w:iCs/>
        </w:rPr>
        <w:t xml:space="preserve">Sharp</w:t>
      </w:r>
      <w:r>
        <w:t xml:space="preserve"> </w:t>
      </w:r>
      <w:r>
        <w:t xml:space="preserve">by noting that the stipulation did not allow those who did not possess qualifying “bullet-button” firearms before the statutory deadline to newly acquire them afterward. (R.B., pp. 66-⁠67.) Respondents miss the point. The individuals excluded in</w:t>
      </w:r>
      <w:r>
        <w:t xml:space="preserve"> </w:t>
      </w:r>
      <w:r>
        <w:rPr>
          <w:i/>
          <w:iCs/>
        </w:rPr>
        <w:t xml:space="preserve">Sharp</w:t>
      </w:r>
      <w:r>
        <w:t xml:space="preserve"> </w:t>
      </w:r>
      <w:r>
        <w:t xml:space="preserve">were those who, through their own inaction, did not possess the affected firearms before the deadline. By contrast, FAI’s customers would have taken lawful possession of their centerfire Title 1® firearms but for Respondents’ unlawful decision block the then-lawful lawful transfers. The impossibility here was not self-inflicted by FAI or their customers. It was created by the government itself.</w:t>
      </w:r>
    </w:p>
    <w:p>
      <w:pPr>
        <w:pStyle w:val="BodyText"/>
      </w:pPr>
      <w:r>
        <w:t xml:space="preserve">What matters here is that the</w:t>
      </w:r>
      <w:r>
        <w:t xml:space="preserve"> </w:t>
      </w:r>
      <w:r>
        <w:rPr>
          <w:i/>
          <w:iCs/>
        </w:rPr>
        <w:t xml:space="preserve">Sharp</w:t>
      </w:r>
      <w:r>
        <w:t xml:space="preserve"> </w:t>
      </w:r>
      <w:r>
        <w:t xml:space="preserve">stipulation expressly authorized conduct—i.e., the late registration of banned weapons—that would have been unlawful under the Assault Weapons Control Act. The</w:t>
      </w:r>
      <w:r>
        <w:t xml:space="preserve"> </w:t>
      </w:r>
      <w:r>
        <w:rPr>
          <w:i/>
          <w:iCs/>
        </w:rPr>
        <w:t xml:space="preserve">Sharp</w:t>
      </w:r>
      <w:r>
        <w:t xml:space="preserve"> </w:t>
      </w:r>
      <w:r>
        <w:t xml:space="preserve">settlement confirms that the Respondents themselves understand that where the government’s own conduct frustrates the exercise of lawful rights, courts retain authority to grant relief even if the conduct technically falls within a later-enacted statutory prohibition. The same principle applies here. Where the government’s deliberate obstruction prevented lawful transfers before SB 118 took effect, equity permits the court to fashion a remedy that allows those transfers to be completed.</w:t>
      </w:r>
    </w:p>
    <w:p>
      <w:pPr>
        <w:pStyle w:val="BodyText"/>
      </w:pPr>
      <w:r>
        <w:t xml:space="preserve">In short, SB 118 did not absolve Respondents of responsibility for their pre-enactment misconduct. The courts retain equitable power to remedy completed violations and to ensure that government actors do not manipulate timing or procedure to defeat judicial review. The trial court’s contrary ruling not only misapprehends the nature of equitable jurisdiction but, if allowed to stand, would set a dangerous precedent by allowing agencies to legislate away their own wrongdoing.</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against Attorney General Becerra and Doe Individuals. And it should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8,117</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October</w:t>
      </w:r>
      <w:r>
        <w:t xml:space="preserve"> </w:t>
      </w:r>
      <w:r>
        <w:t xml:space="preserve">6,</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electronic</w:t>
            </w:r>
            <w:r>
              <w:t xml:space="preserve"> </w:t>
            </w:r>
            <w:r>
              <w:t xml:space="preserve">transmission</w:t>
            </w:r>
            <w:r>
              <w:t xml:space="preserve"> </w:t>
            </w:r>
            <w:r>
              <w:t xml:space="preserve">through</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mail.</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October</w:t>
            </w:r>
            <w:r>
              <w:t xml:space="preserve"> </w:t>
            </w:r>
            <w:r>
              <w:t xml:space="preserve">6,</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Quoting the decision on appeal, Respondents argue that, because FAI does not assert tort liability against the DOJ, they “effectively concede[] the DOJ is not liable.” (R.B., p. 43.) Respondents continue, “[l]egally and logically, the same analysis of the same statutes also precludes, as a matter of law, a finding of a mandatory duty to modify the DES on the part of [DOJ] employees.” But even if opting not to pursue claims against the DOJ establishes that the DOJ is not liable “as a matter of law,” it does not establish that neither the DOJ nor its employees were under a mandatory duty to act. That is because section</w:t>
      </w:r>
      <w:r>
        <w:t xml:space="preserve"> </w:t>
      </w:r>
      <w:r>
        <w:t xml:space="preserve">815.6 liability rests on more than a finding of a mandatory duty; all other elements must be met. Further, section</w:t>
      </w:r>
      <w:r>
        <w:t xml:space="preserve"> </w:t>
      </w:r>
      <w:r>
        <w:t xml:space="preserve">815.6 contains protection for public entities that it does not grant to public employees. A public employee, unlike the agency they work for, “is liable for injury caused by [their] act or omission to the same extent as a private person.” (Govt.</w:t>
      </w:r>
      <w:r>
        <w:t xml:space="preserve"> </w:t>
      </w:r>
      <w:r>
        <w:t xml:space="preserve">Code, § 820.)</w:t>
      </w:r>
    </w:p>
  </w:footnote>
  <w:footnote w:id="10">
    <w:p>
      <w:pPr>
        <w:pStyle w:val="FootnoteText"/>
      </w:pPr>
      <w:r>
        <w:rPr>
          <w:rStyle w:val="FootnoteReference"/>
        </w:rPr>
        <w:footnoteRef/>
      </w:r>
      <w:r>
        <w:t xml:space="preserve"> </w:t>
      </w:r>
      <w:r>
        <w:t xml:space="preserve">Respondents are correct that the Ham court ultimately found no public agency liability on the facts. (R.B., p. 48.) But this is only because the Pridham Act, on which plaintiffs’ claims relied, created an express statutory safe harbor. Officials were not liable for failing to repair roadways absent actual notice and a failure to repair within a “reasonable time.” (Ham,</w:t>
      </w:r>
      <w:r>
        <w:t xml:space="preserve"> </w:t>
      </w:r>
      <w:r>
        <w:rPr>
          <w:i/>
          <w:iCs/>
        </w:rPr>
        <w:t xml:space="preserve">supra</w:t>
      </w:r>
      <w:r>
        <w:t xml:space="preserve">, 46 Cal.App. at p. 164.) The Penal Code contains no such safe harbor for the DOJ. On the contrary, it repeatedly commands that dealers “shall” transmit the records to the DOJ, the DOJ “shall” process them, and the DES is the “exclusive means” to do so. (Pen.</w:t>
      </w:r>
      <w:r>
        <w:t xml:space="preserve"> </w:t>
      </w:r>
      <w:r>
        <w:t xml:space="preserve">Code, §§ 28155, 28160, 28205, 28215, 28220.)</w:t>
      </w:r>
    </w:p>
  </w:footnote>
  <w:footnote w:id="11">
    <w:p>
      <w:pPr>
        <w:pStyle w:val="FootnoteText"/>
      </w:pPr>
      <w:r>
        <w:rPr>
          <w:rStyle w:val="FootnoteReference"/>
        </w:rPr>
        <w:footnoteRef/>
      </w:r>
      <w:r>
        <w:t xml:space="preserve"> </w:t>
      </w:r>
      <w:r>
        <w:t xml:space="preserve">See also</w:t>
      </w:r>
      <w:r>
        <w:t xml:space="preserve"> </w:t>
      </w:r>
      <w:r>
        <w:rPr>
          <w:i/>
          <w:iCs/>
        </w:rPr>
        <w:t xml:space="preserve">Lopez</w:t>
      </w:r>
      <w:r>
        <w:t xml:space="preserve">,</w:t>
      </w:r>
      <w:r>
        <w:t xml:space="preserve"> </w:t>
      </w:r>
      <w:r>
        <w:rPr>
          <w:i/>
          <w:iCs/>
        </w:rPr>
        <w:t xml:space="preserve">supra</w:t>
      </w:r>
      <w:r>
        <w:t xml:space="preserve">, 40 Cal.3d at p. 794 [recognizing that a “bus driver’s decision concerning the form of protective action to take” is the sort of “ministerial, ‘operational’ action taken to implement the Legislature’s basic policy decision” that is not immunized by section</w:t>
      </w:r>
      <w:r>
        <w:t xml:space="preserve"> </w:t>
      </w:r>
      <w:r>
        <w:t xml:space="preserve">820.2].</w:t>
      </w:r>
    </w:p>
  </w:footnote>
  <w:footnote w:id="12">
    <w:p>
      <w:pPr>
        <w:pStyle w:val="FootnoteText"/>
      </w:pPr>
      <w:r>
        <w:rPr>
          <w:rStyle w:val="FootnoteReference"/>
        </w:rPr>
        <w:footnoteRef/>
      </w:r>
      <w:r>
        <w:t xml:space="preserve"> </w:t>
      </w:r>
      <w:r>
        <w:t xml:space="preserve">Far from admitting FAI never intended to ship Title 1® firearms, FAI President Jay Jacobson declared that “FAI was committed at the time it accepted deposits from customers to fulfill all orders for which people paid deposits. FAI remains committed to fulfilling those orders to this day.” (A.A.VI 1080.)</w:t>
      </w:r>
    </w:p>
  </w:footnote>
  <w:footnote w:id="13">
    <w:p>
      <w:pPr>
        <w:pStyle w:val="FootnoteText"/>
      </w:pPr>
      <w:r>
        <w:rPr>
          <w:rStyle w:val="FootnoteReference"/>
        </w:rPr>
        <w:footnoteRef/>
      </w:r>
      <w:r>
        <w:t xml:space="preserve"> </w:t>
      </w:r>
      <w:r>
        <w:t xml:space="preserve">Notably, the trial court relied on the reasoning of the January 2021 demurrer order when granting, in part, Respondents’ motion for judgment on the pleadings and rejecting Appellants’ due process and taxpayer claims. (A.A.V 725.)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