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99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SUPREME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MISSOURI</w:t>
      </w:r>
    </w:p>
    <w:p>
      <w:pPr>
        <w:spacing w:before="0" w:after="0" w:line="288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432"/>
        <w:gridCol w:w="4464"/>
      </w:tblGrid>
      <w:tr>
        <w:trPr>
          <w:cantSplit/>
        </w:trPr>
        <w:tc>
          <w:tcPr>
            <w:tcW w:w="4464" w:type="dxa"/>
          </w:tcPr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MISSOURI,</w:t>
            </w:r>
          </w:p>
          <w:p>
            <w:pPr>
              <w:spacing w:before="0" w:after="0" w:line="299" w:lineRule="exact"/>
              <w:ind w:left="1440" w:firstLine="0"/>
              <w:jc w:val="left"/>
            </w:pPr>
            <w:r>
              <w:t xml:space="preserve">Respondent,</w:t>
            </w:r>
          </w:p>
          <w:p>
            <w:pPr>
              <w:spacing w:before="0" w:after="0" w:line="299" w:lineRule="exact"/>
              <w:ind w:left="1152" w:firstLine="0"/>
              <w:jc w:val="left"/>
            </w:pPr>
            <w:r>
              <w:t xml:space="preserve">v.</w:t>
            </w:r>
          </w:p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BRIAN</w:t>
            </w:r>
            <w:r>
              <w:t xml:space="preserve"> </w:t>
            </w:r>
            <w:r>
              <w:t xml:space="preserve">DORSEY,</w:t>
            </w:r>
          </w:p>
          <w:p>
            <w:pPr>
              <w:spacing w:before="0" w:after="0" w:line="299" w:lineRule="exact"/>
              <w:ind w:left="1440" w:firstLine="0"/>
              <w:jc w:val="left"/>
            </w:pPr>
            <w:r>
              <w:t xml:space="preserve">Appellant.</w:t>
            </w:r>
          </w:p>
        </w:tc>
        <w:tc>
          <w:tcPr>
            <w:tcW w:w="432" w:type="dxa"/>
          </w:tcPr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99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464" w:type="dxa"/>
            <w:vAlign w:val="center"/>
          </w:tcPr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SC89833</w:t>
            </w:r>
          </w:p>
        </w:tc>
      </w:tr>
    </w:tbl>
    <w:p>
      <w:pPr>
        <w:spacing w:before="216" w:after="260" w:line="299" w:lineRule="exact"/>
        <w:ind w:left="0" w:firstLine="0"/>
        <w:jc w:val="center"/>
      </w:pP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Set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Execution</w:t>
      </w:r>
      <w:r>
        <w:rPr>
          <w:b/>
          <w:bCs/>
        </w:rPr>
        <w:t xml:space="preserve"> </w:t>
      </w:r>
      <w:r>
        <w:rPr>
          <w:b/>
          <w:bCs/>
        </w:rPr>
        <w:t xml:space="preserve">Date</w:t>
      </w:r>
    </w:p>
    <w:p>
      <w:pPr>
        <w:pStyle w:val="BodyText"/>
      </w:pPr>
      <w:r>
        <w:t xml:space="preserve">The State of Missouri asks this Court to schedule the execution of Brian Dorsey’s death sentence under Rule 30.30 and states the following in support:</w:t>
      </w:r>
    </w:p>
    <w:p>
      <w:pPr>
        <w:pStyle w:val="BodyText"/>
      </w:pPr>
      <w:r>
        <w:t xml:space="preserve">1. On December 23, 2006 Brian Dorsey raped and murdered Sarah Bonnie—his cousin—and then murdered Ben Bonnie—his cousin-in-law—orphaning four-year-old Jade.</w:t>
      </w:r>
      <w:r>
        <w:t xml:space="preserve"> </w:t>
      </w:r>
      <w:r>
        <w:rPr>
          <w:i/>
          <w:iCs/>
        </w:rPr>
        <w:t xml:space="preserve">State v. Dorsey</w:t>
      </w:r>
      <w:r>
        <w:t xml:space="preserve">, 318 S.W.3d 648,648 (Mo. 2010). Earlier that day, Sarah and Ben took Dorsey into their home to rescued Dorsey from drug dealers who were seeking to collect a debt Dorsey owed.</w:t>
      </w:r>
      <w:r>
        <w:t xml:space="preserve"> </w:t>
      </w:r>
      <w:r>
        <w:rPr>
          <w:i/>
          <w:iCs/>
        </w:rPr>
        <w:t xml:space="preserve">Id.</w:t>
      </w:r>
    </w:p>
    <w:p>
      <w:pPr>
        <w:pStyle w:val="BodyText"/>
      </w:pPr>
      <w:r>
        <w:t xml:space="preserve">2. This Court affirmed Dorsey’s convictions and sentences on direct appeal.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The United States Supreme Court denied Dorsey’s petition for a writ of certiorari.</w:t>
      </w:r>
      <w:r>
        <w:t xml:space="preserve"> </w:t>
      </w:r>
      <w:r>
        <w:rPr>
          <w:i/>
          <w:iCs/>
        </w:rPr>
        <w:t xml:space="preserve">Dorsey v. Missouri</w:t>
      </w:r>
      <w:r>
        <w:t xml:space="preserve">, 562 U.S. 1067 (2010).</w:t>
      </w:r>
    </w:p>
    <w:p>
      <w:pPr>
        <w:pStyle w:val="BodyText"/>
      </w:pPr>
      <w:r>
        <w:t xml:space="preserve">3. Dorsey filed a motion for post-conviction relief under Rule 29.15, and the motion court denied all relief.</w:t>
      </w:r>
      <w:r>
        <w:t xml:space="preserve"> </w:t>
      </w:r>
      <w:r>
        <w:rPr>
          <w:i/>
          <w:iCs/>
        </w:rPr>
        <w:t xml:space="preserve">Dorsey v. State</w:t>
      </w:r>
      <w:r>
        <w:t xml:space="preserve">, 448 S.W.3d 276 (Mo. 2014). This Court affirmed the denial of post-conviction relief.</w:t>
      </w:r>
      <w:r>
        <w:t xml:space="preserve"> </w:t>
      </w:r>
      <w:r>
        <w:rPr>
          <w:i/>
          <w:iCs/>
        </w:rPr>
        <w:t xml:space="preserve">Id.</w:t>
      </w:r>
    </w:p>
    <w:p>
      <w:pPr>
        <w:pStyle w:val="BodyText"/>
      </w:pPr>
      <w:r>
        <w:t xml:space="preserve">4. Dorsey then filed a petition for a writ of habeas corpus in the United States District Court for the Western District of Missouri.</w:t>
      </w:r>
      <w:r>
        <w:t xml:space="preserve"> </w:t>
      </w:r>
      <w:r>
        <w:rPr>
          <w:i/>
          <w:iCs/>
        </w:rPr>
        <w:t xml:space="preserve">Dorsey v. Vandergriff</w:t>
      </w:r>
      <w:r>
        <w:t xml:space="preserve">, 4:15-CV</w:t>
      </w:r>
      <w:r>
        <w:noBreakHyphen/>
      </w:r>
      <w:r>
        <w:t xml:space="preserve">8000-RK (W.D. Mo.). The district court denied Dorsey’s petition and did not issue a certificate of appealability.</w:t>
      </w:r>
      <w:r>
        <w:t xml:space="preserve"> </w:t>
      </w:r>
      <w:r>
        <w:rPr>
          <w:i/>
          <w:iCs/>
        </w:rPr>
        <w:t xml:space="preserve">Dorsey v. Vandergriff</w:t>
      </w:r>
      <w:r>
        <w:t xml:space="preserve">, 2019 WL 4740518 (W.D. Mo. Sept. 27, 2019).</w:t>
      </w:r>
    </w:p>
    <w:p>
      <w:pPr>
        <w:pStyle w:val="BodyText"/>
      </w:pPr>
      <w:r>
        <w:t xml:space="preserve">5. Dorsey then sought and received a certificate of appealability from the United States Court of Appeals for the Eighth Circuit.</w:t>
      </w:r>
      <w:r>
        <w:t xml:space="preserve"> </w:t>
      </w:r>
      <w:r>
        <w:rPr>
          <w:i/>
          <w:iCs/>
        </w:rPr>
        <w:t xml:space="preserve">Dorsey v. Vandergriff</w:t>
      </w:r>
      <w:r>
        <w:t xml:space="preserve">, 30 F.4th 752 (8th Cir. 2022). The Eighth Circuit, after briefing and argument, affirmed the denial of habeas corpus relief.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That court then denied Dorsey’s motion for rehearing.</w:t>
      </w:r>
      <w:r>
        <w:t xml:space="preserve"> </w:t>
      </w:r>
      <w:r>
        <w:rPr>
          <w:i/>
          <w:iCs/>
        </w:rPr>
        <w:t xml:space="preserve">Dorsey v. Vandergriff</w:t>
      </w:r>
      <w:r>
        <w:t xml:space="preserve">, 20</w:t>
      </w:r>
      <w:r>
        <w:noBreakHyphen/>
      </w:r>
      <w:r>
        <w:t xml:space="preserve">2099, 2022 WL 2180216 (Jun. 16, 2022).</w:t>
      </w:r>
    </w:p>
    <w:p>
      <w:pPr>
        <w:pStyle w:val="BodyText"/>
      </w:pPr>
      <w:r>
        <w:t xml:space="preserve">6. The United States Supreme Court denied Dorsey’s petition for a writ of certiorari to the United States Court of Appeals for the Eighth Circuit.</w:t>
      </w:r>
      <w:r>
        <w:t xml:space="preserve"> </w:t>
      </w:r>
      <w:r>
        <w:rPr>
          <w:i/>
          <w:iCs/>
        </w:rPr>
        <w:t xml:space="preserve">Dorsey v. Vandergriff</w:t>
      </w:r>
      <w:r>
        <w:t xml:space="preserve">, No. 22</w:t>
      </w:r>
      <w:r>
        <w:noBreakHyphen/>
      </w:r>
      <w:r>
        <w:t xml:space="preserve">6091 (Feb. 21, 2023). The State has included a copy of the United States Supreme Court’s February 21, 2023 order list, which includes an order denying Dorsey’s petition, as an attachment to this motion.</w:t>
      </w:r>
    </w:p>
    <w:p>
      <w:pPr>
        <w:pStyle w:val="BodyText"/>
      </w:pPr>
      <w:r>
        <w:t xml:space="preserve">7. Under Rule 30.30(c), this Court will set a date of execution after the United States Supreme Court has denied review of the defendant’s</w:t>
      </w:r>
      <w:r>
        <w:t xml:space="preserve"> </w:t>
      </w:r>
      <w:r>
        <w:t xml:space="preserve">“direct appeal, state post-conviction motion, and federal habeas corpus decision.”</w:t>
      </w:r>
    </w:p>
    <w:p>
      <w:pPr>
        <w:pStyle w:val="BodyText"/>
      </w:pPr>
      <w:r>
        <w:t xml:space="preserve">8. Dorsey has completed state and federal review, and this Court should set a date for the execution of his sentence. Rule 30.30.</w:t>
      </w:r>
    </w:p>
    <w:p>
      <w:pPr>
        <w:keepNext/>
        <w:keepLines/>
        <w:spacing w:before="312" w:after="260" w:line="299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pStyle w:val="BodyText"/>
      </w:pPr>
      <w:r>
        <w:t xml:space="preserve">For these reasons, the State of Missouri asks the Court to set a date for the execution of Brian Dorsey’s death sentence.</w:t>
      </w:r>
    </w:p>
    <w:p>
      <w:pPr>
        <w:spacing w:before="0" w:after="0" w:line="432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99" w:lineRule="exact"/>
              <w:ind w:left="4608" w:firstLine="0"/>
              <w:jc w:val="left"/>
            </w:pPr>
            <w:r>
              <w:t xml:space="preserve">Respectfully</w:t>
            </w:r>
            <w:r>
              <w:t xml:space="preserve"> </w:t>
            </w:r>
            <w:r>
              <w:t xml:space="preserve">submitted,</w:t>
            </w:r>
          </w:p>
          <w:p>
            <w:pPr>
              <w:spacing w:before="234" w:after="0" w:line="299" w:lineRule="exact"/>
              <w:ind w:left="4608" w:firstLine="0"/>
              <w:jc w:val="left"/>
            </w:pPr>
            <w:r>
              <w:t xml:space="preserve">ANDREW</w:t>
            </w:r>
            <w:r>
              <w:t xml:space="preserve"> </w:t>
            </w:r>
            <w:r>
              <w:t xml:space="preserve">BAILEY</w:t>
            </w:r>
          </w:p>
          <w:p>
            <w:pPr>
              <w:spacing w:before="0" w:after="0" w:line="299" w:lineRule="exact"/>
              <w:ind w:left="4608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General</w:t>
            </w:r>
          </w:p>
          <w:p>
            <w:pPr>
              <w:spacing w:before="234" w:after="0" w:line="299" w:lineRule="exact"/>
              <w:ind w:left="4608" w:firstLine="0"/>
              <w:jc w:val="left"/>
            </w:pPr>
            <w:r>
              <w:t xml:space="preserve">/s/</w:t>
            </w:r>
            <w:r>
              <w:t xml:space="preserve"> </w:t>
            </w:r>
            <w:r>
              <w:t xml:space="preserve">Gregory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Goodwin</w:t>
            </w:r>
          </w:p>
          <w:p>
            <w:pPr>
              <w:spacing w:before="0" w:after="0" w:line="299" w:lineRule="exact"/>
              <w:ind w:left="4608" w:firstLine="0"/>
              <w:jc w:val="left"/>
            </w:pPr>
            <w:r>
              <w:t xml:space="preserve">Gregory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Goodwin</w:t>
            </w:r>
          </w:p>
          <w:p>
            <w:pPr>
              <w:spacing w:before="0" w:after="0" w:line="299" w:lineRule="exact"/>
              <w:ind w:left="4608" w:firstLine="0"/>
              <w:jc w:val="left"/>
            </w:pPr>
            <w:r>
              <w:t xml:space="preserve">Assistant</w:t>
            </w:r>
            <w:r>
              <w:t xml:space="preserve"> </w:t>
            </w:r>
            <w:r>
              <w:t xml:space="preserve">Attorney</w:t>
            </w:r>
            <w:r>
              <w:t xml:space="preserve"> </w:t>
            </w:r>
            <w:r>
              <w:t xml:space="preserve">General</w:t>
            </w:r>
          </w:p>
          <w:p>
            <w:pPr>
              <w:spacing w:before="0" w:after="0" w:line="299" w:lineRule="exact"/>
              <w:ind w:left="4608" w:firstLine="0"/>
              <w:jc w:val="left"/>
            </w:pPr>
            <w:r>
              <w:t xml:space="preserve">Missouri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#65929</w:t>
            </w:r>
          </w:p>
          <w:p>
            <w:pPr>
              <w:spacing w:before="0" w:after="0" w:line="299" w:lineRule="exact"/>
              <w:ind w:left="4608" w:firstLine="0"/>
              <w:jc w:val="left"/>
            </w:pPr>
            <w:r>
              <w:t xml:space="preserve">P.O.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899</w:t>
            </w:r>
          </w:p>
          <w:p>
            <w:pPr>
              <w:spacing w:before="0" w:after="0" w:line="299" w:lineRule="exact"/>
              <w:ind w:left="4608" w:firstLine="0"/>
              <w:jc w:val="left"/>
            </w:pPr>
            <w:r>
              <w:t xml:space="preserve">Jefferson</w:t>
            </w:r>
            <w:r>
              <w:t xml:space="preserve"> </w:t>
            </w:r>
            <w:r>
              <w:t xml:space="preserve">City,</w:t>
            </w:r>
            <w:r>
              <w:t xml:space="preserve"> </w:t>
            </w:r>
            <w:r>
              <w:t xml:space="preserve">MO</w:t>
            </w:r>
            <w:r>
              <w:t xml:space="preserve"> </w:t>
            </w:r>
            <w:r>
              <w:t xml:space="preserve">65102</w:t>
            </w:r>
          </w:p>
          <w:p>
            <w:pPr>
              <w:spacing w:before="0" w:after="0" w:line="299" w:lineRule="exact"/>
              <w:ind w:left="4608" w:firstLine="0"/>
              <w:jc w:val="left"/>
            </w:pPr>
            <w:r>
              <w:t xml:space="preserve">(573)</w:t>
            </w:r>
            <w:r>
              <w:t xml:space="preserve"> </w:t>
            </w:r>
            <w:r>
              <w:t xml:space="preserve">751</w:t>
              <w:noBreakHyphen/>
              <w:t xml:space="preserve">7017</w:t>
            </w:r>
          </w:p>
          <w:p>
            <w:pPr>
              <w:spacing w:before="0" w:after="0" w:line="299" w:lineRule="exact"/>
              <w:ind w:left="4608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Respondent</w:t>
            </w:r>
          </w:p>
        </w:tc>
      </w:tr>
    </w:tbl>
    <w:p>
      <w:pPr>
        <w:keepNext/>
        <w:keepLines/>
        <w:spacing w:before="432" w:after="260" w:line="299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pStyle w:val="XdTail"/>
      </w:pPr>
      <w:r>
        <w:t xml:space="preserve">I certify that I filed this document using the Missouri Case Net electronic filing system on February 21, 2023. All other parties will receive electronic service. I further certify that I served Dorsey’s federal-litigation attorneys, listed below, by electronic mail:</w:t>
      </w:r>
    </w:p>
    <w:p>
      <w:pPr>
        <w:pStyle w:val="XdTail"/>
      </w:pPr>
      <w:r>
        <w:t xml:space="preserve">Marshall L. Dayan</w:t>
      </w:r>
      <w:r>
        <w:br/>
      </w:r>
      <w:r>
        <w:t xml:space="preserve">Marshall_Dayan@fd.org</w:t>
      </w:r>
    </w:p>
    <w:p>
      <w:pPr>
        <w:pStyle w:val="XdTail"/>
      </w:pPr>
      <w:r>
        <w:t xml:space="preserve">Kirk J. Henderson</w:t>
      </w:r>
      <w:r>
        <w:br/>
      </w:r>
      <w:r>
        <w:t xml:space="preserve">Kirk_Henderson@fd.org</w:t>
      </w:r>
    </w:p>
    <w:p>
      <w:pPr>
        <w:pStyle w:val="XdTail"/>
      </w:pPr>
      <w:r>
        <w:t xml:space="preserve">/s/ Gregory M. Goodwin</w:t>
      </w:r>
      <w:r>
        <w:br/>
      </w:r>
      <w:r>
        <w:t xml:space="preserve">Assistant Attorney General</w:t>
      </w:r>
    </w:p>
    <w:sectPr>
      <w:footerReference w:type="default" r:id="rIdFooter1"/>
      <w:pgSz w:w="12240" w:h="15840"/>
      <w:pgMar w:top="1440" w:right="1440" w:bottom="1440" w:left="1440" w:header="720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99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9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99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99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99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99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99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9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99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30" w:line="299" w:lineRule="exact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</w:pPr>
  </w:style>
  <w:style w:type="paragraph" w:customStyle="1" w:styleId="XdQuote">
    <w:name w:val="Xd Quote"/>
    <w:basedOn w:val="Normal"/>
    <w:qFormat/>
    <w:pPr>
      <w:spacing w:before="208" w:after="208" w:line="299" w:lineRule="exact"/>
      <w:ind w:left="720" w:right="720" w:firstLine="0"/>
    </w:pPr>
  </w:style>
  <w:style w:type="paragraph" w:customStyle="1" w:styleId="XdQuoteFirst">
    <w:name w:val="Xd Quote First"/>
    <w:basedOn w:val="Normal"/>
    <w:qFormat/>
    <w:pPr>
      <w:spacing w:before="156" w:after="208" w:line="299" w:lineRule="exact"/>
      <w:ind w:left="720" w:right="720" w:firstLine="0"/>
    </w:pPr>
  </w:style>
  <w:style w:type="paragraph" w:customStyle="1" w:styleId="XdQuoteLast">
    <w:name w:val="Xd Quote Last"/>
    <w:basedOn w:val="Normal"/>
    <w:qFormat/>
    <w:pPr>
      <w:spacing w:before="208" w:after="260" w:line="299" w:lineRule="exact"/>
      <w:ind w:left="720" w:right="720" w:firstLine="0"/>
    </w:pPr>
  </w:style>
  <w:style w:type="paragraph" w:customStyle="1" w:styleId="XdQuoteOnly">
    <w:name w:val="Xd Quote Only"/>
    <w:basedOn w:val="Normal"/>
    <w:qFormat/>
    <w:pPr>
      <w:spacing w:before="156" w:after="260" w:line="299" w:lineRule="exact"/>
      <w:ind w:left="720" w:right="720" w:firstLine="0"/>
    </w:pPr>
  </w:style>
  <w:style w:type="paragraph" w:customStyle="1" w:styleId="XdTail">
    <w:name w:val="Xd Tail"/>
    <w:basedOn w:val="Normal"/>
    <w:qFormat/>
    <w:pPr>
      <w:spacing w:before="0" w:after="208" w:line="299" w:lineRule="exact"/>
      <w:ind w:firstLine="0"/>
    </w:pPr>
  </w:style>
  <w:style w:type="paragraph" w:customStyle="1" w:styleId="XdList1">
    <w:name w:val="XdList 1"/>
    <w:basedOn w:val="Normal"/>
    <w:qFormat/>
    <w:pPr>
      <w:spacing w:before="0" w:after="0" w:line="598" w:lineRule="exact"/>
      <w:ind w:left="720" w:hanging="720"/>
    </w:pPr>
  </w:style>
  <w:style w:type="paragraph" w:customStyle="1" w:styleId="XdList2">
    <w:name w:val="XdList 2"/>
    <w:basedOn w:val="Normal"/>
    <w:qFormat/>
    <w:pPr>
      <w:spacing w:before="0" w:after="0" w:line="598" w:lineRule="exact"/>
      <w:ind w:left="1440" w:hanging="720"/>
    </w:pPr>
  </w:style>
  <w:style w:type="paragraph" w:customStyle="1" w:styleId="XdList3">
    <w:name w:val="XdList 3"/>
    <w:basedOn w:val="Normal"/>
    <w:qFormat/>
    <w:pPr>
      <w:spacing w:before="0" w:after="0" w:line="598" w:lineRule="exact"/>
      <w:ind w:left="2160" w:hanging="720"/>
    </w:pPr>
  </w:style>
  <w:style w:type="paragraph" w:customStyle="1" w:styleId="XdTailList1">
    <w:name w:val="XdTailList 1"/>
    <w:basedOn w:val="Normal"/>
    <w:qFormat/>
    <w:pPr>
      <w:spacing w:before="0" w:after="0" w:line="299" w:lineRule="exact"/>
      <w:ind w:left="720" w:hanging="720"/>
    </w:pPr>
  </w:style>
  <w:style w:type="paragraph" w:customStyle="1" w:styleId="XdTailList2">
    <w:name w:val="XdTailList 2"/>
    <w:basedOn w:val="Normal"/>
    <w:qFormat/>
    <w:pPr>
      <w:spacing w:before="0" w:after="0" w:line="299" w:lineRule="exact"/>
      <w:ind w:left="1440" w:hanging="720"/>
    </w:pPr>
  </w:style>
  <w:style w:type="paragraph" w:customStyle="1" w:styleId="XdTailList3">
    <w:name w:val="XdTailList 3"/>
    <w:basedOn w:val="Normal"/>
    <w:qFormat/>
    <w:pPr>
      <w:spacing w:before="0" w:after="0" w:line="299" w:lineRule="exact"/>
      <w:ind w:left="2160" w:hanging="720"/>
    </w:pPr>
  </w:style>
  <w:style w:type="paragraph" w:customStyle="1" w:styleId="XdTail">
    <w:name w:val="XdTail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