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168" w:after="0" w:line="340" w:lineRule="exact"/>
        <w:jc w:val="center"/>
      </w:pPr>
      <w:r>
        <w:rPr>
          <w:b/>
          <w:bCs/>
        </w:rPr>
        <w:t xml:space="preserve">Vet. App. No. </w:t>
      </w:r>
      <w:r>
        <w:rPr>
          <w:b/>
          <w:bCs/>
        </w:rPr>
        <w:t xml:space="preserve">20</w:t>
        <w:noBreakHyphen/>
        <w:t xml:space="preserve">7621</w:t>
      </w:r>
    </w:p>
    <w:p>
      <w:pPr>
        <w:pBdr>
          <w:bottom w:val="thickThinSmallGap" w:sz="12" w:space="1" w:color="000000"/>
        </w:pBdr>
        <w:spacing w:before="280" w:after="0" w:line="20" w:lineRule="exact"/>
        <w:ind w:left="0" w:right="0"/>
      </w:pPr>
    </w:p>
    <w:p>
      <w:pPr>
        <w:spacing w:before="280" w:after="0" w:line="340" w:lineRule="exact"/>
        <w:jc w:val="center"/>
      </w:pPr>
      <w:r>
        <w:rPr>
          <w:b/>
          <w:bCs/>
        </w:rPr>
        <w:t xml:space="preserve">IN THE UNITED STATES COURT OF APPEALS</w:t>
      </w:r>
      <w:r>
        <w:br/>
      </w:r>
      <w:r>
        <w:rPr>
          <w:b/>
          <w:bCs/>
        </w:rPr>
        <w:t xml:space="preserve">FOR VETERANS CLAIMS</w:t>
      </w:r>
    </w:p>
    <w:p>
      <w:pPr>
        <w:pBdr>
          <w:bottom w:val="single" w:sz="6" w:space="1" w:color="000000"/>
        </w:pBdr>
        <w:spacing w:before="280" w:after="0" w:line="20" w:lineRule="exact"/>
        <w:ind w:left="3240" w:right="3240"/>
      </w:pPr>
    </w:p>
    <w:p>
      <w:pPr>
        <w:spacing w:before="280" w:after="0" w:line="340" w:lineRule="exact"/>
        <w:jc w:val="center"/>
      </w:pPr>
      <w:r>
        <w:t xml:space="preserve">MONTE</w:t>
      </w:r>
      <w:r>
        <w:t xml:space="preserve"> </w:t>
      </w:r>
      <w:r>
        <w:t xml:space="preserve">D.</w:t>
      </w:r>
      <w:r>
        <w:t xml:space="preserve"> </w:t>
      </w:r>
      <w:r>
        <w:t xml:space="preserve">BUTLER,</w:t>
      </w:r>
    </w:p>
    <w:p>
      <w:pPr>
        <w:spacing w:before="0" w:after="0" w:line="340" w:lineRule="exact"/>
        <w:ind w:left="4680"/>
      </w:pPr>
      <w:r>
        <w:t xml:space="preserve">Appellant,</w:t>
      </w:r>
    </w:p>
    <w:p>
      <w:pPr>
        <w:spacing w:before="84" w:after="84" w:line="340" w:lineRule="exact"/>
        <w:jc w:val="center"/>
      </w:pPr>
      <w:r>
        <w:t xml:space="preserve">v.</w:t>
      </w:r>
    </w:p>
    <w:p>
      <w:pPr>
        <w:spacing w:before="0" w:after="0" w:line="340" w:lineRule="exact"/>
        <w:jc w:val="center"/>
      </w:pPr>
      <w:r>
        <w:t xml:space="preserve">DENIS</w:t>
      </w:r>
      <w:r>
        <w:t xml:space="preserve"> </w:t>
      </w:r>
      <w:r>
        <w:t xml:space="preserve">MCDONOUGH,</w:t>
      </w:r>
    </w:p>
    <w:p>
      <w:pPr>
        <w:spacing w:before="0" w:after="0" w:line="340" w:lineRule="exact"/>
        <w:jc w:val="center"/>
      </w:pPr>
      <w:r>
        <w:t xml:space="preserve">SECRETARY</w:t>
      </w:r>
      <w:r>
        <w:t xml:space="preserve"> </w:t>
      </w:r>
      <w:r>
        <w:t xml:space="preserve">OF</w:t>
      </w:r>
      <w:r>
        <w:t xml:space="preserve"> </w:t>
      </w:r>
      <w:r>
        <w:t xml:space="preserve">VETERANS</w:t>
      </w:r>
      <w:r>
        <w:t xml:space="preserve"> </w:t>
      </w:r>
      <w:r>
        <w:t xml:space="preserve">AFFAIRS,</w:t>
      </w:r>
    </w:p>
    <w:p>
      <w:pPr>
        <w:spacing w:before="0" w:after="0" w:line="340" w:lineRule="exact"/>
        <w:ind w:left="4680"/>
      </w:pPr>
      <w:r>
        <w:t xml:space="preserve">Appellee.</w:t>
      </w:r>
    </w:p>
    <w:p>
      <w:pPr>
        <w:pBdr>
          <w:bottom w:val="single" w:sz="6" w:space="1" w:color="000000"/>
        </w:pBdr>
        <w:spacing w:before="280" w:after="0" w:line="20" w:lineRule="exact"/>
        <w:ind w:left="3240" w:right="3240"/>
      </w:pPr>
    </w:p>
    <w:p>
      <w:pPr>
        <w:spacing w:before="280" w:after="0" w:line="340" w:lineRule="exact"/>
        <w:jc w:val="center"/>
      </w:pPr>
      <w:r>
        <w:rPr>
          <w:b/>
          <w:bCs/>
        </w:rPr>
        <w:t xml:space="preserve">APPELLANT’S BRIEF</w:t>
      </w:r>
    </w:p>
    <w:p>
      <w:pPr>
        <w:pBdr>
          <w:bottom w:val="single" w:sz="6" w:space="1" w:color="000000"/>
        </w:pBdr>
        <w:spacing w:before="280" w:after="0" w:line="20" w:lineRule="exact"/>
        <w:ind w:left="3240" w:right="3240"/>
      </w:pPr>
    </w:p>
    <w:p>
      <w:pPr>
        <w:keepLines/>
        <w:spacing w:before="280" w:after="0" w:line="340" w:lineRule="exact"/>
        <w:ind w:left="4680"/>
      </w:pPr>
      <w:r>
        <w:t xml:space="preserve">Ashley</w:t>
      </w:r>
      <w:r>
        <w:t xml:space="preserve"> </w:t>
      </w:r>
      <w:r>
        <w:t xml:space="preserve">C.</w:t>
      </w:r>
      <w:r>
        <w:t xml:space="preserve"> </w:t>
      </w:r>
      <w:r>
        <w:t xml:space="preserve">Gautreau</w:t>
      </w:r>
    </w:p>
    <w:p>
      <w:pPr>
        <w:keepLines/>
        <w:spacing w:before="0" w:after="0" w:line="340" w:lineRule="exact"/>
        <w:ind w:left="4680" w:firstLine="140"/>
      </w:pPr>
      <w:r>
        <w:rPr>
          <w:i/>
          <w:iCs/>
        </w:rPr>
        <w:t xml:space="preserve">14030</w:t>
      </w:r>
      <w:r>
        <w:rPr>
          <w:i/>
          <w:iCs/>
        </w:rPr>
        <w:t xml:space="preserve"> </w:t>
      </w:r>
      <w:r>
        <w:rPr>
          <w:i/>
          <w:iCs/>
        </w:rPr>
        <w:t xml:space="preserve">Elgin</w:t>
      </w:r>
      <w:r>
        <w:rPr>
          <w:i/>
          <w:iCs/>
        </w:rPr>
        <w:t xml:space="preserve"> </w:t>
      </w:r>
      <w:r>
        <w:rPr>
          <w:i/>
          <w:iCs/>
        </w:rPr>
        <w:t xml:space="preserve">St</w:t>
      </w:r>
    </w:p>
    <w:p>
      <w:pPr>
        <w:keepLines/>
        <w:spacing w:before="0" w:after="0" w:line="340" w:lineRule="exact"/>
        <w:ind w:left="4680" w:firstLine="140"/>
      </w:pPr>
      <w:r>
        <w:rPr>
          <w:i/>
          <w:iCs/>
        </w:rPr>
        <w:t xml:space="preserve">Oak</w:t>
      </w:r>
      <w:r>
        <w:rPr>
          <w:i/>
          <w:iCs/>
        </w:rPr>
        <w:t xml:space="preserve"> </w:t>
      </w:r>
      <w:r>
        <w:rPr>
          <w:i/>
          <w:iCs/>
        </w:rPr>
        <w:t xml:space="preserve">Park,</w:t>
      </w:r>
      <w:r>
        <w:rPr>
          <w:i/>
          <w:iCs/>
        </w:rPr>
        <w:t xml:space="preserve"> </w:t>
      </w:r>
      <w:r>
        <w:rPr>
          <w:i/>
          <w:iCs/>
        </w:rPr>
        <w:t xml:space="preserve">MI</w:t>
      </w:r>
      <w:r>
        <w:rPr>
          <w:i/>
          <w:iCs/>
        </w:rPr>
        <w:t xml:space="preserve"> </w:t>
      </w:r>
      <w:r>
        <w:rPr>
          <w:i/>
          <w:iCs/>
        </w:rPr>
        <w:t xml:space="preserve">48237</w:t>
      </w:r>
    </w:p>
    <w:p>
      <w:pPr>
        <w:keepLines/>
        <w:spacing w:before="0" w:after="0" w:line="340" w:lineRule="exact"/>
        <w:ind w:left="4680" w:firstLine="140"/>
      </w:pPr>
      <w:r>
        <w:rPr>
          <w:i/>
          <w:iCs/>
        </w:rPr>
        <w:t xml:space="preserve">Attorney</w:t>
      </w:r>
      <w:r>
        <w:rPr>
          <w:i/>
          <w:iCs/>
        </w:rPr>
        <w:t xml:space="preserve"> </w:t>
      </w:r>
      <w:r>
        <w:rPr>
          <w:i/>
          <w:iCs/>
        </w:rPr>
        <w:t xml:space="preserve">for</w:t>
      </w:r>
      <w:r>
        <w:rPr>
          <w:i/>
          <w:iCs/>
        </w:rPr>
        <w:t xml:space="preserve"> </w:t>
      </w:r>
      <w:r>
        <w:rPr>
          <w:i/>
          <w:iCs/>
        </w:rPr>
        <w:t xml:space="preserve">Appellant</w:t>
      </w:r>
    </w:p>
    <w:p>
      <w:pPr>
        <w:keepLines/>
        <w:spacing w:before="0" w:after="0" w:line="340" w:lineRule="exact"/>
        <w:ind w:left="4680" w:firstLine="140"/>
      </w:pPr>
      <w:r>
        <w:rPr>
          <w:i/>
          <w:iCs/>
        </w:rPr>
        <w:t xml:space="preserve">(800)</w:t>
      </w:r>
      <w:r>
        <w:rPr>
          <w:i/>
          <w:iCs/>
        </w:rPr>
        <w:t xml:space="preserve"> </w:t>
      </w:r>
      <w:r>
        <w:rPr>
          <w:i/>
          <w:iCs/>
        </w:rPr>
        <w:t xml:space="preserve">461</w:t>
        <w:noBreakHyphen/>
        <w:t xml:space="preserve">9746</w:t>
      </w:r>
    </w:p>
    <w:p>
      <w:pPr>
        <w:pBdr>
          <w:bottom w:val="thickThinSmallGap" w:sz="12" w:space="1" w:color="000000"/>
        </w:pBdr>
        <w:spacing w:before="280" w:after="0" w:line="20" w:lineRule="exact"/>
        <w:ind w:left="0" w:right="0"/>
      </w:pPr>
    </w:p>
    <w:p>
      <w:pPr>
        <w:spacing w:before="0" w:after="0" w:line="20" w:lineRule="exact"/>
        <w:sectPr>
          <w:footerReference w:type="default" r:id="rIdFtrNone"/>
          <w:pgSz w:w="12240" w:h="15840"/>
          <w:pgMar w:top="1440" w:right="1441" w:bottom="1440" w:left="1440" w:header="720" w:footer="676"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340" w:lineRule="exact"/>
        <w:ind w:left="0" w:right="20"/>
        <w:jc w:val="right"/>
      </w:pPr>
      <w:r>
        <w:rPr>
          <w:b/>
          <w:bCs/>
          <w:u w:val="single"/>
        </w:rPr>
        <w:t xml:space="preserve">Page</w:t>
      </w:r>
    </w:p>
    <w:p>
      <w:pPr>
        <w:keepLines/>
        <w:tabs>
          <w:tab w:val="right" w:leader="dot" w:pos="9360"/>
        </w:tabs>
        <w:spacing w:before="168" w:after="0" w:line="340" w:lineRule="exact"/>
        <w:ind w:left="0" w:right="720"/>
      </w:pPr>
      <w:r>
        <w:t xml:space="preserve">BRIEF OF THE APPELLANT   </w:t>
      </w:r>
      <w:r>
        <w:tab/>
      </w:r>
      <w:r>
        <w:t xml:space="preserve">1</w:t>
      </w:r>
    </w:p>
    <w:p>
      <w:pPr>
        <w:keepLines/>
        <w:tabs>
          <w:tab w:val="right" w:leader="dot" w:pos="9360"/>
        </w:tabs>
        <w:spacing w:before="168" w:after="0" w:line="340" w:lineRule="exact"/>
        <w:ind w:left="0" w:right="720"/>
      </w:pPr>
      <w:r>
        <w:t xml:space="preserve">STATEMENT OF THE ISSUE   </w:t>
      </w:r>
      <w:r>
        <w:tab/>
      </w:r>
      <w:r>
        <w:t xml:space="preserve">1</w:t>
      </w:r>
    </w:p>
    <w:p>
      <w:pPr>
        <w:keepLines/>
        <w:tabs>
          <w:tab w:val="right" w:leader="dot" w:pos="9360"/>
        </w:tabs>
        <w:spacing w:before="168" w:after="0" w:line="340" w:lineRule="exact"/>
        <w:ind w:left="0" w:right="720"/>
      </w:pPr>
      <w:r>
        <w:t xml:space="preserve">STATEMENT OF THE CASE   </w:t>
      </w:r>
      <w:r>
        <w:tab/>
      </w:r>
      <w:r>
        <w:t xml:space="preserve">2</w:t>
      </w:r>
    </w:p>
    <w:p>
      <w:pPr>
        <w:keepLines/>
        <w:tabs>
          <w:tab w:val="right" w:leader="dot" w:pos="9360"/>
        </w:tabs>
        <w:spacing w:before="98" w:after="0" w:line="340" w:lineRule="exact"/>
        <w:ind w:left="1440" w:right="720" w:hanging="720"/>
      </w:pPr>
      <w:r>
        <w:t xml:space="preserve">A.</w:t>
      </w:r>
      <w:r>
        <w:tab/>
      </w:r>
      <w:r>
        <w:t xml:space="preserve">Nature of the Case   </w:t>
      </w:r>
      <w:r>
        <w:tab/>
      </w:r>
      <w:r>
        <w:t xml:space="preserve">2</w:t>
      </w:r>
    </w:p>
    <w:p>
      <w:pPr>
        <w:keepLines/>
        <w:tabs>
          <w:tab w:val="right" w:leader="dot" w:pos="9360"/>
        </w:tabs>
        <w:spacing w:before="98" w:after="0" w:line="340" w:lineRule="exact"/>
        <w:ind w:left="1440" w:right="720" w:hanging="720"/>
      </w:pPr>
      <w:r>
        <w:t xml:space="preserve">B.</w:t>
      </w:r>
      <w:r>
        <w:tab/>
      </w:r>
      <w:r>
        <w:t xml:space="preserve">Course and Results of Proceedings Below   </w:t>
      </w:r>
      <w:r>
        <w:tab/>
      </w:r>
      <w:r>
        <w:t xml:space="preserve">2</w:t>
      </w:r>
    </w:p>
    <w:p>
      <w:pPr>
        <w:keepLines/>
        <w:tabs>
          <w:tab w:val="right" w:leader="dot" w:pos="9360"/>
        </w:tabs>
        <w:spacing w:before="98" w:after="0" w:line="340" w:lineRule="exact"/>
        <w:ind w:left="1440" w:right="720" w:hanging="720"/>
      </w:pPr>
      <w:r>
        <w:t xml:space="preserve">C.</w:t>
      </w:r>
      <w:r>
        <w:tab/>
      </w:r>
      <w:r>
        <w:t xml:space="preserve">Statement of the Facts   </w:t>
      </w:r>
      <w:r>
        <w:tab/>
      </w:r>
      <w:r>
        <w:t xml:space="preserve">2</w:t>
      </w:r>
    </w:p>
    <w:p>
      <w:pPr>
        <w:keepLines/>
        <w:tabs>
          <w:tab w:val="right" w:leader="dot" w:pos="9360"/>
        </w:tabs>
        <w:spacing w:before="168" w:after="0" w:line="340" w:lineRule="exact"/>
        <w:ind w:left="0" w:right="720"/>
      </w:pPr>
      <w:r>
        <w:t xml:space="preserve">ARGUMENT   </w:t>
      </w:r>
      <w:r>
        <w:tab/>
      </w:r>
      <w:r>
        <w:t xml:space="preserve">4</w:t>
      </w:r>
    </w:p>
    <w:p>
      <w:pPr>
        <w:keepLines/>
        <w:tabs>
          <w:tab w:val="right" w:leader="dot" w:pos="9360"/>
        </w:tabs>
        <w:spacing w:before="98" w:after="0" w:line="340" w:lineRule="exact"/>
        <w:ind w:left="720" w:right="720" w:hanging="720"/>
      </w:pPr>
      <w:r>
        <w:t xml:space="preserve">I.</w:t>
      </w:r>
      <w:r>
        <w:tab/>
      </w:r>
      <w:r>
        <w:t xml:space="preserve">THE BOARD FAILED TO SUPPORT ITS OCTOBER 21, 2020 DECISION WITH ADEQUATE REASONS OR BASES.   </w:t>
      </w:r>
      <w:r>
        <w:tab/>
      </w:r>
      <w:r>
        <w:t xml:space="preserve">4</w:t>
      </w:r>
    </w:p>
    <w:p>
      <w:pPr>
        <w:keepLines/>
        <w:tabs>
          <w:tab w:val="right" w:leader="dot" w:pos="9360"/>
        </w:tabs>
        <w:spacing w:before="168" w:after="0" w:line="340" w:lineRule="exact"/>
        <w:ind w:left="0" w:right="720"/>
      </w:pPr>
      <w:r>
        <w:t xml:space="preserve">CONCLUSION   </w:t>
      </w:r>
      <w:r>
        <w:tab/>
      </w:r>
      <w:r>
        <w:t xml:space="preserve">7</w:t>
      </w:r>
    </w:p>
    <w:p>
      <w:pPr>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340" w:lineRule="exact"/>
      </w:pPr>
      <w:r>
        <w:rPr>
          <w:b/>
          <w:bCs/>
        </w:rPr>
        <w:t xml:space="preserve">Cases:</w:t>
      </w:r>
      <w:r>
        <w:tab/>
      </w:r>
      <w:r>
        <w:rPr>
          <w:b/>
          <w:bCs/>
          <w:u w:val="single"/>
        </w:rPr>
        <w:t xml:space="preserve">Page(s)</w:t>
      </w:r>
    </w:p>
    <w:p>
      <w:pPr>
        <w:keepLines/>
        <w:tabs>
          <w:tab w:val="right" w:leader="dot" w:pos="9360"/>
        </w:tabs>
        <w:spacing w:before="196" w:after="0" w:line="340" w:lineRule="exact"/>
        <w:ind w:left="504" w:right="1120" w:hanging="504"/>
      </w:pPr>
      <w:r>
        <w:rPr>
          <w:i/>
          <w:iCs/>
        </w:rPr>
        <w:t xml:space="preserve">Allday</w:t>
      </w:r>
      <w:r>
        <w:rPr>
          <w:i/>
          <w:iCs/>
        </w:rPr>
        <w:t xml:space="preserve"> </w:t>
      </w:r>
      <w:r>
        <w:rPr>
          <w:i/>
          <w:iCs/>
        </w:rPr>
        <w:t xml:space="preserve">v.</w:t>
      </w:r>
      <w:r>
        <w:rPr>
          <w:i/>
          <w:iCs/>
        </w:rPr>
        <w:t xml:space="preserve"> </w:t>
      </w:r>
      <w:r>
        <w:rPr>
          <w:i/>
          <w:iCs/>
        </w:rPr>
        <w:t xml:space="preserve">Brown</w:t>
      </w:r>
      <w:r>
        <w:t xml:space="preserve">,</w:t>
      </w:r>
      <w:r>
        <w:br/>
      </w:r>
      <w:r>
        <w:t xml:space="preserve">7</w:t>
      </w:r>
      <w:r>
        <w:t xml:space="preserve"> </w:t>
      </w:r>
      <w:r>
        <w:t xml:space="preserve">Vet.</w:t>
      </w:r>
      <w:r>
        <w:t xml:space="preserve"> </w:t>
      </w:r>
      <w:r>
        <w:t xml:space="preserve">App.</w:t>
      </w:r>
      <w:r>
        <w:t xml:space="preserve"> </w:t>
      </w:r>
      <w:r>
        <w:t xml:space="preserve">517</w:t>
      </w:r>
      <w:r>
        <w:t xml:space="preserve"> </w:t>
      </w:r>
      <w:r>
        <w:t xml:space="preserve">(1995)</w:t>
      </w:r>
      <w:r>
        <w:t xml:space="preserve">   </w:t>
      </w:r>
      <w:r>
        <w:tab/>
      </w:r>
      <w:r>
        <w:t xml:space="preserve">4</w:t>
      </w:r>
    </w:p>
    <w:p>
      <w:pPr>
        <w:keepLines/>
        <w:tabs>
          <w:tab w:val="right" w:leader="dot" w:pos="9360"/>
        </w:tabs>
        <w:spacing w:before="196" w:after="0" w:line="340" w:lineRule="exact"/>
        <w:ind w:left="504" w:right="1120" w:hanging="504"/>
      </w:pPr>
      <w:r>
        <w:rPr>
          <w:i/>
          <w:iCs/>
        </w:rPr>
        <w:t xml:space="preserve">Gabrielson</w:t>
      </w:r>
      <w:r>
        <w:rPr>
          <w:i/>
          <w:iCs/>
        </w:rPr>
        <w:t xml:space="preserve"> </w:t>
      </w:r>
      <w:r>
        <w:rPr>
          <w:i/>
          <w:iCs/>
        </w:rPr>
        <w:t xml:space="preserve">v.</w:t>
      </w:r>
      <w:r>
        <w:rPr>
          <w:i/>
          <w:iCs/>
        </w:rPr>
        <w:t xml:space="preserve"> </w:t>
      </w:r>
      <w:r>
        <w:rPr>
          <w:i/>
          <w:iCs/>
        </w:rPr>
        <w:t xml:space="preserve">Brown</w:t>
      </w:r>
      <w:r>
        <w:t xml:space="preserve">,</w:t>
      </w:r>
      <w:r>
        <w:br/>
      </w:r>
      <w:r>
        <w:t xml:space="preserve">7</w:t>
      </w:r>
      <w:r>
        <w:t xml:space="preserve"> </w:t>
      </w:r>
      <w:r>
        <w:t xml:space="preserve">Vet.</w:t>
      </w:r>
      <w:r>
        <w:t xml:space="preserve"> </w:t>
      </w:r>
      <w:r>
        <w:t xml:space="preserve">App.</w:t>
      </w:r>
      <w:r>
        <w:t xml:space="preserve"> </w:t>
      </w:r>
      <w:r>
        <w:t xml:space="preserve">36</w:t>
      </w:r>
      <w:r>
        <w:t xml:space="preserve"> </w:t>
      </w:r>
      <w:r>
        <w:t xml:space="preserve">(1994)</w:t>
      </w:r>
      <w:r>
        <w:t xml:space="preserve">   </w:t>
      </w:r>
      <w:r>
        <w:tab/>
      </w:r>
      <w:r>
        <w:t xml:space="preserve">5</w:t>
      </w:r>
    </w:p>
    <w:p>
      <w:pPr>
        <w:keepLines/>
        <w:tabs>
          <w:tab w:val="right" w:leader="dot" w:pos="9360"/>
        </w:tabs>
        <w:spacing w:before="196" w:after="0" w:line="340" w:lineRule="exact"/>
        <w:ind w:left="504" w:right="1120" w:hanging="504"/>
      </w:pPr>
      <w:r>
        <w:rPr>
          <w:i/>
          <w:iCs/>
        </w:rPr>
        <w:t xml:space="preserve">Gilbert</w:t>
      </w:r>
      <w:r>
        <w:rPr>
          <w:i/>
          <w:iCs/>
        </w:rPr>
        <w:t xml:space="preserve"> </w:t>
      </w:r>
      <w:r>
        <w:rPr>
          <w:i/>
          <w:iCs/>
        </w:rPr>
        <w:t xml:space="preserve">v.</w:t>
      </w:r>
      <w:r>
        <w:rPr>
          <w:i/>
          <w:iCs/>
        </w:rPr>
        <w:t xml:space="preserve"> </w:t>
      </w:r>
      <w:r>
        <w:rPr>
          <w:i/>
          <w:iCs/>
        </w:rPr>
        <w:t xml:space="preserve">Derwinski</w:t>
      </w:r>
      <w:r>
        <w:t xml:space="preserve">,</w:t>
      </w:r>
      <w:r>
        <w:br/>
      </w:r>
      <w:r>
        <w:t xml:space="preserve">1</w:t>
      </w:r>
      <w:r>
        <w:t xml:space="preserve"> </w:t>
      </w:r>
      <w:r>
        <w:t xml:space="preserve">Vet.</w:t>
      </w:r>
      <w:r>
        <w:t xml:space="preserve"> </w:t>
      </w:r>
      <w:r>
        <w:t xml:space="preserve">App.</w:t>
      </w:r>
      <w:r>
        <w:t xml:space="preserve"> </w:t>
      </w:r>
      <w:r>
        <w:t xml:space="preserve">49</w:t>
      </w:r>
      <w:r>
        <w:t xml:space="preserve"> </w:t>
      </w:r>
      <w:r>
        <w:t xml:space="preserve">(1990)</w:t>
      </w:r>
      <w:r>
        <w:t xml:space="preserve">   </w:t>
      </w:r>
      <w:r>
        <w:tab/>
      </w:r>
      <w:r>
        <w:t xml:space="preserve">4, 5</w:t>
      </w:r>
    </w:p>
    <w:p>
      <w:pPr>
        <w:keepLines/>
        <w:tabs>
          <w:tab w:val="right" w:leader="dot" w:pos="9360"/>
        </w:tabs>
        <w:spacing w:before="196" w:after="0" w:line="340" w:lineRule="exact"/>
        <w:ind w:left="504" w:right="1120" w:hanging="504"/>
      </w:pPr>
      <w:r>
        <w:rPr>
          <w:i/>
          <w:iCs/>
        </w:rPr>
        <w:t xml:space="preserve">Meyer</w:t>
      </w:r>
      <w:r>
        <w:rPr>
          <w:i/>
          <w:iCs/>
        </w:rPr>
        <w:t xml:space="preserve"> </w:t>
      </w:r>
      <w:r>
        <w:rPr>
          <w:i/>
          <w:iCs/>
        </w:rPr>
        <w:t xml:space="preserve">v.</w:t>
      </w:r>
      <w:r>
        <w:rPr>
          <w:i/>
          <w:iCs/>
        </w:rPr>
        <w:t xml:space="preserve"> </w:t>
      </w:r>
      <w:r>
        <w:rPr>
          <w:i/>
          <w:iCs/>
        </w:rPr>
        <w:t xml:space="preserve">Brown</w:t>
      </w:r>
      <w:r>
        <w:t xml:space="preserve">,</w:t>
      </w:r>
      <w:r>
        <w:br/>
      </w:r>
      <w:r>
        <w:t xml:space="preserve">9</w:t>
      </w:r>
      <w:r>
        <w:t xml:space="preserve"> </w:t>
      </w:r>
      <w:r>
        <w:t xml:space="preserve">Vet.</w:t>
      </w:r>
      <w:r>
        <w:t xml:space="preserve"> </w:t>
      </w:r>
      <w:r>
        <w:t xml:space="preserve">App.</w:t>
      </w:r>
      <w:r>
        <w:t xml:space="preserve"> </w:t>
      </w:r>
      <w:r>
        <w:t xml:space="preserve">425</w:t>
      </w:r>
      <w:r>
        <w:t xml:space="preserve"> </w:t>
      </w:r>
      <w:r>
        <w:t xml:space="preserve">(1996)</w:t>
      </w:r>
      <w:r>
        <w:t xml:space="preserve">   </w:t>
      </w:r>
      <w:r>
        <w:tab/>
      </w:r>
      <w:r>
        <w:t xml:space="preserve">5</w:t>
      </w:r>
    </w:p>
    <w:p>
      <w:pPr>
        <w:keepLines/>
        <w:tabs>
          <w:tab w:val="right" w:leader="dot" w:pos="9360"/>
        </w:tabs>
        <w:spacing w:before="196" w:after="0" w:line="340" w:lineRule="exact"/>
        <w:ind w:left="504" w:right="1120" w:hanging="504"/>
      </w:pPr>
      <w:r>
        <w:rPr>
          <w:i/>
          <w:iCs/>
        </w:rPr>
        <w:t xml:space="preserve">Tucker</w:t>
      </w:r>
      <w:r>
        <w:rPr>
          <w:i/>
          <w:iCs/>
        </w:rPr>
        <w:t xml:space="preserve"> </w:t>
      </w:r>
      <w:r>
        <w:rPr>
          <w:i/>
          <w:iCs/>
        </w:rPr>
        <w:t xml:space="preserve">v.</w:t>
      </w:r>
      <w:r>
        <w:rPr>
          <w:i/>
          <w:iCs/>
        </w:rPr>
        <w:t xml:space="preserve"> </w:t>
      </w:r>
      <w:r>
        <w:rPr>
          <w:i/>
          <w:iCs/>
        </w:rPr>
        <w:t xml:space="preserve">West</w:t>
      </w:r>
      <w:r>
        <w:t xml:space="preserve">,</w:t>
      </w:r>
      <w:r>
        <w:br/>
      </w:r>
      <w:r>
        <w:t xml:space="preserve">11</w:t>
      </w:r>
      <w:r>
        <w:t xml:space="preserve"> </w:t>
      </w:r>
      <w:r>
        <w:t xml:space="preserve">Vet.</w:t>
      </w:r>
      <w:r>
        <w:t xml:space="preserve"> </w:t>
      </w:r>
      <w:r>
        <w:t xml:space="preserve">App.</w:t>
      </w:r>
      <w:r>
        <w:t xml:space="preserve"> </w:t>
      </w:r>
      <w:r>
        <w:t xml:space="preserve">369</w:t>
      </w:r>
      <w:r>
        <w:t xml:space="preserve"> </w:t>
      </w:r>
      <w:r>
        <w:t xml:space="preserve">(1998)</w:t>
      </w:r>
      <w:r>
        <w:t xml:space="preserve">   </w:t>
      </w:r>
      <w:r>
        <w:tab/>
      </w:r>
      <w:r>
        <w:t xml:space="preserve">5</w:t>
      </w:r>
    </w:p>
    <w:p>
      <w:pPr>
        <w:keepLines/>
        <w:tabs>
          <w:tab w:val="right" w:leader="dot" w:pos="9360"/>
        </w:tabs>
        <w:spacing w:before="196" w:after="0" w:line="340" w:lineRule="exact"/>
        <w:ind w:left="504" w:right="1120" w:hanging="504"/>
      </w:pPr>
      <w:r>
        <w:rPr>
          <w:i/>
          <w:iCs/>
        </w:rPr>
        <w:t xml:space="preserve">Washington</w:t>
      </w:r>
      <w:r>
        <w:rPr>
          <w:i/>
          <w:iCs/>
        </w:rPr>
        <w:t xml:space="preserve"> </w:t>
      </w:r>
      <w:r>
        <w:rPr>
          <w:i/>
          <w:iCs/>
        </w:rPr>
        <w:t xml:space="preserve">v.</w:t>
      </w:r>
      <w:r>
        <w:rPr>
          <w:i/>
          <w:iCs/>
        </w:rPr>
        <w:t xml:space="preserve"> </w:t>
      </w:r>
      <w:r>
        <w:rPr>
          <w:i/>
          <w:iCs/>
        </w:rPr>
        <w:t xml:space="preserve">Nicholson</w:t>
      </w:r>
      <w:r>
        <w:t xml:space="preserve">,</w:t>
      </w:r>
      <w:r>
        <w:br/>
      </w:r>
      <w:r>
        <w:t xml:space="preserve">19</w:t>
      </w:r>
      <w:r>
        <w:t xml:space="preserve"> </w:t>
      </w:r>
      <w:r>
        <w:t xml:space="preserve">Vet.</w:t>
      </w:r>
      <w:r>
        <w:t xml:space="preserve"> </w:t>
      </w:r>
      <w:r>
        <w:t xml:space="preserve">App.</w:t>
      </w:r>
      <w:r>
        <w:t xml:space="preserve"> </w:t>
      </w:r>
      <w:r>
        <w:t xml:space="preserve">362</w:t>
      </w:r>
      <w:r>
        <w:t xml:space="preserve"> </w:t>
      </w:r>
      <w:r>
        <w:t xml:space="preserve">(2005)</w:t>
      </w:r>
      <w:r>
        <w:t xml:space="preserve">   </w:t>
      </w:r>
      <w:r>
        <w:tab/>
      </w:r>
      <w:r>
        <w:t xml:space="preserve">5</w:t>
      </w:r>
    </w:p>
    <w:p>
      <w:pPr>
        <w:keepNext/>
        <w:keepLines/>
        <w:tabs>
          <w:tab w:val="right" w:pos="9360"/>
        </w:tabs>
        <w:spacing w:before="392" w:after="56" w:line="340" w:lineRule="exact"/>
      </w:pPr>
      <w:r>
        <w:rPr>
          <w:b/>
          <w:bCs/>
        </w:rPr>
        <w:t xml:space="preserve">Statutes:</w:t>
      </w:r>
    </w:p>
    <w:p>
      <w:pPr>
        <w:keepLines/>
        <w:tabs>
          <w:tab w:val="right" w:leader="dot" w:pos="9360"/>
        </w:tabs>
        <w:spacing w:before="196" w:after="0" w:line="340" w:lineRule="exact"/>
        <w:ind w:left="504" w:right="1120" w:hanging="504"/>
      </w:pPr>
      <w:r>
        <w:t xml:space="preserve">38</w:t>
      </w:r>
      <w:r>
        <w:t xml:space="preserve"> </w:t>
      </w:r>
      <w:r>
        <w:t xml:space="preserve">U.S.C.</w:t>
      </w:r>
      <w:r>
        <w:t xml:space="preserve"> </w:t>
      </w:r>
      <w:r>
        <w:t xml:space="preserve">§</w:t>
      </w:r>
      <w:r>
        <w:t xml:space="preserve"> </w:t>
      </w:r>
      <w:r>
        <w:t xml:space="preserve">1154</w:t>
      </w:r>
      <w:r>
        <w:t xml:space="preserve"> </w:t>
      </w:r>
      <w:r>
        <w:t xml:space="preserve">(2006)</w:t>
      </w:r>
      <w:r>
        <w:t xml:space="preserve">   </w:t>
      </w:r>
      <w:r>
        <w:tab/>
      </w:r>
      <w:r>
        <w:t xml:space="preserve">5</w:t>
      </w:r>
    </w:p>
    <w:p>
      <w:pPr>
        <w:keepLines/>
        <w:tabs>
          <w:tab w:val="right" w:leader="dot" w:pos="9360"/>
        </w:tabs>
        <w:spacing w:before="196" w:after="0" w:line="340" w:lineRule="exact"/>
        <w:ind w:left="504" w:right="1120" w:hanging="504"/>
      </w:pPr>
      <w:r>
        <w:t xml:space="preserve">38</w:t>
      </w:r>
      <w:r>
        <w:t xml:space="preserve"> </w:t>
      </w:r>
      <w:r>
        <w:t xml:space="preserve">U.S.C.</w:t>
      </w:r>
      <w:r>
        <w:t xml:space="preserve"> </w:t>
      </w:r>
      <w:r>
        <w:t xml:space="preserve">§</w:t>
      </w:r>
      <w:r>
        <w:t xml:space="preserve"> </w:t>
      </w:r>
      <w:r>
        <w:t xml:space="preserve">7104</w:t>
      </w:r>
      <w:r>
        <w:t xml:space="preserve">   </w:t>
      </w:r>
      <w:r>
        <w:tab/>
      </w:r>
      <w:r>
        <w:t xml:space="preserve">4</w:t>
      </w:r>
    </w:p>
    <w:p>
      <w:pPr>
        <w:keepLines/>
        <w:tabs>
          <w:tab w:val="right" w:leader="dot" w:pos="9360"/>
        </w:tabs>
        <w:spacing w:before="196" w:after="0" w:line="340" w:lineRule="exact"/>
        <w:ind w:left="504" w:right="1120" w:hanging="504"/>
      </w:pPr>
      <w:r>
        <w:t xml:space="preserve">38</w:t>
      </w:r>
      <w:r>
        <w:t xml:space="preserve"> </w:t>
      </w:r>
      <w:r>
        <w:t xml:space="preserve">U.S.C.</w:t>
      </w:r>
      <w:r>
        <w:t xml:space="preserve"> </w:t>
      </w:r>
      <w:r>
        <w:t xml:space="preserve">§§</w:t>
      </w:r>
      <w:r>
        <w:t xml:space="preserve"> </w:t>
      </w:r>
      <w:r>
        <w:t xml:space="preserve">7252,</w:t>
      </w:r>
      <w:r>
        <w:t xml:space="preserve"> </w:t>
      </w:r>
      <w:r>
        <w:t xml:space="preserve">7261(a)</w:t>
      </w:r>
      <w:r>
        <w:t xml:space="preserve">   </w:t>
      </w:r>
      <w:r>
        <w:tab/>
      </w:r>
      <w:r>
        <w:t xml:space="preserve">1</w:t>
      </w:r>
    </w:p>
    <w:p>
      <w:pPr>
        <w:keepNext/>
        <w:keepLines/>
        <w:tabs>
          <w:tab w:val="right" w:pos="9360"/>
        </w:tabs>
        <w:spacing w:before="392" w:after="56" w:line="340" w:lineRule="exact"/>
      </w:pPr>
      <w:r>
        <w:rPr>
          <w:b/>
          <w:bCs/>
        </w:rPr>
        <w:t xml:space="preserve">Regulations:</w:t>
      </w:r>
    </w:p>
    <w:p>
      <w:pPr>
        <w:keepLines/>
        <w:tabs>
          <w:tab w:val="right" w:leader="dot" w:pos="9360"/>
        </w:tabs>
        <w:spacing w:before="196" w:after="0" w:line="340" w:lineRule="exact"/>
        <w:ind w:left="504" w:right="1120" w:hanging="504"/>
      </w:pPr>
      <w:r>
        <w:t xml:space="preserve">38</w:t>
      </w:r>
      <w:r>
        <w:t xml:space="preserve"> </w:t>
      </w:r>
      <w:r>
        <w:t xml:space="preserve">C.F.R.</w:t>
      </w:r>
      <w:r>
        <w:t xml:space="preserve"> </w:t>
      </w:r>
      <w:r>
        <w:t xml:space="preserve">§</w:t>
      </w:r>
      <w:r>
        <w:t xml:space="preserve"> </w:t>
      </w:r>
      <w:r>
        <w:t xml:space="preserve">4.97</w:t>
      </w:r>
      <w:r>
        <w:t xml:space="preserve">   </w:t>
      </w:r>
      <w:r>
        <w:tab/>
      </w:r>
      <w:r>
        <w:t xml:space="preserve">3, 5, 6</w:t>
      </w:r>
    </w:p>
    <w:p>
      <w:pPr>
        <w:keepNext/>
        <w:keepLines/>
        <w:tabs>
          <w:tab w:val="right" w:pos="9360"/>
        </w:tabs>
        <w:spacing w:before="392" w:after="56" w:line="340" w:lineRule="exact"/>
      </w:pPr>
      <w:r>
        <w:rPr>
          <w:b/>
          <w:bCs/>
        </w:rPr>
        <w:t xml:space="preserve">Citations to the Record Before the Agency:</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1</w:t>
        <w:noBreakHyphen/>
        <w:t xml:space="preserve">16</w:t>
      </w:r>
      <w:r>
        <w:t xml:space="preserve"> </w:t>
      </w:r>
      <w:r>
        <w:t xml:space="preserve">(October</w:t>
      </w:r>
      <w:r>
        <w:t xml:space="preserve"> </w:t>
      </w:r>
      <w:r>
        <w:t xml:space="preserve">21,</w:t>
      </w:r>
      <w:r>
        <w:t xml:space="preserve"> </w:t>
      </w:r>
      <w:r>
        <w:t xml:space="preserve">2020</w:t>
      </w:r>
      <w:r>
        <w:t xml:space="preserve"> </w:t>
      </w:r>
      <w:r>
        <w:t xml:space="preserve">Board</w:t>
      </w:r>
      <w:r>
        <w:t xml:space="preserve"> </w:t>
      </w:r>
      <w:r>
        <w:t xml:space="preserve">decision)</w:t>
      </w:r>
      <w:r>
        <w:t xml:space="preserve">   </w:t>
      </w:r>
      <w:r>
        <w:tab/>
      </w:r>
      <w:r>
        <w:t xml:space="preserve">2</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5</w:t>
      </w:r>
      <w:r>
        <w:t xml:space="preserve">   </w:t>
      </w:r>
      <w:r>
        <w:tab/>
      </w:r>
      <w:r>
        <w:t xml:space="preserve">3, 4</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6</w:t>
      </w:r>
      <w:r>
        <w:t xml:space="preserve">   </w:t>
      </w:r>
      <w:r>
        <w:tab/>
      </w:r>
      <w:r>
        <w:t xml:space="preserve">3, 4</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14</w:t>
      </w:r>
      <w:r>
        <w:t xml:space="preserve">   </w:t>
      </w:r>
      <w:r>
        <w:tab/>
      </w:r>
      <w:r>
        <w:t xml:space="preserve">6</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16</w:t>
      </w:r>
      <w:r>
        <w:t xml:space="preserve">   </w:t>
      </w:r>
      <w:r>
        <w:tab/>
      </w:r>
      <w:r>
        <w:t xml:space="preserve">7</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40</w:t>
        <w:noBreakHyphen/>
        <w:t xml:space="preserve">44</w:t>
      </w:r>
      <w:r>
        <w:t xml:space="preserve"> </w:t>
      </w:r>
      <w:r>
        <w:t xml:space="preserve">(JMR)</w:t>
      </w:r>
      <w:r>
        <w:t xml:space="preserve">   </w:t>
      </w:r>
      <w:r>
        <w:tab/>
      </w:r>
      <w:r>
        <w:t xml:space="preserve">3</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45</w:t>
      </w:r>
      <w:r>
        <w:t xml:space="preserve"> </w:t>
      </w:r>
      <w:r>
        <w:t xml:space="preserve">(CAVC</w:t>
      </w:r>
      <w:r>
        <w:t xml:space="preserve"> </w:t>
      </w:r>
      <w:r>
        <w:t xml:space="preserve">Order)</w:t>
      </w:r>
      <w:r>
        <w:t xml:space="preserve">   </w:t>
      </w:r>
      <w:r>
        <w:tab/>
      </w:r>
      <w:r>
        <w:t xml:space="preserve">3</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168</w:t>
        <w:noBreakHyphen/>
        <w:t xml:space="preserve">180</w:t>
      </w:r>
      <w:r>
        <w:t xml:space="preserve"> </w:t>
      </w:r>
      <w:r>
        <w:t xml:space="preserve">(April</w:t>
      </w:r>
      <w:r>
        <w:t xml:space="preserve"> </w:t>
      </w:r>
      <w:r>
        <w:t xml:space="preserve">2019</w:t>
      </w:r>
      <w:r>
        <w:t xml:space="preserve"> </w:t>
      </w:r>
      <w:r>
        <w:t xml:space="preserve">BVA</w:t>
      </w:r>
      <w:r>
        <w:t xml:space="preserve"> </w:t>
      </w:r>
      <w:r>
        <w:t xml:space="preserve">decision)</w:t>
      </w:r>
      <w:r>
        <w:t xml:space="preserve">   </w:t>
      </w:r>
      <w:r>
        <w:tab/>
      </w:r>
      <w:r>
        <w:t xml:space="preserve">3</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859</w:t>
        <w:noBreakHyphen/>
        <w:t xml:space="preserve">860</w:t>
      </w:r>
      <w:r>
        <w:t xml:space="preserve"> </w:t>
      </w:r>
      <w:r>
        <w:t xml:space="preserve">(Form</w:t>
      </w:r>
      <w:r>
        <w:t xml:space="preserve"> </w:t>
      </w:r>
      <w:r>
        <w:t xml:space="preserve">9)</w:t>
      </w:r>
      <w:r>
        <w:t xml:space="preserve">   </w:t>
      </w:r>
      <w:r>
        <w:tab/>
      </w:r>
      <w:r>
        <w:t xml:space="preserve">2, 3</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860</w:t>
      </w:r>
      <w:r>
        <w:t xml:space="preserve">   </w:t>
      </w:r>
      <w:r>
        <w:tab/>
      </w:r>
      <w:r>
        <w:t xml:space="preserve">6</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1199</w:t>
        <w:noBreakHyphen/>
        <w:t xml:space="preserve">1200</w:t>
      </w:r>
      <w:r>
        <w:t xml:space="preserve"> </w:t>
      </w:r>
      <w:r>
        <w:t xml:space="preserve">(NOD)</w:t>
      </w:r>
      <w:r>
        <w:t xml:space="preserve">   </w:t>
      </w:r>
      <w:r>
        <w:tab/>
      </w:r>
      <w:r>
        <w:t xml:space="preserve">2, 3</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1200</w:t>
      </w:r>
      <w:r>
        <w:t xml:space="preserve">   </w:t>
      </w:r>
      <w:r>
        <w:tab/>
      </w:r>
      <w:r>
        <w:t xml:space="preserve">6</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1240</w:t>
        <w:noBreakHyphen/>
        <w:t xml:space="preserve">1241</w:t>
      </w:r>
      <w:r>
        <w:t xml:space="preserve"> </w:t>
      </w:r>
      <w:r>
        <w:t xml:space="preserve">(May</w:t>
      </w:r>
      <w:r>
        <w:t xml:space="preserve"> </w:t>
      </w:r>
      <w:r>
        <w:t xml:space="preserve">2016</w:t>
      </w:r>
      <w:r>
        <w:t xml:space="preserve"> </w:t>
      </w:r>
      <w:r>
        <w:t xml:space="preserve">rating</w:t>
      </w:r>
      <w:r>
        <w:t xml:space="preserve"> </w:t>
      </w:r>
      <w:r>
        <w:t xml:space="preserve">decision)</w:t>
      </w:r>
      <w:r>
        <w:t xml:space="preserve">   </w:t>
      </w:r>
      <w:r>
        <w:tab/>
      </w:r>
      <w:r>
        <w:t xml:space="preserve">2, 3</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1425</w:t>
      </w:r>
      <w:r>
        <w:t xml:space="preserve"> </w:t>
      </w:r>
      <w:r>
        <w:t xml:space="preserve">(DD14)</w:t>
      </w:r>
      <w:r>
        <w:t xml:space="preserve">   </w:t>
      </w:r>
      <w:r>
        <w:tab/>
      </w:r>
      <w:r>
        <w:t xml:space="preserve">2</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1579</w:t>
        <w:noBreakHyphen/>
        <w:t xml:space="preserve">1580</w:t>
      </w:r>
      <w:r>
        <w:t xml:space="preserve"> </w:t>
      </w:r>
      <w:r>
        <w:t xml:space="preserve">(VAMC</w:t>
      </w:r>
      <w:r>
        <w:t xml:space="preserve"> </w:t>
      </w:r>
      <w:r>
        <w:t xml:space="preserve">record)</w:t>
      </w:r>
      <w:r>
        <w:t xml:space="preserve">   </w:t>
      </w:r>
      <w:r>
        <w:tab/>
      </w:r>
      <w:r>
        <w:t xml:space="preserve">6</w:t>
      </w:r>
    </w:p>
    <w:p>
      <w:pPr>
        <w:keepLines/>
        <w:tabs>
          <w:tab w:val="right" w:leader="dot" w:pos="9360"/>
        </w:tabs>
        <w:spacing w:before="196" w:after="0" w:line="340" w:lineRule="exact"/>
        <w:ind w:left="504" w:right="1120" w:hanging="504"/>
      </w:pPr>
      <w:r>
        <w:t xml:space="preserve">R.</w:t>
      </w:r>
      <w:r>
        <w:t xml:space="preserve"> </w:t>
      </w:r>
      <w:r>
        <w:t xml:space="preserve">at</w:t>
      </w:r>
      <w:r>
        <w:t xml:space="preserve"> </w:t>
      </w:r>
      <w:r>
        <w:t xml:space="preserve">1579</w:t>
        <w:noBreakHyphen/>
        <w:t xml:space="preserve">1590</w:t>
      </w:r>
      <w:r>
        <w:t xml:space="preserve"> </w:t>
      </w:r>
      <w:r>
        <w:t xml:space="preserve">(VAMC</w:t>
      </w:r>
      <w:r>
        <w:t xml:space="preserve"> </w:t>
      </w:r>
      <w:r>
        <w:t xml:space="preserve">record)</w:t>
      </w:r>
      <w:r>
        <w:t xml:space="preserve">   </w:t>
      </w:r>
      <w:r>
        <w:tab/>
      </w:r>
      <w:r>
        <w:t xml:space="preserve">6</w:t>
      </w:r>
    </w:p>
    <w:p>
      <w:pPr>
        <w:spacing w:before="0" w:after="0" w:line="20" w:lineRule="exact"/>
        <w:sectPr>
          <w:footerReference w:type="default" r:id="rIdFtrPage"/>
          <w:pgSz w:w="12240" w:h="15840"/>
          <w:pgMar w:top="1440" w:right="1441" w:bottom="1440" w:left="1440" w:header="720" w:footer="676" w:gutter="0"/>
          <w:pgNumType w:fmt="lowerRoman" w:start="1"/>
        </w:sectPr>
      </w:pPr>
    </w:p>
    <w:p>
      <w:pPr>
        <w:pStyle w:val="Heading1"/>
        <w:keepNext/>
        <w:keepLines/>
        <w:spacing w:before="0" w:after="308" w:line="400" w:lineRule="exact"/>
        <w:ind w:left="0" w:firstLine="0"/>
        <w:jc w:val="center"/>
      </w:pPr>
      <w:r>
        <w:rPr>
          <w:b/>
          <w:bCs/>
          <w:sz w:val="32"/>
          <w:szCs w:val="32"/>
        </w:rPr>
        <w:t xml:space="preserve">BRIEF OF THE APPELLANT</w:t>
      </w:r>
    </w:p>
    <w:p>
      <w:pPr>
        <w:pStyle w:val="FirstParagraph"/>
      </w:pPr>
      <w:r>
        <w:t xml:space="preserve">Pursuant to U.S. Vet. App. R. 28 and 31, Monte D. Butler (Appellant or Veteran or Claimant) respectfully submits to the United States Court of Appeals for Veterans Claims (Court) the initial Brief of the Appellant stating that there are errors of law contained within the Department of Veterans Affairs (VA) decision of October 21, 2020 in which the Board of Veterans’ Appeals (Board or BVA) denied the Appellant’s claims of entitlement to an initial disability rating in excess of 30 percent prior to September 26, 2015 for service-connected sarcoidosis and in excess of 60 percent thereafter. In support of his position, Appellant relies on the information contained within the Record Before the Agency (RBA or R.) as filed with the Court and the following Brief of the Appellant.</w:t>
      </w:r>
    </w:p>
    <w:p>
      <w:pPr>
        <w:pStyle w:val="BodyText"/>
      </w:pPr>
      <w:r>
        <w:t xml:space="preserve">This Honorable Court has jurisdiction to review the October 21, 2020 Board decision under the authority of 38 U.S.C. §§ 7252(a), 7261(a), and 7266.</w:t>
      </w:r>
    </w:p>
    <w:p>
      <w:pPr>
        <w:pStyle w:val="Heading1"/>
        <w:keepNext/>
        <w:keepLines/>
        <w:spacing w:before="420" w:after="308" w:line="400" w:lineRule="exact"/>
        <w:ind w:left="0" w:firstLine="0"/>
        <w:jc w:val="center"/>
      </w:pPr>
      <w:r>
        <w:rPr>
          <w:b/>
          <w:bCs/>
          <w:sz w:val="32"/>
          <w:szCs w:val="32"/>
        </w:rPr>
        <w:t xml:space="preserve">STATEMENT OF THE ISSUE</w:t>
      </w:r>
    </w:p>
    <w:p>
      <w:pPr>
        <w:pStyle w:val="BodyText"/>
      </w:pPr>
      <w:r>
        <w:rPr>
          <w:b/>
          <w:bCs/>
        </w:rPr>
        <w:t xml:space="preserve">I: WHETHER THE BOARD FAILED TO SUPPORT ITS OCTOBER 21, 2020 DECISION WITH ADEQUATE REASONS OR BASES.</w:t>
      </w:r>
    </w:p>
    <w:p>
      <w:pPr>
        <w:pStyle w:val="Heading1"/>
        <w:keepNext/>
        <w:keepLines/>
        <w:spacing w:before="420" w:after="308" w:line="400" w:lineRule="exact"/>
        <w:ind w:left="0" w:firstLine="0"/>
        <w:jc w:val="center"/>
      </w:pPr>
      <w:r>
        <w:rPr>
          <w:b/>
          <w:bCs/>
          <w:sz w:val="32"/>
          <w:szCs w:val="32"/>
        </w:rPr>
        <w:t xml:space="preserve">STATEMENT OF THE CASE</w:t>
      </w:r>
    </w:p>
    <w:p>
      <w:pPr>
        <w:pStyle w:val="Heading2"/>
        <w:keepNext/>
        <w:keepLines/>
        <w:spacing w:before="308" w:after="252" w:line="340" w:lineRule="exact"/>
        <w:ind w:left="1440" w:hanging="720"/>
      </w:pPr>
      <w:r>
        <w:rPr>
          <w:b/>
          <w:bCs/>
        </w:rPr>
        <w:t xml:space="preserve">A.</w:t>
      </w:r>
      <w:r>
        <w:rPr>
          <w:b/>
          <w:bCs/>
        </w:rPr>
        <w:tab/>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The Veteran, Monte D. Butler, appeals an October 21, 2020 decision by the Board that denied his claims of entitlement to an initial disability rating in excess of 30 percent prior to September 26, 2015 for service-connected sarcoidosis and in excess of 60 percent thereafter.</w:t>
      </w:r>
      <w:r>
        <w:t xml:space="preserve"> </w:t>
      </w:r>
      <w:r>
        <w:rPr>
          <w:i/>
          <w:iCs/>
        </w:rPr>
        <w:t xml:space="preserve">See</w:t>
      </w:r>
      <w:r>
        <w:t xml:space="preserve"> </w:t>
      </w:r>
      <w:r>
        <w:t xml:space="preserve">Record (R.) at 1</w:t>
      </w:r>
      <w:r>
        <w:noBreakHyphen/>
      </w:r>
      <w:r>
        <w:t xml:space="preserve">16.</w:t>
      </w:r>
    </w:p>
    <w:p>
      <w:pPr>
        <w:pStyle w:val="Heading2"/>
        <w:keepNext/>
        <w:keepLines/>
        <w:spacing w:before="308" w:after="252" w:line="340" w:lineRule="exact"/>
        <w:ind w:left="1440" w:hanging="720"/>
      </w:pPr>
      <w:r>
        <w:rPr>
          <w:b/>
          <w:bCs/>
        </w:rPr>
        <w:t xml:space="preserve">B.</w:t>
      </w:r>
      <w:r>
        <w:rPr>
          <w:b/>
          <w:bCs/>
        </w:rPr>
        <w:tab/>
      </w:r>
      <w:r>
        <w:rPr>
          <w:b/>
          <w:bCs/>
        </w:rPr>
        <w:t xml:space="preserve">Course</w:t>
      </w:r>
      <w:r>
        <w:rPr>
          <w:b/>
          <w:bCs/>
        </w:rPr>
        <w:t xml:space="preserve"> </w:t>
      </w:r>
      <w:r>
        <w:rPr>
          <w:b/>
          <w:bCs/>
        </w:rPr>
        <w:t xml:space="preserve">and</w:t>
      </w:r>
      <w:r>
        <w:rPr>
          <w:b/>
          <w:bCs/>
        </w:rPr>
        <w:t xml:space="preserve"> </w:t>
      </w:r>
      <w:r>
        <w:rPr>
          <w:b/>
          <w:bCs/>
        </w:rPr>
        <w:t xml:space="preserve">Results</w:t>
      </w:r>
      <w:r>
        <w:rPr>
          <w:b/>
          <w:bCs/>
        </w:rPr>
        <w:t xml:space="preserve"> </w:t>
      </w:r>
      <w:r>
        <w:rPr>
          <w:b/>
          <w:bCs/>
        </w:rPr>
        <w:t xml:space="preserve">of</w:t>
      </w:r>
      <w:r>
        <w:rPr>
          <w:b/>
          <w:bCs/>
        </w:rPr>
        <w:t xml:space="preserve"> </w:t>
      </w:r>
      <w:r>
        <w:rPr>
          <w:b/>
          <w:bCs/>
        </w:rPr>
        <w:t xml:space="preserve">Proceedings</w:t>
      </w:r>
      <w:r>
        <w:rPr>
          <w:b/>
          <w:bCs/>
        </w:rPr>
        <w:t xml:space="preserve"> </w:t>
      </w:r>
      <w:r>
        <w:rPr>
          <w:b/>
          <w:bCs/>
        </w:rPr>
        <w:t xml:space="preserve">Below</w:t>
      </w:r>
    </w:p>
    <w:p>
      <w:pPr>
        <w:pStyle w:val="BodyText"/>
      </w:pPr>
      <w:r>
        <w:t xml:space="preserve">This appeal arises from a May 2016 rating decision.</w:t>
      </w:r>
      <w:r>
        <w:t xml:space="preserve"> </w:t>
      </w:r>
      <w:r>
        <w:rPr>
          <w:i/>
          <w:iCs/>
        </w:rPr>
        <w:t xml:space="preserve">See</w:t>
      </w:r>
      <w:r>
        <w:t xml:space="preserve"> </w:t>
      </w:r>
      <w:r>
        <w:t xml:space="preserve">R. at 1240</w:t>
      </w:r>
      <w:r>
        <w:noBreakHyphen/>
      </w:r>
      <w:r>
        <w:t xml:space="preserve">1241. The Veteran timely submitted his notice of disagreement (NOD) (R. at 1199</w:t>
      </w:r>
      <w:r>
        <w:noBreakHyphen/>
      </w:r>
      <w:r>
        <w:t xml:space="preserve">1200) and, after Decision Review Officer (DRO) review, perfected his appeal (R. at 859</w:t>
      </w:r>
      <w:r>
        <w:noBreakHyphen/>
      </w:r>
      <w:r>
        <w:t xml:space="preserve">860) leading to the further denial by the Board in a decision of October 21, 2020.</w:t>
      </w:r>
      <w:r>
        <w:t xml:space="preserve"> </w:t>
      </w:r>
      <w:r>
        <w:rPr>
          <w:i/>
          <w:iCs/>
        </w:rPr>
        <w:t xml:space="preserve">See</w:t>
      </w:r>
      <w:r>
        <w:t xml:space="preserve"> </w:t>
      </w:r>
      <w:r>
        <w:t xml:space="preserve">R. at 1</w:t>
      </w:r>
      <w:r>
        <w:noBreakHyphen/>
      </w:r>
      <w:r>
        <w:t xml:space="preserve">16.</w:t>
      </w:r>
    </w:p>
    <w:p>
      <w:pPr>
        <w:pStyle w:val="Heading2"/>
        <w:keepNext/>
        <w:keepLines/>
        <w:spacing w:before="308" w:after="252" w:line="340" w:lineRule="exact"/>
        <w:ind w:left="1440" w:hanging="720"/>
      </w:pPr>
      <w:r>
        <w:rPr>
          <w:b/>
          <w:bCs/>
        </w:rPr>
        <w:t xml:space="preserve">C.</w:t>
      </w:r>
      <w:r>
        <w:rPr>
          <w:b/>
          <w:bCs/>
        </w:rPr>
        <w:tab/>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The Veteran, Monte D. Butler, served honorably on active duty in the United States United States Army from August 1996 to August 2000.</w:t>
      </w:r>
      <w:r>
        <w:t xml:space="preserve"> </w:t>
      </w:r>
      <w:r>
        <w:rPr>
          <w:i/>
          <w:iCs/>
        </w:rPr>
        <w:t xml:space="preserve">See</w:t>
      </w:r>
      <w:r>
        <w:t xml:space="preserve"> </w:t>
      </w:r>
      <w:r>
        <w:t xml:space="preserve">R. at 1425.</w:t>
      </w:r>
    </w:p>
    <w:p>
      <w:pPr>
        <w:pStyle w:val="BodyText"/>
      </w:pPr>
      <w:r>
        <w:t xml:space="preserve">The present appeal stems from a May 2016 Rating Decision which granted the Veteran’s claim of entitlement to service connection for sarcoidosis</w:t>
      </w:r>
      <w:r>
        <w:rPr>
          <w:rStyle w:val="FootnoteReference"/>
        </w:rPr>
        <w:footnoteReference w:id="9"/>
      </w:r>
      <w:r>
        <w:t xml:space="preserve"> </w:t>
      </w:r>
      <w:r>
        <w:t xml:space="preserve">and assigned a 30 percent disability rating effective March 23, 2010.</w:t>
      </w:r>
      <w:r>
        <w:t xml:space="preserve"> </w:t>
      </w:r>
      <w:r>
        <w:rPr>
          <w:i/>
          <w:iCs/>
        </w:rPr>
        <w:t xml:space="preserve">See</w:t>
      </w:r>
      <w:r>
        <w:t xml:space="preserve"> </w:t>
      </w:r>
      <w:r>
        <w:t xml:space="preserve">R. at 1240</w:t>
      </w:r>
      <w:r>
        <w:noBreakHyphen/>
      </w:r>
      <w:r>
        <w:t xml:space="preserve">1241. The Veteran timely filed a Notice of Disagreement (NOD) (R. at 1199</w:t>
      </w:r>
      <w:r>
        <w:noBreakHyphen/>
      </w:r>
      <w:r>
        <w:t xml:space="preserve">1200) with the rating assigned and then appealed to the Board of Veterans’ Appeals (Board or BVA).</w:t>
      </w:r>
      <w:r>
        <w:t xml:space="preserve"> </w:t>
      </w:r>
      <w:r>
        <w:rPr>
          <w:i/>
          <w:iCs/>
        </w:rPr>
        <w:t xml:space="preserve">See</w:t>
      </w:r>
      <w:r>
        <w:t xml:space="preserve"> </w:t>
      </w:r>
      <w:r>
        <w:t xml:space="preserve">R. at 859</w:t>
      </w:r>
      <w:r>
        <w:noBreakHyphen/>
      </w:r>
      <w:r>
        <w:t xml:space="preserve">860.</w:t>
      </w:r>
    </w:p>
    <w:p>
      <w:pPr>
        <w:pStyle w:val="BodyText"/>
      </w:pPr>
      <w:r>
        <w:t xml:space="preserve">Thereafter, in an April 2019 decision, the Board denied the Veteran’s claim for an initial rating in excess of 30 percent for service-connected sarcoidosis.</w:t>
      </w:r>
      <w:r>
        <w:t xml:space="preserve"> </w:t>
      </w:r>
      <w:r>
        <w:rPr>
          <w:i/>
          <w:iCs/>
        </w:rPr>
        <w:t xml:space="preserve">See</w:t>
      </w:r>
      <w:r>
        <w:t xml:space="preserve"> </w:t>
      </w:r>
      <w:r>
        <w:t xml:space="preserve">R. at 168</w:t>
      </w:r>
      <w:r>
        <w:noBreakHyphen/>
      </w:r>
      <w:r>
        <w:t xml:space="preserve">180. The Veteran timely appealed to the U.S. Court of Appeals for Veterans Claims (Court or CAVC) and, pursuant to a Joint Motion for Remand (JMR) (R. at 40</w:t>
      </w:r>
      <w:r>
        <w:noBreakHyphen/>
      </w:r>
      <w:r>
        <w:t xml:space="preserve">44), the Court vacated the Board’s April 2019 decision and remanded the matter.</w:t>
      </w:r>
      <w:r>
        <w:t xml:space="preserve"> </w:t>
      </w:r>
      <w:r>
        <w:rPr>
          <w:i/>
          <w:iCs/>
        </w:rPr>
        <w:t xml:space="preserve">See</w:t>
      </w:r>
      <w:r>
        <w:t xml:space="preserve"> </w:t>
      </w:r>
      <w:r>
        <w:t xml:space="preserve">R. at 45. In the JMR, the parties agreed that the Board had “… erred because it did not adequately consider favorable evidence of fevers and night sweats, weight loss and Appellant’s use of corticosteroids when it denied a higher rating under 38 C.F.R. § 4.97, Diagnostic Code (DC) 6846.” R. at 40.</w:t>
      </w:r>
    </w:p>
    <w:p>
      <w:pPr>
        <w:pStyle w:val="BodyText"/>
      </w:pPr>
      <w:r>
        <w:t xml:space="preserve">Most recently, in an October 21, 2020 decision, the Board found that “[p]rior to September 26, 2015, the preponderance of the evidence shows that the Veteran’s service-connected sarcoidosis more nearly approximates pulmonary involvement with persistent symptoms requiring chronic low dose (maintenance) or intermittent corticosteroids.” R. at 5. Therefore, the Board concluded that “[t]he criteria for an initial rating in excess of 30 percent for service-connected sarcoidosis prior to September 26, 2015 are not met.” R. at 6. However, the Board did find that</w:t>
      </w:r>
    </w:p>
    <w:p>
      <w:pPr>
        <w:pStyle w:val="BlockText"/>
      </w:pPr>
      <w:r>
        <w:t xml:space="preserve">[a]s of September 26, 2015, the evidence is at least equally balanced as to whether the Veteran’s service-connected sarcoidosis more nearly approximates pulmonary involvement with persistent symptoms requiring systemic high dose (therapeutic) corticosteroids for control, with no evidence of cor pulmonale, cardiac involvement with congestive heart failure, or progressive pulmonary disease with fever, night sweats, and weight loss despite treatment.</w:t>
      </w:r>
    </w:p>
    <w:p>
      <w:pPr>
        <w:pStyle w:val="FirstParagraph"/>
      </w:pPr>
      <w:r>
        <w:t xml:space="preserve">R. at 5. As such, the Board concluded that “[t]he criteria for a disability rating of 60 percent, but not higher, for service-connected sarcoidosis from September 26, 2015 are met.” R. at 6. A timely appeal to this Honorable Court followed.</w:t>
      </w:r>
    </w:p>
    <w:p>
      <w:pPr>
        <w:pStyle w:val="Heading1"/>
        <w:keepNext/>
        <w:keepLines/>
        <w:spacing w:before="420" w:after="308" w:line="400" w:lineRule="exact"/>
        <w:ind w:left="0" w:firstLine="0"/>
        <w:jc w:val="center"/>
      </w:pPr>
      <w:r>
        <w:rPr>
          <w:b/>
          <w:bCs/>
          <w:sz w:val="32"/>
          <w:szCs w:val="32"/>
        </w:rPr>
        <w:t xml:space="preserve">ARGUMENT</w:t>
      </w:r>
    </w:p>
    <w:p>
      <w:pPr>
        <w:pStyle w:val="BodyText"/>
      </w:pPr>
      <w:r>
        <w:rPr>
          <w:b/>
          <w:bCs/>
        </w:rPr>
        <w:t xml:space="preserve">Summary</w:t>
      </w:r>
    </w:p>
    <w:p>
      <w:pPr>
        <w:pStyle w:val="BodyText"/>
      </w:pPr>
      <w:r>
        <w:t xml:space="preserve">The Appellant contends that the Board in this instance failed to consider all pertinent and favorable evidence of record thereby failing to support its October 21, 2020 decision with adequate reasons or bases.</w:t>
      </w:r>
    </w:p>
    <w:p>
      <w:pPr>
        <w:pStyle w:val="Heading2"/>
        <w:keepNext/>
        <w:keepLines/>
        <w:spacing w:before="336" w:after="280" w:line="340" w:lineRule="exact"/>
        <w:ind w:left="0" w:firstLine="0"/>
        <w:jc w:val="center"/>
      </w:pPr>
      <w:r>
        <w:rPr>
          <w:b/>
          <w:bCs/>
        </w:rPr>
        <w:t xml:space="preserve">I. </w:t>
      </w:r>
      <w:r>
        <w:rPr>
          <w:b/>
          <w:bCs/>
        </w:rPr>
        <w:t xml:space="preserve">THE</w:t>
      </w:r>
      <w:r>
        <w:rPr>
          <w:b/>
          <w:bCs/>
        </w:rPr>
        <w:t xml:space="preserve"> </w:t>
      </w:r>
      <w:r>
        <w:rPr>
          <w:b/>
          <w:bCs/>
        </w:rPr>
        <w:t xml:space="preserve">BOARD</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SUPPORT</w:t>
      </w:r>
      <w:r>
        <w:rPr>
          <w:b/>
          <w:bCs/>
        </w:rPr>
        <w:t xml:space="preserve"> </w:t>
      </w:r>
      <w:r>
        <w:rPr>
          <w:b/>
          <w:bCs/>
        </w:rPr>
        <w:t xml:space="preserve">ITS</w:t>
      </w:r>
      <w:r>
        <w:rPr>
          <w:b/>
          <w:bCs/>
        </w:rPr>
        <w:t xml:space="preserve"> </w:t>
      </w:r>
      <w:r>
        <w:rPr>
          <w:b/>
          <w:bCs/>
        </w:rPr>
        <w:t xml:space="preserve">OCTOBER</w:t>
      </w:r>
      <w:r>
        <w:rPr>
          <w:b/>
          <w:bCs/>
        </w:rPr>
        <w:t xml:space="preserve"> </w:t>
      </w:r>
      <w:r>
        <w:rPr>
          <w:b/>
          <w:bCs/>
        </w:rPr>
        <w:t xml:space="preserve">21,</w:t>
      </w:r>
      <w:r>
        <w:rPr>
          <w:b/>
          <w:bCs/>
        </w:rPr>
        <w:t xml:space="preserve"> </w:t>
      </w:r>
      <w:r>
        <w:rPr>
          <w:b/>
          <w:bCs/>
        </w:rPr>
        <w:t xml:space="preserve">2020</w:t>
      </w:r>
      <w:r>
        <w:rPr>
          <w:b/>
          <w:bCs/>
        </w:rPr>
        <w:t xml:space="preserve"> </w:t>
      </w:r>
      <w:r>
        <w:rPr>
          <w:b/>
          <w:bCs/>
        </w:rPr>
        <w:t xml:space="preserve">DECISION</w:t>
      </w:r>
      <w:r>
        <w:rPr>
          <w:b/>
          <w:bCs/>
        </w:rPr>
        <w:t xml:space="preserve"> </w:t>
      </w:r>
      <w:r>
        <w:rPr>
          <w:b/>
          <w:bCs/>
        </w:rPr>
        <w:t xml:space="preserve">WITH</w:t>
      </w:r>
      <w:r>
        <w:rPr>
          <w:b/>
          <w:bCs/>
        </w:rPr>
        <w:t xml:space="preserve"> </w:t>
      </w:r>
      <w:r>
        <w:rPr>
          <w:b/>
          <w:bCs/>
        </w:rPr>
        <w:t xml:space="preserve">ADEQUATE</w:t>
      </w:r>
      <w:r>
        <w:rPr>
          <w:b/>
          <w:bCs/>
        </w:rPr>
        <w:t xml:space="preserve"> </w:t>
      </w:r>
      <w:r>
        <w:rPr>
          <w:b/>
          <w:bCs/>
        </w:rPr>
        <w:t xml:space="preserve">REASONS</w:t>
      </w:r>
      <w:r>
        <w:rPr>
          <w:b/>
          <w:bCs/>
        </w:rPr>
        <w:t xml:space="preserve"> </w:t>
      </w:r>
      <w:r>
        <w:rPr>
          <w:b/>
          <w:bCs/>
        </w:rPr>
        <w:t xml:space="preserve">OR</w:t>
      </w:r>
      <w:r>
        <w:rPr>
          <w:b/>
          <w:bCs/>
        </w:rPr>
        <w:t xml:space="preserve"> </w:t>
      </w:r>
      <w:r>
        <w:rPr>
          <w:b/>
          <w:bCs/>
        </w:rPr>
        <w:t xml:space="preserve">BASES.</w:t>
      </w:r>
    </w:p>
    <w:p>
      <w:pPr>
        <w:pStyle w:val="BodyText"/>
      </w:pPr>
      <w:r>
        <w:t xml:space="preserve">The Board is to include in its decision a statement of the reasons or bases for its findings and conclusions on all material issues of fact and law presented on the record, with such statement being adequate to enable an appellant to understand the precise basis for the Board’s decision as well as to facilitate review by this Court.</w:t>
      </w:r>
      <w:r>
        <w:t xml:space="preserve"> </w:t>
      </w:r>
      <w:r>
        <w:rPr>
          <w:i/>
          <w:iCs/>
        </w:rPr>
        <w:t xml:space="preserve">See</w:t>
      </w:r>
      <w:r>
        <w:t xml:space="preserve"> </w:t>
      </w:r>
      <w:r>
        <w:t xml:space="preserve">38 U.S.C. § 7104(d)⁠(1);</w:t>
      </w:r>
      <w:r>
        <w:t xml:space="preserve"> </w:t>
      </w:r>
      <w:r>
        <w:rPr>
          <w:i/>
          <w:iCs/>
        </w:rPr>
        <w:t xml:space="preserve">see also</w:t>
      </w:r>
      <w:r>
        <w:t xml:space="preserve"> </w:t>
      </w:r>
      <w:r>
        <w:rPr>
          <w:i/>
          <w:iCs/>
        </w:rPr>
        <w:t xml:space="preserve">Allday v. Brown</w:t>
      </w:r>
      <w:r>
        <w:t xml:space="preserve">, 7 Vet. App. 517, 527 (1995);</w:t>
      </w:r>
      <w:r>
        <w:t xml:space="preserve"> </w:t>
      </w:r>
      <w:r>
        <w:rPr>
          <w:i/>
          <w:iCs/>
        </w:rPr>
        <w:t xml:space="preserve">Gilbert v. Derwinski</w:t>
      </w:r>
      <w:r>
        <w:t xml:space="preserve">, 1 Vet. App. 49, 56</w:t>
      </w:r>
      <w:r>
        <w:noBreakHyphen/>
      </w:r>
      <w:r>
        <w:t xml:space="preserve">57 (1990). To fulfill this requirement, the Board must “… set forth the precise basis for its decision, [ ] analyze the credibility and probative value of all material evidence submitted by and on behalf of a claimant in support of the claim, and [ ] provide a statement of its reasons or bases for rejecting any such evidence.”</w:t>
      </w:r>
      <w:r>
        <w:t xml:space="preserve"> </w:t>
      </w:r>
      <w:r>
        <w:rPr>
          <w:i/>
          <w:iCs/>
        </w:rPr>
        <w:t xml:space="preserve">Gabrielson v. Brown</w:t>
      </w:r>
      <w:r>
        <w:t xml:space="preserve">, 7 Vet. App. 36, 40 (1994). If the Board fails to provide an adequate statement of reasons or bases, remand is the appropriate remedy.</w:t>
      </w:r>
      <w:r>
        <w:t xml:space="preserve"> </w:t>
      </w:r>
      <w:r>
        <w:rPr>
          <w:i/>
          <w:iCs/>
        </w:rPr>
        <w:t xml:space="preserve">See</w:t>
      </w:r>
      <w:r>
        <w:t xml:space="preserve"> </w:t>
      </w:r>
      <w:r>
        <w:rPr>
          <w:i/>
          <w:iCs/>
        </w:rPr>
        <w:t xml:space="preserve">Tucker v. West</w:t>
      </w:r>
      <w:r>
        <w:t xml:space="preserve">, 11 Vet. App. 369, 374 (1998);</w:t>
      </w:r>
      <w:r>
        <w:t xml:space="preserve"> </w:t>
      </w:r>
      <w:r>
        <w:rPr>
          <w:i/>
          <w:iCs/>
        </w:rPr>
        <w:t xml:space="preserve">see also</w:t>
      </w:r>
      <w:r>
        <w:t xml:space="preserve"> </w:t>
      </w:r>
      <w:r>
        <w:rPr>
          <w:i/>
          <w:iCs/>
        </w:rPr>
        <w:t xml:space="preserve">Washington v. Nicholson</w:t>
      </w:r>
      <w:r>
        <w:t xml:space="preserve">, 19 Vet. App. 362, 371 (2005) (remand is the appropriate remedy when the Board fails to provide an adequate statement of reasons or bases for its determination).</w:t>
      </w:r>
    </w:p>
    <w:p>
      <w:pPr>
        <w:pStyle w:val="BodyText"/>
      </w:pPr>
      <w:r>
        <w:t xml:space="preserve">VA is required to give due consideration to “all pertinent medical and lay evidence” in evaluating a claim for disability or death benefits.</w:t>
      </w:r>
      <w:r>
        <w:t xml:space="preserve"> </w:t>
      </w:r>
      <w:r>
        <w:rPr>
          <w:i/>
          <w:iCs/>
        </w:rPr>
        <w:t xml:space="preserve">See</w:t>
      </w:r>
      <w:r>
        <w:t xml:space="preserve"> </w:t>
      </w:r>
      <w:r>
        <w:t xml:space="preserve">38 U.S.C. § 1154(a) (2006). The Board is not required to discuss all of the evidence of record, “but it cannot reject evidence favorable to the claimant without discussing that evidence.”</w:t>
      </w:r>
      <w:r>
        <w:t xml:space="preserve"> </w:t>
      </w:r>
      <w:r>
        <w:rPr>
          <w:i/>
          <w:iCs/>
        </w:rPr>
        <w:t xml:space="preserve">Meyer v. Brown</w:t>
      </w:r>
      <w:r>
        <w:t xml:space="preserve">, 9 Vet. App. 425, 433 (1996). Further, the Board must account for the evidence that it finds persuasive or unpersuasive, and its decisions must contain clear analysis, and succinct but complete explanations.</w:t>
      </w:r>
      <w:r>
        <w:t xml:space="preserve"> </w:t>
      </w:r>
      <w:r>
        <w:rPr>
          <w:i/>
          <w:iCs/>
        </w:rPr>
        <w:t xml:space="preserve">Gilbert</w:t>
      </w:r>
      <w:r>
        <w:t xml:space="preserve">, 1 Vet. App. at 57.</w:t>
      </w:r>
    </w:p>
    <w:p>
      <w:pPr>
        <w:pStyle w:val="BodyText"/>
      </w:pPr>
      <w:r>
        <w:t xml:space="preserve">The Veteran’s service-connected sarcoidosis is evaluated under 38 C.F.R. § 4.97, Diagnostic Code (DC) 6846. Under diagnostic code 6846, a 30 percent rating is warranted for persistent symptoms requiring chronic low dose (maintenance) or intermittent corticosteroids.</w:t>
      </w:r>
      <w:r>
        <w:t xml:space="preserve"> </w:t>
      </w:r>
      <w:r>
        <w:rPr>
          <w:i/>
          <w:iCs/>
        </w:rPr>
        <w:t xml:space="preserve">See Id.</w:t>
      </w:r>
      <w:r>
        <w:t xml:space="preserve"> </w:t>
      </w:r>
      <w:r>
        <w:t xml:space="preserve">Sarcoidosis with pulmonary involvement requiring systemic high dose (therapeutic) corticosteroids for control is rated 60 percent disabling.</w:t>
      </w:r>
      <w:r>
        <w:t xml:space="preserve"> </w:t>
      </w:r>
      <w:r>
        <w:rPr>
          <w:i/>
          <w:iCs/>
        </w:rPr>
        <w:t xml:space="preserve">See Id.</w:t>
      </w:r>
      <w:r>
        <w:t xml:space="preserve"> </w:t>
      </w:r>
      <w:r>
        <w:t xml:space="preserve">Sarcoidosis with cor pulmonale, or; cardiac involvement with congestive heart failure, or; progressive pulmonary disease with fever, night sweats, and weight loss despite treatment, is rated 100 percent disabling.</w:t>
      </w:r>
      <w:r>
        <w:t xml:space="preserve"> </w:t>
      </w:r>
      <w:r>
        <w:rPr>
          <w:i/>
          <w:iCs/>
        </w:rPr>
        <w:t xml:space="preserve">See Id.</w:t>
      </w:r>
    </w:p>
    <w:p>
      <w:pPr>
        <w:pStyle w:val="BodyText"/>
      </w:pPr>
      <w:r>
        <w:t xml:space="preserve">In the instant case, the Board found that “[t]he medical evidence consistently reflects that the Veteran’s sarcoidosis did not produce cor pulmonale[.]” R. at 14. However, the Board has overlooked or ignored medical evidence demonstrating that the Veteran’s sarcoidosis does produce cor pulmonale. Specifically, the December 2010 VA doctor stated that the Veteran had a positive history for, inter alia, cor pulmonale.</w:t>
      </w:r>
      <w:r>
        <w:t xml:space="preserve"> </w:t>
      </w:r>
      <w:r>
        <w:rPr>
          <w:i/>
          <w:iCs/>
        </w:rPr>
        <w:t xml:space="preserve">See</w:t>
      </w:r>
      <w:r>
        <w:t xml:space="preserve"> </w:t>
      </w:r>
      <w:r>
        <w:t xml:space="preserve">R. at 1580 (1579</w:t>
      </w:r>
      <w:r>
        <w:noBreakHyphen/>
      </w:r>
      <w:r>
        <w:t xml:space="preserve">1580). This medical evidence is in direct contradiction to the Board’s finding that there is no medical evidence reflecting that the Veteran’s sarcoidosis produces cor pulmonale.</w:t>
      </w:r>
      <w:r>
        <w:t xml:space="preserve"> </w:t>
      </w:r>
      <w:r>
        <w:rPr>
          <w:i/>
          <w:iCs/>
        </w:rPr>
        <w:t xml:space="preserve">See</w:t>
      </w:r>
      <w:r>
        <w:t xml:space="preserve"> </w:t>
      </w:r>
      <w:r>
        <w:t xml:space="preserve">R. at 14. This is significant because sarcoidosis with cor pulmonale warrants a 100 percent disability rating.</w:t>
      </w:r>
      <w:r>
        <w:t xml:space="preserve"> </w:t>
      </w:r>
      <w:r>
        <w:rPr>
          <w:i/>
          <w:iCs/>
        </w:rPr>
        <w:t xml:space="preserve">See</w:t>
      </w:r>
      <w:r>
        <w:t xml:space="preserve"> </w:t>
      </w:r>
      <w:r>
        <w:t xml:space="preserve">38 C.F.R. § 4.97, DC 6846.</w:t>
      </w:r>
    </w:p>
    <w:p>
      <w:pPr>
        <w:pStyle w:val="BodyText"/>
      </w:pPr>
      <w:r>
        <w:t xml:space="preserve">Further, it is well documented in the Veteran’s medical records that he also suffers from weight loss, fevers and night sweats.</w:t>
      </w:r>
      <w:r>
        <w:t xml:space="preserve"> </w:t>
      </w:r>
      <w:r>
        <w:rPr>
          <w:i/>
          <w:iCs/>
        </w:rPr>
        <w:t xml:space="preserve">See</w:t>
      </w:r>
      <w:r>
        <w:t xml:space="preserve"> </w:t>
      </w:r>
      <w:r>
        <w:t xml:space="preserve">R. at 860;</w:t>
      </w:r>
      <w:r>
        <w:t xml:space="preserve"> </w:t>
      </w:r>
      <w:r>
        <w:rPr>
          <w:i/>
          <w:iCs/>
        </w:rPr>
        <w:t xml:space="preserve">see also</w:t>
      </w:r>
      <w:r>
        <w:t xml:space="preserve"> </w:t>
      </w:r>
      <w:r>
        <w:t xml:space="preserve">R. at 1200; R. at 1580 (1579</w:t>
      </w:r>
      <w:r>
        <w:noBreakHyphen/>
      </w:r>
      <w:r>
        <w:t xml:space="preserve">1590); R. at 1156. Thus, the overlooked evidence coupled with these documented symptoms further supports entitlement to a 100 percent disability rating pursuant to 38 C.F.R. § 4.97, DC 6846. This is a narrowly based, albeit significant, point of contention and basis for remand. The medical evidence of record supports that the Veteran’s sarcoidosis should be rated as 100 percent disabling.</w:t>
      </w:r>
    </w:p>
    <w:p>
      <w:pPr>
        <w:pStyle w:val="BodyText"/>
      </w:pPr>
      <w:r>
        <w:t xml:space="preserve">Consequently, the Board failed to provide adequate reasons or bases to support its conclusion that “… an initial rating in excess of 30 percent prior to September 26, 2015 is not warranted and entitlement to a rating of 60 percent is warranted as of September 26, 2015.” R. at 16. Accordingly, remand is warranted.</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588" w:lineRule="exact"/>
        <w:ind w:left="0" w:firstLine="720"/>
      </w:pPr>
      <w:r>
        <w:t xml:space="preserve">For</w:t>
      </w:r>
      <w:r>
        <w:t xml:space="preserve"> </w:t>
      </w:r>
      <w:r>
        <w:t xml:space="preserve">the</w:t>
      </w:r>
      <w:r>
        <w:t xml:space="preserve"> </w:t>
      </w:r>
      <w:r>
        <w:t xml:space="preserve">foregoing</w:t>
      </w:r>
      <w:r>
        <w:t xml:space="preserve"> </w:t>
      </w:r>
      <w:r>
        <w:t xml:space="preserve">reasons,</w:t>
      </w:r>
      <w:r>
        <w:t xml:space="preserve"> </w:t>
      </w:r>
      <w:r>
        <w:t xml:space="preserve">Appellant</w:t>
      </w:r>
      <w:r>
        <w:t xml:space="preserve"> </w:t>
      </w:r>
      <w:r>
        <w:t xml:space="preserve">respectfully</w:t>
      </w:r>
      <w:r>
        <w:t xml:space="preserve"> </w:t>
      </w:r>
      <w:r>
        <w:t xml:space="preserve">requests</w:t>
      </w:r>
      <w:r>
        <w:t xml:space="preserve"> </w:t>
      </w:r>
      <w:r>
        <w:t xml:space="preserve">that</w:t>
      </w:r>
      <w:r>
        <w:t xml:space="preserve"> </w:t>
      </w:r>
      <w:r>
        <w:t xml:space="preserve">the</w:t>
      </w:r>
      <w:r>
        <w:t xml:space="preserve"> </w:t>
      </w:r>
      <w:r>
        <w:t xml:space="preserve">October</w:t>
      </w:r>
      <w:r>
        <w:t xml:space="preserve"> </w:t>
      </w:r>
      <w:r>
        <w:t xml:space="preserve">21,</w:t>
      </w:r>
      <w:r>
        <w:t xml:space="preserve"> </w:t>
      </w:r>
      <w:r>
        <w:t xml:space="preserve">2020</w:t>
      </w:r>
      <w:r>
        <w:t xml:space="preserve"> </w:t>
      </w:r>
      <w:r>
        <w:t xml:space="preserve">Board</w:t>
      </w:r>
      <w:r>
        <w:t xml:space="preserve"> </w:t>
      </w:r>
      <w:r>
        <w:t xml:space="preserve">decision</w:t>
      </w:r>
      <w:r>
        <w:t xml:space="preserve"> </w:t>
      </w:r>
      <w:r>
        <w:t xml:space="preserve">be</w:t>
      </w:r>
      <w:r>
        <w:t xml:space="preserve"> </w:t>
      </w:r>
      <w:r>
        <w:t xml:space="preserve">set</w:t>
      </w:r>
      <w:r>
        <w:t xml:space="preserve"> </w:t>
      </w:r>
      <w:r>
        <w:t xml:space="preserve">aside</w:t>
      </w:r>
      <w:r>
        <w:t xml:space="preserve"> </w:t>
      </w:r>
      <w:r>
        <w:t xml:space="preserve">and</w:t>
      </w:r>
      <w:r>
        <w:t xml:space="preserve"> </w:t>
      </w:r>
      <w:r>
        <w:t xml:space="preserve">the</w:t>
      </w:r>
      <w:r>
        <w:t xml:space="preserve"> </w:t>
      </w:r>
      <w:r>
        <w:t xml:space="preserve">case</w:t>
      </w:r>
      <w:r>
        <w:t xml:space="preserve"> </w:t>
      </w:r>
      <w:r>
        <w:t xml:space="preserve">remanded</w:t>
      </w:r>
      <w:r>
        <w:t xml:space="preserve"> </w:t>
      </w:r>
      <w:r>
        <w:t xml:space="preserve">for</w:t>
      </w:r>
      <w:r>
        <w:t xml:space="preserve"> </w:t>
      </w:r>
      <w:r>
        <w:t xml:space="preserve">further</w:t>
      </w:r>
      <w:r>
        <w:t xml:space="preserve"> </w:t>
      </w:r>
      <w:r>
        <w:t xml:space="preserve">adjudication</w:t>
      </w:r>
      <w:r>
        <w:t xml:space="preserve"> </w:t>
      </w:r>
      <w:r>
        <w:t xml:space="preserve">consistent</w:t>
      </w:r>
      <w:r>
        <w:t xml:space="preserve"> </w:t>
      </w:r>
      <w:r>
        <w:t xml:space="preserve">with</w:t>
      </w:r>
      <w:r>
        <w:t xml:space="preserve"> </w:t>
      </w:r>
      <w:r>
        <w:t xml:space="preserve">this</w:t>
      </w:r>
      <w:r>
        <w:t xml:space="preserve"> </w:t>
      </w:r>
      <w:r>
        <w:t xml:space="preserve">Court’s</w:t>
      </w:r>
      <w:r>
        <w:t xml:space="preserve"> </w:t>
      </w:r>
      <w:r>
        <w:t xml:space="preserve">decision</w:t>
      </w:r>
      <w:r>
        <w:t xml:space="preserve"> </w:t>
      </w:r>
      <w:r>
        <w:t xml:space="preserve">and</w:t>
      </w:r>
      <w:r>
        <w:t xml:space="preserve"> </w:t>
      </w:r>
      <w:r>
        <w:t xml:space="preserve">applicable</w:t>
      </w:r>
      <w:r>
        <w:t xml:space="preserve"> </w:t>
      </w:r>
      <w:r>
        <w:t xml:space="preserve">law.</w:t>
      </w:r>
    </w:p>
    <w:p>
      <w:pPr>
        <w:keepNext/>
        <w:keepLines/>
        <w:spacing w:before="392" w:after="0" w:line="340" w:lineRule="exact"/>
        <w:ind w:left="4680"/>
      </w:pPr>
      <w:r>
        <w:t xml:space="preserve">Respectfully submitted,</w:t>
      </w:r>
    </w:p>
    <w:p>
      <w:pPr>
        <w:keepNext/>
        <w:keepLines/>
        <w:spacing w:before="336" w:after="0" w:line="340" w:lineRule="exact"/>
        <w:ind w:left="4680"/>
      </w:pPr>
      <w:r>
        <w:t xml:space="preserve">s/ Ashley C. Gautreau</w:t>
      </w:r>
    </w:p>
    <w:p>
      <w:pPr>
        <w:keepNext/>
        <w:keepLines/>
        <w:spacing w:before="0" w:after="0" w:line="340" w:lineRule="exact"/>
        <w:ind w:left="4680"/>
      </w:pPr>
      <w:r>
        <w:t xml:space="preserve">ASHLEY C. GAUTREAU</w:t>
      </w:r>
    </w:p>
    <w:p>
      <w:pPr>
        <w:keepNext/>
        <w:keepLines/>
        <w:spacing w:before="0" w:after="0" w:line="340" w:lineRule="exact"/>
        <w:ind w:left="4680" w:firstLine="140"/>
      </w:pPr>
      <w:r>
        <w:rPr>
          <w:i/>
          <w:iCs/>
        </w:rPr>
        <w:t xml:space="preserve">Attorney</w:t>
      </w:r>
      <w:r>
        <w:rPr>
          <w:i/>
          <w:iCs/>
        </w:rPr>
        <w:t xml:space="preserve"> </w:t>
      </w:r>
      <w:r>
        <w:rPr>
          <w:i/>
          <w:iCs/>
        </w:rPr>
        <w:t xml:space="preserve">for</w:t>
      </w:r>
      <w:r>
        <w:rPr>
          <w:i/>
          <w:iCs/>
        </w:rPr>
        <w:t xml:space="preserve"> </w:t>
      </w:r>
      <w:r>
        <w:rPr>
          <w:i/>
          <w:iCs/>
        </w:rPr>
        <w:t xml:space="preserve">Appellant</w:t>
      </w:r>
    </w:p>
    <w:p>
      <w:pPr>
        <w:keepNext/>
        <w:keepLines/>
        <w:spacing w:before="0" w:after="0" w:line="340" w:lineRule="exact"/>
        <w:ind w:left="4680" w:firstLine="140"/>
      </w:pPr>
      <w:r>
        <w:rPr>
          <w:i/>
          <w:iCs/>
        </w:rPr>
        <w:t xml:space="preserve">14030</w:t>
      </w:r>
      <w:r>
        <w:rPr>
          <w:i/>
          <w:iCs/>
        </w:rPr>
        <w:t xml:space="preserve"> </w:t>
      </w:r>
      <w:r>
        <w:rPr>
          <w:i/>
          <w:iCs/>
        </w:rPr>
        <w:t xml:space="preserve">Elgin</w:t>
      </w:r>
      <w:r>
        <w:rPr>
          <w:i/>
          <w:iCs/>
        </w:rPr>
        <w:t xml:space="preserve"> </w:t>
      </w:r>
      <w:r>
        <w:rPr>
          <w:i/>
          <w:iCs/>
        </w:rPr>
        <w:t xml:space="preserve">St</w:t>
      </w:r>
    </w:p>
    <w:p>
      <w:pPr>
        <w:keepNext/>
        <w:keepLines/>
        <w:spacing w:before="0" w:after="0" w:line="340" w:lineRule="exact"/>
        <w:ind w:left="4680" w:firstLine="140"/>
      </w:pPr>
      <w:r>
        <w:rPr>
          <w:i/>
          <w:iCs/>
        </w:rPr>
        <w:t xml:space="preserve">Oak</w:t>
      </w:r>
      <w:r>
        <w:rPr>
          <w:i/>
          <w:iCs/>
        </w:rPr>
        <w:t xml:space="preserve"> </w:t>
      </w:r>
      <w:r>
        <w:rPr>
          <w:i/>
          <w:iCs/>
        </w:rPr>
        <w:t xml:space="preserve">Park,</w:t>
      </w:r>
      <w:r>
        <w:rPr>
          <w:i/>
          <w:iCs/>
        </w:rPr>
        <w:t xml:space="preserve"> </w:t>
      </w:r>
      <w:r>
        <w:rPr>
          <w:i/>
          <w:iCs/>
        </w:rPr>
        <w:t xml:space="preserve">MI</w:t>
      </w:r>
      <w:r>
        <w:rPr>
          <w:i/>
          <w:iCs/>
        </w:rPr>
        <w:t xml:space="preserve"> </w:t>
      </w:r>
      <w:r>
        <w:rPr>
          <w:i/>
          <w:iCs/>
        </w:rPr>
        <w:t xml:space="preserve">48237</w:t>
      </w:r>
    </w:p>
    <w:p>
      <w:pPr>
        <w:keepNext/>
        <w:keepLines/>
        <w:spacing w:before="0" w:after="0" w:line="340" w:lineRule="exact"/>
        <w:ind w:left="4680" w:firstLine="140"/>
      </w:pPr>
      <w:r>
        <w:rPr>
          <w:i/>
          <w:iCs/>
        </w:rPr>
        <w:t xml:space="preserve">(800)</w:t>
      </w:r>
      <w:r>
        <w:rPr>
          <w:i/>
          <w:iCs/>
        </w:rPr>
        <w:t xml:space="preserve"> </w:t>
      </w:r>
      <w:r>
        <w:rPr>
          <w:i/>
          <w:iCs/>
        </w:rPr>
        <w:t xml:space="preserve">461</w:t>
        <w:noBreakHyphen/>
        <w:t xml:space="preserve">9746</w:t>
      </w:r>
    </w:p>
    <w:p>
      <w:pPr>
        <w:keepLines/>
        <w:spacing w:before="224" w:after="0" w:line="340" w:lineRule="exact"/>
        <w:ind w:left="0"/>
      </w:pPr>
      <w:r>
        <w:t xml:space="preserve">April</w:t>
      </w:r>
      <w:r>
        <w:t xml:space="preserve"> </w:t>
      </w:r>
      <w:r>
        <w:t xml:space="preserve">14,</w:t>
      </w:r>
      <w:r>
        <w:t xml:space="preserve"> </w:t>
      </w:r>
      <w:r>
        <w:t xml:space="preserve">2021</w:t>
      </w:r>
    </w:p>
    <w:p>
      <w:pPr>
        <w:spacing w:before="0" w:after="0" w:line="20" w:lineRule="exact"/>
        <w:sectPr>
          <w:footerReference w:type="default" r:id="rIdFtrPage"/>
          <w:pgSz w:w="12240" w:h="15840"/>
          <w:pgMar w:top="1440" w:right="1441" w:bottom="1440" w:left="1440" w:header="720" w:footer="676" w:gutter="0"/>
          <w:pgNumType w:fmt="decimal" w:start="1"/>
        </w:sectPr>
      </w:pPr>
    </w:p>
    <w:p>
      <w:pPr>
        <w:keepNext/>
        <w:keepLines/>
        <w:spacing w:before="0" w:after="308" w:line="400" w:lineRule="exact"/>
        <w:ind w:left="0" w:firstLine="0"/>
        <w:jc w:val="center"/>
      </w:pPr>
      <w:r>
        <w:rPr>
          <w:b/>
          <w:bCs/>
          <w:sz w:val="32"/>
          <w:szCs w:val="32"/>
        </w:rPr>
        <w:t xml:space="preserve">CERTIFICATE OF SERVICE</w:t>
      </w:r>
    </w:p>
    <w:p>
      <w:pPr>
        <w:spacing w:before="0" w:after="0" w:line="588" w:lineRule="exact"/>
        <w:ind w:left="0" w:firstLine="720"/>
      </w:pPr>
      <w:r>
        <w:t xml:space="preserve">I certify that on </w:t>
      </w:r>
      <w:r>
        <w:t xml:space="preserve">April</w:t>
      </w:r>
      <w:r>
        <w:t xml:space="preserve"> </w:t>
      </w:r>
      <w:r>
        <w:t xml:space="preserve">14,</w:t>
      </w:r>
      <w:r>
        <w:t xml:space="preserve"> </w:t>
      </w:r>
      <w:r>
        <w:t xml:space="preserve">2021</w:t>
      </w:r>
      <w:r>
        <w:t xml:space="preserve">, I filed the foregoing Appellant’s Brief with the Clerk of the Court and served it on counsel for the other party by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w:t>
      </w:r>
    </w:p>
    <w:p>
      <w:pPr>
        <w:keepNext/>
        <w:keepLines/>
        <w:spacing w:before="448" w:after="0" w:line="340" w:lineRule="exact"/>
        <w:ind w:left="4680"/>
      </w:pPr>
      <w:r>
        <w:t xml:space="preserve">s/ Ashley C. Gautreau</w:t>
      </w:r>
    </w:p>
    <w:p>
      <w:pPr>
        <w:keepLines/>
        <w:spacing w:before="0" w:after="0" w:line="340" w:lineRule="exact"/>
        <w:ind w:left="4680"/>
      </w:pPr>
      <w:r>
        <w:t xml:space="preserve">ASHLEY C. GAUTREAU</w:t>
      </w:r>
    </w:p>
    <w:sectPr>
      <w:footerReference w:type="default" r:id="rIdFtrPage"/>
      <w:pgSz w:w="12240" w:h="15840"/>
      <w:pgMar w:top="1440" w:right="1441" w:bottom="1440" w:left="1440" w:header="720" w:footer="676" w:gutter="0"/>
      <w:pgNumType w:fmt="lowerRoman"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Sarcoidosis is defined as “a disease characterized by the growth of tiny collections of inflammatory cells (granulomas) in any part of your body- most commonly the lungs and lymph nodes. But it can also affect the eyes, skin, heart and other organs.” www.mayoclinic.org/disease-conditions/sarcoidosis/symptoms-causes/syc</w:t>
      </w:r>
      <w:r>
        <w:noBreakHyphen/>
      </w:r>
      <w:r>
        <w:t xml:space="preserve">20350358 (last visited April 14, 2021).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8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88"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Appellant’s Brief</vt:lpwstr>
  </property>
  <property fmtid="{D5CDD505-2E9C-101B-9397-08002B2CF9AE}" pid="4" name="caption">
    <vt:lpwstr/>
  </property>
  <property fmtid="{D5CDD505-2E9C-101B-9397-08002B2CF9AE}" pid="5" name="case_number">
    <vt:lpwstr>20-7621</vt:lpwstr>
  </property>
  <property fmtid="{D5CDD505-2E9C-101B-9397-08002B2CF9AE}" pid="6" name="counsel">
    <vt:lpwstr/>
  </property>
  <property fmtid="{D5CDD505-2E9C-101B-9397-08002B2CF9AE}" pid="7" name="phone">
    <vt:lpwstr>(800) 461-9746</vt:lpwstr>
  </property>
  <property fmtid="{D5CDD505-2E9C-101B-9397-08002B2CF9AE}" pid="8" name="proceeding">
    <vt:lpwstr/>
  </property>
  <property fmtid="{D5CDD505-2E9C-101B-9397-08002B2CF9AE}" pid="9" name="service">
    <vt:lpwstr/>
  </property>
  <property fmtid="{D5CDD505-2E9C-101B-9397-08002B2CF9AE}" pid="10" name="signature">
    <vt:lpwstr/>
  </property>
  <property fmtid="{D5CDD505-2E9C-101B-9397-08002B2CF9AE}" pid="11" name="word">
    <vt:lpwstr/>
  </property>
</Properties>
</file>