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roman.xml" ContentType="application/vnd.openxmlformats-officedocument.wordprocessingml.footer+xml"/>
  <Override PartName="/word/footer-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0" w:lineRule="exact"/>
        <w:ind w:left="0" w:firstLine="0"/>
        <w:jc w:val="center"/>
      </w:pPr>
      <w:r>
        <w:t xml:space="preserve">UNITED STATES PATENT AND TRADEMARK OFFICE</w:t>
      </w:r>
    </w:p>
    <w:p>
      <w:pPr>
        <w:spacing w:before="240" w:after="0" w:line="320" w:lineRule="exact"/>
        <w:ind w:left="0" w:firstLine="0"/>
        <w:jc w:val="center"/>
      </w:pPr>
      <w:r>
        <w:t xml:space="preserve">BEFORE THE PATENT TRIAL AND APPEAL BOARD</w:t>
      </w:r>
    </w:p>
    <w:p>
      <w:pPr>
        <w:spacing w:before="680" w:after="0" w:line="320" w:lineRule="exact"/>
        <w:ind w:left="0" w:firstLine="0"/>
        <w:jc w:val="center"/>
      </w:pPr>
      <w:r>
        <w:rPr>
          <w:b/>
          <w:bCs/>
        </w:rPr>
        <w:t xml:space="preserve">SALESFORCE.COM,</w:t>
      </w:r>
      <w:r>
        <w:rPr>
          <w:b/>
          <w:bCs/>
        </w:rPr>
        <w:t xml:space="preserve"> </w:t>
      </w:r>
      <w:r>
        <w:rPr>
          <w:b/>
          <w:bCs/>
        </w:rPr>
        <w:t xml:space="preserve">INC.</w:t>
      </w:r>
    </w:p>
    <w:p>
      <w:pPr>
        <w:spacing w:before="0" w:after="0" w:line="320" w:lineRule="exact"/>
        <w:ind w:left="0" w:firstLine="0"/>
        <w:jc w:val="right"/>
      </w:pPr>
      <w:r>
        <w:t xml:space="preserve">Petitioner</w:t>
      </w:r>
    </w:p>
    <w:p>
      <w:pPr>
        <w:spacing w:before="340" w:after="0" w:line="320" w:lineRule="exact"/>
        <w:ind w:left="0" w:firstLine="0"/>
        <w:jc w:val="center"/>
      </w:pPr>
      <w:r>
        <w:t xml:space="preserve">v.</w:t>
      </w:r>
    </w:p>
    <w:p>
      <w:pPr>
        <w:spacing w:before="340" w:after="0" w:line="320" w:lineRule="exact"/>
        <w:ind w:left="0" w:firstLine="0"/>
        <w:jc w:val="center"/>
      </w:pPr>
      <w:r>
        <w:rPr>
          <w:b/>
          <w:bCs/>
        </w:rPr>
        <w:t xml:space="preserve">WSOU</w:t>
      </w:r>
      <w:r>
        <w:rPr>
          <w:b/>
          <w:bCs/>
        </w:rPr>
        <w:t xml:space="preserve"> </w:t>
      </w:r>
      <w:r>
        <w:rPr>
          <w:b/>
          <w:bCs/>
        </w:rPr>
        <w:t xml:space="preserve">INVESTMENTS,</w:t>
      </w:r>
      <w:r>
        <w:rPr>
          <w:b/>
          <w:bCs/>
        </w:rPr>
        <w:t xml:space="preserve"> </w:t>
      </w:r>
      <w:r>
        <w:rPr>
          <w:b/>
          <w:bCs/>
        </w:rPr>
        <w:t xml:space="preserve">LLC</w:t>
      </w:r>
      <w:r>
        <w:rPr>
          <w:b/>
          <w:bCs/>
        </w:rPr>
        <w:t xml:space="preserve"> </w:t>
      </w:r>
      <w:r>
        <w:rPr>
          <w:b/>
          <w:bCs/>
        </w:rPr>
        <w:t xml:space="preserve">d/b/a</w:t>
      </w:r>
      <w:r>
        <w:rPr>
          <w:b/>
          <w:bCs/>
        </w:rPr>
        <w:t xml:space="preserve"> </w:t>
      </w:r>
      <w:r>
        <w:rPr>
          <w:b/>
          <w:bCs/>
        </w:rPr>
        <w:t xml:space="preserve">BRAZOS</w:t>
      </w:r>
      <w:r>
        <w:rPr>
          <w:b/>
          <w:bCs/>
        </w:rPr>
        <w:t xml:space="preserve"> </w:t>
      </w:r>
      <w:r>
        <w:rPr>
          <w:b/>
          <w:bCs/>
        </w:rPr>
        <w:t xml:space="preserve">LICENSING</w:t>
      </w:r>
      <w:r>
        <w:rPr>
          <w:b/>
          <w:bCs/>
        </w:rPr>
        <w:t xml:space="preserve"> </w:t>
      </w:r>
      <w:r>
        <w:rPr>
          <w:b/>
          <w:bCs/>
        </w:rPr>
        <w:t xml:space="preserve">AND</w:t>
      </w:r>
      <w:r>
        <w:rPr>
          <w:b/>
          <w:bCs/>
        </w:rPr>
        <w:t xml:space="preserve"> </w:t>
      </w:r>
      <w:r>
        <w:rPr>
          <w:b/>
          <w:bCs/>
        </w:rPr>
        <w:t xml:space="preserve">DEVELOPMENT</w:t>
      </w:r>
    </w:p>
    <w:p>
      <w:pPr>
        <w:spacing w:before="0" w:after="0" w:line="320" w:lineRule="exact"/>
        <w:ind w:left="0" w:firstLine="0"/>
        <w:jc w:val="right"/>
      </w:pPr>
      <w:r>
        <w:t xml:space="preserve">Patent</w:t>
      </w:r>
      <w:r>
        <w:t xml:space="preserve"> </w:t>
      </w:r>
      <w:r>
        <w:t xml:space="preserve">Owner</w:t>
      </w:r>
    </w:p>
    <w:p>
      <w:pPr>
        <w:spacing w:before="680" w:after="0" w:line="320" w:lineRule="exact"/>
        <w:ind w:left="0" w:firstLine="0"/>
        <w:jc w:val="center"/>
      </w:pPr>
      <w:r>
        <w:t xml:space="preserve">U.S.</w:t>
      </w:r>
      <w:r>
        <w:t xml:space="preserve"> </w:t>
      </w:r>
      <w:r>
        <w:t xml:space="preserve">Patent</w:t>
      </w:r>
      <w:r>
        <w:t xml:space="preserve"> </w:t>
      </w:r>
      <w:r>
        <w:t xml:space="preserve">No.</w:t>
      </w:r>
      <w:r>
        <w:t xml:space="preserve"> </w:t>
      </w:r>
      <w:r>
        <w:t xml:space="preserve">8,369,827</w:t>
      </w:r>
    </w:p>
    <w:p>
      <w:pPr>
        <w:spacing w:before="240" w:after="0" w:line="320" w:lineRule="exact"/>
        <w:ind w:left="0" w:firstLine="0"/>
        <w:jc w:val="center"/>
      </w:pPr>
      <w:r>
        <w:t xml:space="preserve">“Method</w:t>
      </w:r>
      <w:r>
        <w:t xml:space="preserve"> </w:t>
      </w:r>
      <w:r>
        <w:t xml:space="preserve">of</w:t>
      </w:r>
      <w:r>
        <w:t xml:space="preserve"> </w:t>
      </w:r>
      <w:r>
        <w:t xml:space="preserve">Determining</w:t>
      </w:r>
      <w:r>
        <w:t xml:space="preserve"> </w:t>
      </w:r>
      <w:r>
        <w:t xml:space="preserve">a</w:t>
      </w:r>
      <w:r>
        <w:t xml:space="preserve"> </w:t>
      </w:r>
      <w:r>
        <w:t xml:space="preserve">Unique</w:t>
      </w:r>
      <w:r>
        <w:t xml:space="preserve"> </w:t>
      </w:r>
      <w:r>
        <w:t xml:space="preserve">Subscriber</w:t>
      </w:r>
      <w:r>
        <w:t xml:space="preserve"> </w:t>
      </w:r>
      <w:r>
        <w:t xml:space="preserve">from</w:t>
      </w:r>
      <w:r>
        <w:t xml:space="preserve"> </w:t>
      </w:r>
      <w:r>
        <w:t xml:space="preserve">an</w:t>
      </w:r>
      <w:r>
        <w:t xml:space="preserve"> </w:t>
      </w:r>
      <w:r>
        <w:t xml:space="preserve">Arbitrary</w:t>
      </w:r>
      <w:r>
        <w:t xml:space="preserve"> </w:t>
      </w:r>
      <w:r>
        <w:t xml:space="preserve">Set</w:t>
      </w:r>
      <w:r>
        <w:t xml:space="preserve"> </w:t>
      </w:r>
      <w:r>
        <w:t xml:space="preserve">of</w:t>
      </w:r>
      <w:r>
        <w:t xml:space="preserve"> </w:t>
      </w:r>
      <w:r>
        <w:t xml:space="preserve">Subscriber</w:t>
      </w:r>
      <w:r>
        <w:t xml:space="preserve"> </w:t>
      </w:r>
      <w:r>
        <w:t xml:space="preserve">Attributes”</w:t>
      </w:r>
    </w:p>
    <w:p>
      <w:pPr>
        <w:spacing w:before="240" w:after="0" w:line="320" w:lineRule="exact"/>
        <w:ind w:left="0" w:firstLine="0"/>
        <w:jc w:val="center"/>
      </w:pPr>
      <w:r>
        <w:t xml:space="preserve">Inter</w:t>
      </w:r>
      <w:r>
        <w:t xml:space="preserve"> </w:t>
      </w:r>
      <w:r>
        <w:t xml:space="preserve">Partes</w:t>
      </w:r>
      <w:r>
        <w:t xml:space="preserve"> </w:t>
      </w:r>
      <w:r>
        <w:t xml:space="preserve">Review</w:t>
      </w:r>
      <w:r>
        <w:t xml:space="preserve"> </w:t>
      </w:r>
      <w:r>
        <w:t xml:space="preserve">No.</w:t>
      </w:r>
      <w:r>
        <w:t xml:space="preserve"> </w:t>
      </w:r>
      <w:r>
        <w:t xml:space="preserve">2022</w:t>
        <w:noBreakHyphen/>
        <w:t xml:space="preserve">00154</w:t>
      </w:r>
    </w:p>
    <w:p>
      <w:pPr>
        <w:spacing w:before="680" w:after="0" w:line="320" w:lineRule="exact"/>
        <w:ind w:left="0" w:firstLine="0"/>
        <w:jc w:val="center"/>
        <w:sectPr>
          <w:pgSz w:w="12240" w:h="15840"/>
          <w:pgMar w:top="1440" w:right="1440" w:bottom="1440" w:left="1440" w:header="720" w:footer="688" w:gutter="0"/>
        </w:sectPr>
      </w:pPr>
      <w:r>
        <w:rPr>
          <w:b/>
          <w:bCs/>
        </w:rPr>
        <w:t xml:space="preserve">PETITION</w:t>
      </w:r>
      <w:r>
        <w:rPr>
          <w:b/>
          <w:bCs/>
        </w:rPr>
        <w:t xml:space="preserve"> </w:t>
      </w:r>
      <w:r>
        <w:rPr>
          <w:b/>
          <w:bCs/>
        </w:rPr>
        <w:t xml:space="preserve">FOR</w:t>
      </w:r>
      <w:r>
        <w:rPr>
          <w:b/>
          <w:bCs/>
        </w:rPr>
        <w:t xml:space="preserve"> </w:t>
      </w:r>
      <w:r>
        <w:rPr>
          <w:b/>
          <w:bCs/>
        </w:rPr>
        <w:t xml:space="preserve">INTER</w:t>
      </w:r>
      <w:r>
        <w:rPr>
          <w:b/>
          <w:bCs/>
        </w:rPr>
        <w:t xml:space="preserve"> </w:t>
      </w:r>
      <w:r>
        <w:rPr>
          <w:b/>
          <w:bCs/>
        </w:rPr>
        <w:t xml:space="preserve">PARTES</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U.S.</w:t>
      </w:r>
      <w:r>
        <w:rPr>
          <w:b/>
          <w:bCs/>
        </w:rPr>
        <w:t xml:space="preserve"> </w:t>
      </w:r>
      <w:r>
        <w:rPr>
          <w:b/>
          <w:bCs/>
        </w:rPr>
        <w:t xml:space="preserve">PATENT</w:t>
      </w:r>
      <w:r>
        <w:rPr>
          <w:b/>
          <w:bCs/>
        </w:rPr>
        <w:t xml:space="preserve"> </w:t>
      </w:r>
      <w:r>
        <w:rPr>
          <w:b/>
          <w:bCs/>
        </w:rPr>
        <w:t xml:space="preserve">NO.</w:t>
      </w:r>
      <w:r>
        <w:rPr>
          <w:b/>
          <w:bCs/>
        </w:rPr>
        <w:t xml:space="preserve"> </w:t>
      </w:r>
      <w:r>
        <w:rPr>
          <w:b/>
          <w:bCs/>
        </w:rPr>
        <w:t xml:space="preserve">8,369,827</w:t>
      </w:r>
      <w:r>
        <w:rPr>
          <w:b/>
          <w:bCs/>
        </w:rPr>
        <w:t xml:space="preserve"> </w:t>
      </w:r>
      <w:r>
        <w:rPr>
          <w:b/>
          <w:bCs/>
        </w:rPr>
        <w:t xml:space="preserve">UNDER</w:t>
      </w:r>
      <w:r>
        <w:rPr>
          <w:b/>
          <w:bCs/>
        </w:rPr>
        <w:t xml:space="preserve"> </w:t>
      </w:r>
      <w:r>
        <w:rPr>
          <w:b/>
          <w:bCs/>
        </w:rPr>
        <w:t xml:space="preserve">35</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311–319</w:t>
      </w:r>
      <w:r>
        <w:rPr>
          <w:b/>
          <w:bCs/>
        </w:rPr>
        <w:t xml:space="preserve"> </w:t>
      </w:r>
      <w:r>
        <w:rPr>
          <w:b/>
          <w:bCs/>
        </w:rPr>
        <w:t xml:space="preserve">AND</w:t>
      </w:r>
      <w:r>
        <w:rPr>
          <w:b/>
          <w:bCs/>
        </w:rPr>
        <w:t xml:space="preserve"> </w:t>
      </w:r>
      <w:r>
        <w:rPr>
          <w:b/>
          <w:bCs/>
        </w:rPr>
        <w:t xml:space="preserve">37</w:t>
      </w:r>
      <w:r>
        <w:rPr>
          <w:b/>
          <w:bCs/>
        </w:rPr>
        <w:t xml:space="preserve"> </w:t>
      </w:r>
      <w:r>
        <w:rPr>
          <w:b/>
          <w:bCs/>
        </w:rPr>
        <w:t xml:space="preserve">C.F.R.</w:t>
      </w:r>
      <w:r>
        <w:rPr>
          <w:b/>
          <w:bCs/>
        </w:rPr>
        <w:t xml:space="preserve"> </w:t>
      </w:r>
      <w:r>
        <w:rPr>
          <w:b/>
          <w:bCs/>
        </w:rPr>
        <w:t xml:space="preserve">§§</w:t>
      </w:r>
      <w:r>
        <w:rPr>
          <w:b/>
          <w:bCs/>
        </w:rPr>
        <w:t xml:space="preserve"> </w:t>
      </w:r>
      <w:r>
        <w:rPr>
          <w:b/>
          <w:bCs/>
        </w:rPr>
        <w:t xml:space="preserve">42.100</w:t>
      </w:r>
      <w:r>
        <w:rPr>
          <w:b/>
          <w:bCs/>
        </w:rPr>
        <w:t xml:space="preserve"> </w:t>
      </w:r>
      <w:r>
        <w:rPr>
          <w:b/>
          <w:bCs/>
        </w:rPr>
        <w:t xml:space="preserve">ET</w:t>
      </w:r>
      <w:r>
        <w:rPr>
          <w:b/>
          <w:bCs/>
        </w:rPr>
        <w:t xml:space="preserve"> </w:t>
      </w:r>
      <w:r>
        <w:rPr>
          <w:b/>
          <w:bCs/>
        </w:rPr>
        <w:t xml:space="preserve">SEQ.</w:t>
      </w:r>
    </w:p>
    <w:p>
      <w:pPr>
        <w:keepNext/>
        <w:keepLines/>
        <w:spacing w:before="0" w:after="320" w:line="320" w:lineRule="exact"/>
        <w:ind w:left="0" w:firstLine="0"/>
        <w:jc w:val="center"/>
      </w:pPr>
      <w:r>
        <w:rPr>
          <w:b/>
          <w:bCs/>
        </w:rPr>
        <w:t xml:space="preserve">TABLE OF CONTENTS</w:t>
      </w:r>
    </w:p>
    <w:p>
      <w:pPr>
        <w:keepLines/>
        <w:tabs>
          <w:tab w:val="left" w:pos="720"/>
          <w:tab w:val="right" w:leader="dot" w:pos="9360"/>
        </w:tabs>
        <w:spacing w:before="200" w:after="0" w:line="320" w:lineRule="exact"/>
        <w:ind w:left="720" w:right="720" w:hanging="720"/>
        <w:jc w:val="left"/>
      </w:pPr>
      <w:r>
        <w:t xml:space="preserve">I.</w:t>
      </w:r>
      <w:r>
        <w:tab/>
      </w:r>
      <w:r>
        <w:t xml:space="preserve">Introduction</w:t>
      </w:r>
      <w:r>
        <w:t xml:space="preserve">   </w:t>
      </w:r>
      <w:r>
        <w:tab/>
      </w:r>
      <w:r>
        <w:t xml:space="preserve">1</w:t>
      </w:r>
    </w:p>
    <w:p>
      <w:pPr>
        <w:keepLines/>
        <w:tabs>
          <w:tab w:val="left" w:pos="720"/>
          <w:tab w:val="right" w:leader="dot" w:pos="9360"/>
        </w:tabs>
        <w:spacing w:before="200" w:after="0" w:line="320" w:lineRule="exact"/>
        <w:ind w:left="720" w:right="720" w:hanging="720"/>
        <w:jc w:val="left"/>
      </w:pPr>
      <w:r>
        <w:t xml:space="preserve">II.</w:t>
      </w:r>
      <w:r>
        <w:tab/>
      </w:r>
      <w:r>
        <w:t xml:space="preserve">Mandatory</w:t>
      </w:r>
      <w:r>
        <w:t xml:space="preserve"> </w:t>
      </w:r>
      <w:r>
        <w:t xml:space="preserve">Notices</w:t>
      </w:r>
      <w:r>
        <w:t xml:space="preserve">   </w:t>
      </w:r>
      <w:r>
        <w:tab/>
      </w:r>
      <w:r>
        <w:t xml:space="preserve">2</w:t>
      </w:r>
    </w:p>
    <w:p>
      <w:pPr>
        <w:keepLines/>
        <w:tabs>
          <w:tab w:val="left" w:pos="1440"/>
          <w:tab w:val="right" w:leader="dot" w:pos="9360"/>
        </w:tabs>
        <w:spacing w:before="140" w:after="0" w:line="320" w:lineRule="exact"/>
        <w:ind w:left="1440" w:right="720" w:hanging="720"/>
        <w:jc w:val="left"/>
      </w:pPr>
      <w:r>
        <w:t xml:space="preserve">A.</w:t>
      </w:r>
      <w:r>
        <w:tab/>
      </w:r>
      <w:r>
        <w:t xml:space="preserve">Real</w:t>
      </w:r>
      <w:r>
        <w:t xml:space="preserve"> </w:t>
      </w:r>
      <w:r>
        <w:t xml:space="preserve">Party-in-Interest</w:t>
      </w:r>
      <w:r>
        <w:t xml:space="preserve"> </w:t>
      </w:r>
      <w:r>
        <w:t xml:space="preserve">(37</w:t>
      </w:r>
      <w:r>
        <w:t xml:space="preserve"> </w:t>
      </w:r>
      <w:r>
        <w:t xml:space="preserve">C.F.R.</w:t>
      </w:r>
      <w:r>
        <w:t xml:space="preserve"> </w:t>
      </w:r>
      <w:r>
        <w:t xml:space="preserve">§</w:t>
      </w:r>
      <w:r>
        <w:t xml:space="preserve"> </w:t>
      </w:r>
      <w:r>
        <w:t xml:space="preserve">42.8(b)(1))</w:t>
      </w:r>
      <w:r>
        <w:t xml:space="preserve">   </w:t>
      </w:r>
      <w:r>
        <w:tab/>
      </w:r>
      <w:r>
        <w:t xml:space="preserve">2</w:t>
      </w:r>
    </w:p>
    <w:p>
      <w:pPr>
        <w:keepLines/>
        <w:tabs>
          <w:tab w:val="left" w:pos="1440"/>
          <w:tab w:val="right" w:leader="dot" w:pos="9360"/>
        </w:tabs>
        <w:spacing w:before="140" w:after="0" w:line="320" w:lineRule="exact"/>
        <w:ind w:left="1440" w:right="720" w:hanging="720"/>
        <w:jc w:val="left"/>
      </w:pPr>
      <w:r>
        <w:t xml:space="preserve">B.</w:t>
      </w:r>
      <w:r>
        <w:tab/>
      </w:r>
      <w:r>
        <w:t xml:space="preserve">Related</w:t>
      </w:r>
      <w:r>
        <w:t xml:space="preserve"> </w:t>
      </w:r>
      <w:r>
        <w:t xml:space="preserve">Matters</w:t>
      </w:r>
      <w:r>
        <w:t xml:space="preserve"> </w:t>
      </w:r>
      <w:r>
        <w:t xml:space="preserve">(37</w:t>
      </w:r>
      <w:r>
        <w:t xml:space="preserve"> </w:t>
      </w:r>
      <w:r>
        <w:t xml:space="preserve">C.F.R.</w:t>
      </w:r>
      <w:r>
        <w:t xml:space="preserve"> </w:t>
      </w:r>
      <w:r>
        <w:t xml:space="preserve">§</w:t>
      </w:r>
      <w:r>
        <w:t xml:space="preserve"> </w:t>
      </w:r>
      <w:r>
        <w:t xml:space="preserve">42.8(b)(2))</w:t>
      </w:r>
      <w:r>
        <w:t xml:space="preserve">   </w:t>
      </w:r>
      <w:r>
        <w:tab/>
      </w:r>
      <w:r>
        <w:t xml:space="preserve">2</w:t>
      </w:r>
    </w:p>
    <w:p>
      <w:pPr>
        <w:keepLines/>
        <w:tabs>
          <w:tab w:val="left" w:pos="1440"/>
          <w:tab w:val="right" w:leader="dot" w:pos="9360"/>
        </w:tabs>
        <w:spacing w:before="140" w:after="0" w:line="320" w:lineRule="exact"/>
        <w:ind w:left="1440" w:right="720" w:hanging="720"/>
        <w:jc w:val="left"/>
      </w:pPr>
      <w:r>
        <w:t xml:space="preserve">C.</w:t>
      </w:r>
      <w:r>
        <w:tab/>
      </w:r>
      <w:r>
        <w:t xml:space="preserve">Lead</w:t>
      </w:r>
      <w:r>
        <w:t xml:space="preserve"> </w:t>
      </w:r>
      <w:r>
        <w:t xml:space="preserve">and</w:t>
      </w:r>
      <w:r>
        <w:t xml:space="preserve"> </w:t>
      </w:r>
      <w:r>
        <w:t xml:space="preserve">Back-Up</w:t>
      </w:r>
      <w:r>
        <w:t xml:space="preserve"> </w:t>
      </w:r>
      <w:r>
        <w:t xml:space="preserve">Counsel</w:t>
      </w:r>
      <w:r>
        <w:t xml:space="preserve"> </w:t>
      </w:r>
      <w:r>
        <w:t xml:space="preserve">(37</w:t>
      </w:r>
      <w:r>
        <w:t xml:space="preserve"> </w:t>
      </w:r>
      <w:r>
        <w:t xml:space="preserve">C.F.R.</w:t>
      </w:r>
      <w:r>
        <w:t xml:space="preserve"> </w:t>
      </w:r>
      <w:r>
        <w:t xml:space="preserve">§</w:t>
      </w:r>
      <w:r>
        <w:t xml:space="preserve"> </w:t>
      </w:r>
      <w:r>
        <w:t xml:space="preserve">42.8(b)(3))</w:t>
      </w:r>
      <w:r>
        <w:t xml:space="preserve"> </w:t>
      </w:r>
      <w:r>
        <w:t xml:space="preserve">and</w:t>
      </w:r>
      <w:r>
        <w:t xml:space="preserve"> </w:t>
      </w:r>
      <w:r>
        <w:t xml:space="preserve">Service</w:t>
      </w:r>
      <w:r>
        <w:t xml:space="preserve"> </w:t>
      </w:r>
      <w:r>
        <w:t xml:space="preserve">Information</w:t>
      </w:r>
      <w:r>
        <w:t xml:space="preserve"> </w:t>
      </w:r>
      <w:r>
        <w:t xml:space="preserve">(37</w:t>
      </w:r>
      <w:r>
        <w:t xml:space="preserve"> </w:t>
      </w:r>
      <w:r>
        <w:t xml:space="preserve">C.F.R.</w:t>
      </w:r>
      <w:r>
        <w:t xml:space="preserve"> </w:t>
      </w:r>
      <w:r>
        <w:t xml:space="preserve">§</w:t>
      </w:r>
      <w:r>
        <w:t xml:space="preserve"> </w:t>
      </w:r>
      <w:r>
        <w:t xml:space="preserve">42.8(b)(3)–(4))</w:t>
      </w:r>
      <w:r>
        <w:t xml:space="preserve">   </w:t>
      </w:r>
      <w:r>
        <w:tab/>
      </w:r>
      <w:r>
        <w:t xml:space="preserve">2</w:t>
      </w:r>
    </w:p>
    <w:p>
      <w:pPr>
        <w:keepLines/>
        <w:tabs>
          <w:tab w:val="left" w:pos="1440"/>
          <w:tab w:val="right" w:leader="dot" w:pos="9360"/>
        </w:tabs>
        <w:spacing w:before="140" w:after="0" w:line="320" w:lineRule="exact"/>
        <w:ind w:left="1440" w:right="720" w:hanging="720"/>
        <w:jc w:val="left"/>
      </w:pPr>
      <w:r>
        <w:t xml:space="preserve">D.</w:t>
      </w:r>
      <w:r>
        <w:tab/>
      </w:r>
      <w:r>
        <w:t xml:space="preserve">Payment</w:t>
      </w:r>
      <w:r>
        <w:t xml:space="preserve"> </w:t>
      </w:r>
      <w:r>
        <w:t xml:space="preserve">of</w:t>
      </w:r>
      <w:r>
        <w:t xml:space="preserve"> </w:t>
      </w:r>
      <w:r>
        <w:t xml:space="preserve">Fees</w:t>
      </w:r>
      <w:r>
        <w:t xml:space="preserve"> </w:t>
      </w:r>
      <w:r>
        <w:t xml:space="preserve">(37</w:t>
      </w:r>
      <w:r>
        <w:t xml:space="preserve"> </w:t>
      </w:r>
      <w:r>
        <w:t xml:space="preserve">C.F.R.</w:t>
      </w:r>
      <w:r>
        <w:t xml:space="preserve"> </w:t>
      </w:r>
      <w:r>
        <w:t xml:space="preserve">§</w:t>
      </w:r>
      <w:r>
        <w:t xml:space="preserve"> </w:t>
      </w:r>
      <w:r>
        <w:t xml:space="preserve">42.15(a))</w:t>
      </w:r>
      <w:r>
        <w:t xml:space="preserve">   </w:t>
      </w:r>
      <w:r>
        <w:tab/>
      </w:r>
      <w:r>
        <w:t xml:space="preserve">4</w:t>
      </w:r>
    </w:p>
    <w:p>
      <w:pPr>
        <w:keepLines/>
        <w:tabs>
          <w:tab w:val="left" w:pos="720"/>
          <w:tab w:val="right" w:leader="dot" w:pos="9360"/>
        </w:tabs>
        <w:spacing w:before="200" w:after="0" w:line="320" w:lineRule="exact"/>
        <w:ind w:left="720" w:right="720" w:hanging="720"/>
        <w:jc w:val="left"/>
      </w:pPr>
      <w:r>
        <w:t xml:space="preserve">III.</w:t>
      </w:r>
      <w:r>
        <w:tab/>
      </w:r>
      <w:r>
        <w:t xml:space="preserve">Requirements</w:t>
      </w:r>
      <w:r>
        <w:t xml:space="preserve"> </w:t>
      </w:r>
      <w:r>
        <w:t xml:space="preserve">for</w:t>
      </w:r>
      <w:r>
        <w:t xml:space="preserve"> </w:t>
      </w:r>
      <w:r>
        <w:t xml:space="preserve">Inter</w:t>
      </w:r>
      <w:r>
        <w:t xml:space="preserve"> </w:t>
      </w:r>
      <w:r>
        <w:t xml:space="preserve">Partes</w:t>
      </w:r>
      <w:r>
        <w:t xml:space="preserve"> </w:t>
      </w:r>
      <w:r>
        <w:t xml:space="preserve">Review</w:t>
      </w:r>
      <w:r>
        <w:t xml:space="preserve">   </w:t>
      </w:r>
      <w:r>
        <w:tab/>
      </w:r>
      <w:r>
        <w:t xml:space="preserve">4</w:t>
      </w:r>
    </w:p>
    <w:p>
      <w:pPr>
        <w:keepLines/>
        <w:tabs>
          <w:tab w:val="left" w:pos="720"/>
          <w:tab w:val="right" w:leader="dot" w:pos="9360"/>
        </w:tabs>
        <w:spacing w:before="200" w:after="0" w:line="320" w:lineRule="exact"/>
        <w:ind w:left="720" w:right="720" w:hanging="720"/>
        <w:jc w:val="left"/>
      </w:pPr>
      <w:r>
        <w:t xml:space="preserve">IV.</w:t>
      </w:r>
      <w:r>
        <w:tab/>
      </w:r>
      <w:r>
        <w:t xml:space="preserve">Statement</w:t>
      </w:r>
      <w:r>
        <w:t xml:space="preserve"> </w:t>
      </w:r>
      <w:r>
        <w:t xml:space="preserve">of</w:t>
      </w:r>
      <w:r>
        <w:t xml:space="preserve"> </w:t>
      </w:r>
      <w:r>
        <w:t xml:space="preserve">Relief</w:t>
      </w:r>
      <w:r>
        <w:t xml:space="preserve"> </w:t>
      </w:r>
      <w:r>
        <w:t xml:space="preserve">Requested</w:t>
      </w:r>
      <w:r>
        <w:t xml:space="preserve"> </w:t>
      </w:r>
      <w:r>
        <w:t xml:space="preserve">for</w:t>
      </w:r>
      <w:r>
        <w:t xml:space="preserve"> </w:t>
      </w:r>
      <w:r>
        <w:t xml:space="preserve">Each</w:t>
      </w:r>
      <w:r>
        <w:t xml:space="preserve"> </w:t>
      </w:r>
      <w:r>
        <w:t xml:space="preserve">Challenged</w:t>
      </w:r>
      <w:r>
        <w:t xml:space="preserve"> </w:t>
      </w:r>
      <w:r>
        <w:t xml:space="preserve">Claim</w:t>
      </w:r>
      <w:r>
        <w:t xml:space="preserve">   </w:t>
      </w:r>
      <w:r>
        <w:tab/>
      </w:r>
      <w:r>
        <w:t xml:space="preserve">4</w:t>
      </w:r>
    </w:p>
    <w:p>
      <w:pPr>
        <w:keepLines/>
        <w:tabs>
          <w:tab w:val="left" w:pos="720"/>
          <w:tab w:val="right" w:leader="dot" w:pos="9360"/>
        </w:tabs>
        <w:spacing w:before="200" w:after="0" w:line="320" w:lineRule="exact"/>
        <w:ind w:left="720" w:right="720" w:hanging="720"/>
        <w:jc w:val="left"/>
      </w:pPr>
      <w:r>
        <w:t xml:space="preserve">V.</w:t>
      </w:r>
      <w:r>
        <w:tab/>
      </w:r>
      <w:r>
        <w:t xml:space="preserve">Overview</w:t>
      </w:r>
      <w:r>
        <w:t xml:space="preserve"> </w:t>
      </w:r>
      <w:r>
        <w:t xml:space="preserve">of</w:t>
      </w:r>
      <w:r>
        <w:t xml:space="preserve"> </w:t>
      </w:r>
      <w:r>
        <w:t xml:space="preserve">the</w:t>
      </w:r>
      <w:r>
        <w:t xml:space="preserve"> </w:t>
      </w:r>
      <w:r>
        <w:t xml:space="preserve">’827</w:t>
      </w:r>
      <w:r>
        <w:t xml:space="preserve"> </w:t>
      </w:r>
      <w:r>
        <w:t xml:space="preserve">Patent</w:t>
      </w:r>
      <w:r>
        <w:t xml:space="preserve">   </w:t>
      </w:r>
      <w:r>
        <w:tab/>
      </w:r>
      <w:r>
        <w:t xml:space="preserve">5</w:t>
      </w:r>
    </w:p>
    <w:p>
      <w:pPr>
        <w:keepLines/>
        <w:tabs>
          <w:tab w:val="left" w:pos="1440"/>
          <w:tab w:val="right" w:leader="dot" w:pos="9360"/>
        </w:tabs>
        <w:spacing w:before="140" w:after="0" w:line="320" w:lineRule="exact"/>
        <w:ind w:left="1440" w:right="720" w:hanging="720"/>
        <w:jc w:val="left"/>
      </w:pPr>
      <w:r>
        <w:t xml:space="preserve">A.</w:t>
      </w:r>
      <w:r>
        <w:tab/>
      </w:r>
      <w:r>
        <w:t xml:space="preserve">Technology</w:t>
      </w:r>
      <w:r>
        <w:t xml:space="preserve">   </w:t>
      </w:r>
      <w:r>
        <w:tab/>
      </w:r>
      <w:r>
        <w:t xml:space="preserve">5</w:t>
      </w:r>
    </w:p>
    <w:p>
      <w:pPr>
        <w:keepLines/>
        <w:tabs>
          <w:tab w:val="left" w:pos="1440"/>
          <w:tab w:val="right" w:leader="dot" w:pos="9360"/>
        </w:tabs>
        <w:spacing w:before="140" w:after="0" w:line="320" w:lineRule="exact"/>
        <w:ind w:left="1440" w:right="720" w:hanging="720"/>
        <w:jc w:val="left"/>
      </w:pPr>
      <w:r>
        <w:t xml:space="preserve">B.</w:t>
      </w:r>
      <w:r>
        <w:tab/>
      </w:r>
      <w:r>
        <w:t xml:space="preserve">Priority</w:t>
      </w:r>
      <w:r>
        <w:t xml:space="preserve"> </w:t>
      </w:r>
      <w:r>
        <w:t xml:space="preserve">Date</w:t>
      </w:r>
      <w:r>
        <w:t xml:space="preserve">   </w:t>
      </w:r>
      <w:r>
        <w:tab/>
      </w:r>
      <w:r>
        <w:t xml:space="preserve">6</w:t>
      </w:r>
    </w:p>
    <w:p>
      <w:pPr>
        <w:keepLines/>
        <w:tabs>
          <w:tab w:val="left" w:pos="1440"/>
          <w:tab w:val="right" w:leader="dot" w:pos="9360"/>
        </w:tabs>
        <w:spacing w:before="140" w:after="0" w:line="320" w:lineRule="exact"/>
        <w:ind w:left="1440" w:right="720" w:hanging="720"/>
        <w:jc w:val="left"/>
      </w:pPr>
      <w:r>
        <w:t xml:space="preserve">C.</w:t>
      </w:r>
      <w:r>
        <w:tab/>
      </w:r>
      <w:r>
        <w:t xml:space="preserve">Prosecution</w:t>
      </w:r>
      <w:r>
        <w:t xml:space="preserve"> </w:t>
      </w:r>
      <w:r>
        <w:t xml:space="preserve">History</w:t>
      </w:r>
      <w:r>
        <w:t xml:space="preserve">   </w:t>
      </w:r>
      <w:r>
        <w:tab/>
      </w:r>
      <w:r>
        <w:t xml:space="preserve">7</w:t>
      </w:r>
    </w:p>
    <w:p>
      <w:pPr>
        <w:keepLines/>
        <w:tabs>
          <w:tab w:val="left" w:pos="720"/>
          <w:tab w:val="right" w:leader="dot" w:pos="9360"/>
        </w:tabs>
        <w:spacing w:before="200" w:after="0" w:line="320" w:lineRule="exact"/>
        <w:ind w:left="720" w:right="720" w:hanging="720"/>
        <w:jc w:val="left"/>
      </w:pPr>
      <w:r>
        <w:t xml:space="preserve">VI.</w:t>
      </w:r>
      <w:r>
        <w:tab/>
      </w:r>
      <w:r>
        <w:t xml:space="preserve">Person</w:t>
      </w:r>
      <w:r>
        <w:t xml:space="preserve"> </w:t>
      </w:r>
      <w:r>
        <w:t xml:space="preserve">of</w:t>
      </w:r>
      <w:r>
        <w:t xml:space="preserve"> </w:t>
      </w:r>
      <w:r>
        <w:t xml:space="preserve">Ordinary</w:t>
      </w:r>
      <w:r>
        <w:t xml:space="preserve"> </w:t>
      </w:r>
      <w:r>
        <w:t xml:space="preserve">Skill</w:t>
      </w:r>
      <w:r>
        <w:t xml:space="preserve"> </w:t>
      </w:r>
      <w:r>
        <w:t xml:space="preserve">in</w:t>
      </w:r>
      <w:r>
        <w:t xml:space="preserve"> </w:t>
      </w:r>
      <w:r>
        <w:t xml:space="preserve">the</w:t>
      </w:r>
      <w:r>
        <w:t xml:space="preserve"> </w:t>
      </w:r>
      <w:r>
        <w:t xml:space="preserve">Art</w:t>
      </w:r>
      <w:r>
        <w:t xml:space="preserve">   </w:t>
      </w:r>
      <w:r>
        <w:tab/>
      </w:r>
      <w:r>
        <w:t xml:space="preserve">7</w:t>
      </w:r>
    </w:p>
    <w:p>
      <w:pPr>
        <w:keepLines/>
        <w:tabs>
          <w:tab w:val="left" w:pos="720"/>
          <w:tab w:val="right" w:leader="dot" w:pos="9360"/>
        </w:tabs>
        <w:spacing w:before="200" w:after="0" w:line="320" w:lineRule="exact"/>
        <w:ind w:left="720" w:right="720" w:hanging="720"/>
        <w:jc w:val="left"/>
      </w:pPr>
      <w:r>
        <w:t xml:space="preserve">VII.</w:t>
      </w:r>
      <w:r>
        <w:tab/>
      </w:r>
      <w:r>
        <w:t xml:space="preserve">Claim</w:t>
      </w:r>
      <w:r>
        <w:t xml:space="preserve"> </w:t>
      </w:r>
      <w:r>
        <w:t xml:space="preserve">Construction</w:t>
      </w:r>
      <w:r>
        <w:t xml:space="preserve">   </w:t>
      </w:r>
      <w:r>
        <w:tab/>
      </w:r>
      <w:r>
        <w:t xml:space="preserve">7</w:t>
      </w:r>
    </w:p>
    <w:p>
      <w:pPr>
        <w:keepLines/>
        <w:tabs>
          <w:tab w:val="left" w:pos="720"/>
          <w:tab w:val="right" w:leader="dot" w:pos="9360"/>
        </w:tabs>
        <w:spacing w:before="200" w:after="0" w:line="320" w:lineRule="exact"/>
        <w:ind w:left="720" w:right="720" w:hanging="720"/>
        <w:jc w:val="left"/>
      </w:pPr>
      <w:r>
        <w:t xml:space="preserve">VIII.</w:t>
      </w:r>
      <w:r>
        <w:tab/>
      </w:r>
      <w:r>
        <w:t xml:space="preserve">Asserted</w:t>
      </w:r>
      <w:r>
        <w:t xml:space="preserve"> </w:t>
      </w:r>
      <w:r>
        <w:t xml:space="preserve">Prior</w:t>
      </w:r>
      <w:r>
        <w:t xml:space="preserve"> </w:t>
      </w:r>
      <w:r>
        <w:t xml:space="preserve">Art</w:t>
      </w:r>
      <w:r>
        <w:t xml:space="preserve">   </w:t>
      </w:r>
      <w:r>
        <w:tab/>
      </w:r>
      <w:r>
        <w:t xml:space="preserve">9</w:t>
      </w:r>
    </w:p>
    <w:p>
      <w:pPr>
        <w:keepLines/>
        <w:tabs>
          <w:tab w:val="left" w:pos="1440"/>
          <w:tab w:val="right" w:leader="dot" w:pos="9360"/>
        </w:tabs>
        <w:spacing w:before="140" w:after="0" w:line="320" w:lineRule="exact"/>
        <w:ind w:left="1440" w:right="720" w:hanging="720"/>
        <w:jc w:val="left"/>
      </w:pPr>
      <w:r>
        <w:t xml:space="preserve">A.</w:t>
      </w:r>
      <w:r>
        <w:tab/>
      </w:r>
      <w:r>
        <w:t xml:space="preserve">U.S.</w:t>
      </w:r>
      <w:r>
        <w:t xml:space="preserve"> </w:t>
      </w:r>
      <w:r>
        <w:t xml:space="preserve">Patent</w:t>
      </w:r>
      <w:r>
        <w:t xml:space="preserve"> </w:t>
      </w:r>
      <w:r>
        <w:t xml:space="preserve">No.</w:t>
      </w:r>
      <w:r>
        <w:t xml:space="preserve"> </w:t>
      </w:r>
      <w:r>
        <w:t xml:space="preserve">7,123,626</w:t>
      </w:r>
      <w:r>
        <w:t xml:space="preserve"> </w:t>
      </w:r>
      <w:r>
        <w:t xml:space="preserve">(“Feyerabend”)</w:t>
      </w:r>
      <w:r>
        <w:t xml:space="preserve">   </w:t>
      </w:r>
      <w:r>
        <w:tab/>
      </w:r>
      <w:r>
        <w:t xml:space="preserve">9</w:t>
      </w:r>
    </w:p>
    <w:p>
      <w:pPr>
        <w:keepLines/>
        <w:tabs>
          <w:tab w:val="left" w:pos="1440"/>
          <w:tab w:val="right" w:leader="dot" w:pos="9360"/>
        </w:tabs>
        <w:spacing w:before="140" w:after="0" w:line="320" w:lineRule="exact"/>
        <w:ind w:left="1440" w:right="720" w:hanging="720"/>
        <w:jc w:val="left"/>
      </w:pPr>
      <w:r>
        <w:t xml:space="preserve">B.</w:t>
      </w:r>
      <w:r>
        <w:tab/>
      </w:r>
      <w:r>
        <w:t xml:space="preserve">U.S.</w:t>
      </w:r>
      <w:r>
        <w:t xml:space="preserve"> </w:t>
      </w:r>
      <w:r>
        <w:t xml:space="preserve">Patent</w:t>
      </w:r>
      <w:r>
        <w:t xml:space="preserve"> </w:t>
      </w:r>
      <w:r>
        <w:t xml:space="preserve">No.</w:t>
      </w:r>
      <w:r>
        <w:t xml:space="preserve"> </w:t>
      </w:r>
      <w:r>
        <w:t xml:space="preserve">6,810,259</w:t>
      </w:r>
      <w:r>
        <w:t xml:space="preserve"> </w:t>
      </w:r>
      <w:r>
        <w:t xml:space="preserve">(“Zhang”)</w:t>
      </w:r>
      <w:r>
        <w:t xml:space="preserve">   </w:t>
      </w:r>
      <w:r>
        <w:tab/>
      </w:r>
      <w:r>
        <w:t xml:space="preserve">10</w:t>
      </w:r>
    </w:p>
    <w:p>
      <w:pPr>
        <w:keepLines/>
        <w:tabs>
          <w:tab w:val="left" w:pos="720"/>
          <w:tab w:val="right" w:leader="dot" w:pos="9360"/>
        </w:tabs>
        <w:spacing w:before="200" w:after="0" w:line="320" w:lineRule="exact"/>
        <w:ind w:left="720" w:right="720" w:hanging="720"/>
        <w:jc w:val="left"/>
        <w:sectPr>
          <w:footerReference w:type="default" r:id="rIdFooterRoman"/>
          <w:pgSz w:w="12240" w:h="15840"/>
          <w:pgMar w:top="1440" w:right="1440" w:bottom="1440" w:left="1440" w:header="720" w:footer="688" w:gutter="0"/>
          <w:pgNumType w:fmt="lowerRoman" w:start="1"/>
        </w:sectPr>
      </w:pPr>
      <w:r>
        <w:t xml:space="preserve">IX.</w:t>
      </w:r>
      <w:r>
        <w:tab/>
      </w:r>
      <w:r>
        <w:t xml:space="preserve">Conclusion</w:t>
      </w:r>
      <w:r>
        <w:t xml:space="preserve">   </w:t>
      </w:r>
      <w:r>
        <w:tab/>
      </w:r>
      <w:r>
        <w:t xml:space="preserve">11</w:t>
      </w:r>
    </w:p>
    <w:p>
      <w:pPr>
        <w:pStyle w:val="Heading1"/>
        <w:keepNext/>
        <w:keepLines/>
        <w:spacing w:before="0" w:after="240" w:line="320" w:lineRule="exact"/>
        <w:ind w:left="0" w:firstLine="0"/>
        <w:jc w:val="center"/>
      </w:pPr>
      <w:r>
        <w:rPr>
          <w:b/>
          <w:bCs/>
        </w:rPr>
        <w:t xml:space="preserve">I. </w:t>
      </w:r>
      <w:r>
        <w:rPr>
          <w:b/>
          <w:bCs/>
        </w:rPr>
        <w:t xml:space="preserve">INTRODUCTION</w:t>
      </w:r>
    </w:p>
    <w:p>
      <w:pPr>
        <w:pStyle w:val="FirstParagraph"/>
      </w:pPr>
      <w:r>
        <w:t xml:space="preserve">Patent Owner Brazos Licensing and Development (“Brazos”) is a non-practicing entity, and states that it is based in Waco, Texas. Brazo recently sued Petitioner Salesforce simultaneously filing nine other litigations alleging infringement of nine separate patents. All of these patents stem from different patent families and claim different technologies.</w:t>
      </w:r>
    </w:p>
    <w:p>
      <w:pPr>
        <w:pStyle w:val="BodyText"/>
      </w:pPr>
      <w:r>
        <w:t xml:space="preserve">One of those ten patents, U.S. Patent No. 8,369,827 (“the ’827 patent”) is the subject of the present petition. The ’827 patent is directed to managing a legacy subscriber system by using a subscriber profile repository (SPR). The patent claims a rudimentary search protocol using portions of a subscriber record to identify a full record. Yet this “SPR,” the alleged point of novelty for the ’827 patent is precisely what it acknowledges was taught in the prior art. Specifically, the 3GPP standard, on which the ’827 patent is built, expressly discloses the SPR. The ’827 patent claims additional details not expressly described in the 3GPP standard, but those details are simple obvious design choices that were all expressly disclosed in the secondary references identified below. The claimed search protocols were thus well-known more than a decade prior to the filing of the ’827 patent and are rendered obvious by the prior art teachings detailed below.</w:t>
      </w:r>
    </w:p>
    <w:p>
      <w:pPr>
        <w:pStyle w:val="BodyText"/>
      </w:pPr>
      <w:r>
        <w:t xml:space="preserve">Accordingly, Petitioner salesforce.com, Inc. (“Salesforce” or “Petitioner”) respectfully requests Inter Partes review of claims 1–8, 14–21 (“the challenged claims”) of the ’827 patent assigned to WSOU Investments LLC (“Patent Owner” or “WSOU”), pursuant to 35 U.S.C. § 311 and 37 C.F.R. § 42.100.</w:t>
      </w:r>
    </w:p>
    <w:p>
      <w:pPr>
        <w:pStyle w:val="Heading1"/>
        <w:keepNext/>
        <w:keepLines/>
        <w:spacing w:before="320" w:after="240" w:line="320" w:lineRule="exact"/>
        <w:ind w:left="0" w:firstLine="0"/>
        <w:jc w:val="center"/>
      </w:pPr>
      <w:r>
        <w:rPr>
          <w:b/>
          <w:bCs/>
        </w:rPr>
        <w:t xml:space="preserve">II. </w:t>
      </w:r>
      <w:r>
        <w:rPr>
          <w:b/>
          <w:bCs/>
        </w:rPr>
        <w:t xml:space="preserve">MANDATORY</w:t>
      </w:r>
      <w:r>
        <w:rPr>
          <w:b/>
          <w:bCs/>
        </w:rPr>
        <w:t xml:space="preserve"> </w:t>
      </w:r>
      <w:r>
        <w:rPr>
          <w:b/>
          <w:bCs/>
        </w:rPr>
        <w:t xml:space="preserve">NOTICES</w:t>
      </w:r>
    </w:p>
    <w:p>
      <w:pPr>
        <w:pStyle w:val="BodyText"/>
      </w:pPr>
      <w:r>
        <w:t xml:space="preserve">Pursuant 37 C.F.R. § 42.8(a)(1), the following mandatory notices are provided as part of this Petition.</w:t>
      </w:r>
    </w:p>
    <w:p>
      <w:pPr>
        <w:pStyle w:val="Heading2"/>
        <w:keepNext/>
        <w:keepLines/>
        <w:spacing w:before="280" w:after="200" w:line="320" w:lineRule="exact"/>
        <w:ind w:left="0" w:firstLine="0"/>
        <w:jc w:val="left"/>
      </w:pPr>
      <w:r>
        <w:rPr>
          <w:b/>
          <w:bCs/>
        </w:rPr>
        <w:t xml:space="preserve">A. </w:t>
      </w:r>
      <w:r>
        <w:rPr>
          <w:b/>
          <w:bCs/>
        </w:rPr>
        <w:t xml:space="preserve">Real</w:t>
      </w:r>
      <w:r>
        <w:rPr>
          <w:b/>
          <w:bCs/>
        </w:rPr>
        <w:t xml:space="preserve"> </w:t>
      </w:r>
      <w:r>
        <w:rPr>
          <w:b/>
          <w:bCs/>
        </w:rPr>
        <w:t xml:space="preserve">Party-in-Interest</w:t>
      </w:r>
      <w:r>
        <w:rPr>
          <w:b/>
          <w:bCs/>
        </w:rPr>
        <w:t xml:space="preserve"> </w:t>
      </w:r>
      <w:r>
        <w:rPr>
          <w:b/>
          <w:bCs/>
        </w:rPr>
        <w:t xml:space="preserve">(37</w:t>
      </w:r>
      <w:r>
        <w:rPr>
          <w:b/>
          <w:bCs/>
        </w:rPr>
        <w:t xml:space="preserve"> </w:t>
      </w:r>
      <w:r>
        <w:rPr>
          <w:b/>
          <w:bCs/>
        </w:rPr>
        <w:t xml:space="preserve">C.F.R.</w:t>
      </w:r>
      <w:r>
        <w:rPr>
          <w:b/>
          <w:bCs/>
        </w:rPr>
        <w:t xml:space="preserve"> </w:t>
      </w:r>
      <w:r>
        <w:rPr>
          <w:b/>
          <w:bCs/>
        </w:rPr>
        <w:t xml:space="preserve">§</w:t>
      </w:r>
      <w:r>
        <w:rPr>
          <w:b/>
          <w:bCs/>
        </w:rPr>
        <w:t xml:space="preserve"> </w:t>
      </w:r>
      <w:r>
        <w:rPr>
          <w:b/>
          <w:bCs/>
        </w:rPr>
        <w:t xml:space="preserve">42.8(b)(1))</w:t>
      </w:r>
    </w:p>
    <w:p>
      <w:pPr>
        <w:pStyle w:val="BodyText"/>
      </w:pPr>
      <w:r>
        <w:t xml:space="preserve">The real party-in-interest for Petitioner is Salesforce.</w:t>
      </w:r>
    </w:p>
    <w:p>
      <w:pPr>
        <w:pStyle w:val="Heading2"/>
        <w:keepNext/>
        <w:keepLines/>
        <w:spacing w:before="280" w:after="200" w:line="320" w:lineRule="exact"/>
        <w:ind w:left="0" w:firstLine="0"/>
        <w:jc w:val="left"/>
      </w:pPr>
      <w:r>
        <w:rPr>
          <w:b/>
          <w:bCs/>
        </w:rPr>
        <w:t xml:space="preserve">B. </w:t>
      </w:r>
      <w:r>
        <w:rPr>
          <w:b/>
          <w:bCs/>
        </w:rPr>
        <w:t xml:space="preserve">Related</w:t>
      </w:r>
      <w:r>
        <w:rPr>
          <w:b/>
          <w:bCs/>
        </w:rPr>
        <w:t xml:space="preserve"> </w:t>
      </w:r>
      <w:r>
        <w:rPr>
          <w:b/>
          <w:bCs/>
        </w:rPr>
        <w:t xml:space="preserve">Matters</w:t>
      </w:r>
      <w:r>
        <w:rPr>
          <w:b/>
          <w:bCs/>
        </w:rPr>
        <w:t xml:space="preserve"> </w:t>
      </w:r>
      <w:r>
        <w:rPr>
          <w:b/>
          <w:bCs/>
        </w:rPr>
        <w:t xml:space="preserve">(37</w:t>
      </w:r>
      <w:r>
        <w:rPr>
          <w:b/>
          <w:bCs/>
        </w:rPr>
        <w:t xml:space="preserve"> </w:t>
      </w:r>
      <w:r>
        <w:rPr>
          <w:b/>
          <w:bCs/>
        </w:rPr>
        <w:t xml:space="preserve">C.F.R.</w:t>
      </w:r>
      <w:r>
        <w:rPr>
          <w:b/>
          <w:bCs/>
        </w:rPr>
        <w:t xml:space="preserve"> </w:t>
      </w:r>
      <w:r>
        <w:rPr>
          <w:b/>
          <w:bCs/>
        </w:rPr>
        <w:t xml:space="preserve">§</w:t>
      </w:r>
      <w:r>
        <w:rPr>
          <w:b/>
          <w:bCs/>
        </w:rPr>
        <w:t xml:space="preserve"> </w:t>
      </w:r>
      <w:r>
        <w:rPr>
          <w:b/>
          <w:bCs/>
        </w:rPr>
        <w:t xml:space="preserve">42.8(b)(2))</w:t>
      </w:r>
    </w:p>
    <w:p>
      <w:pPr>
        <w:pStyle w:val="Heading3"/>
        <w:keepNext/>
        <w:keepLines/>
        <w:spacing w:before="280" w:after="200" w:line="320" w:lineRule="exact"/>
        <w:ind w:left="0" w:firstLine="0"/>
        <w:jc w:val="left"/>
      </w:pPr>
      <w:r>
        <w:rPr>
          <w:b/>
          <w:bCs/>
          <w:i/>
          <w:iCs/>
        </w:rPr>
        <w:t xml:space="preserve">1. </w:t>
      </w:r>
      <w:r>
        <w:rPr>
          <w:b/>
          <w:bCs/>
          <w:i/>
          <w:iCs/>
        </w:rPr>
        <w:t xml:space="preserve">Related</w:t>
      </w:r>
      <w:r>
        <w:rPr>
          <w:b/>
          <w:bCs/>
          <w:i/>
          <w:iCs/>
        </w:rPr>
        <w:t xml:space="preserve"> </w:t>
      </w:r>
      <w:r>
        <w:rPr>
          <w:b/>
          <w:bCs/>
          <w:i/>
          <w:iCs/>
        </w:rPr>
        <w:t xml:space="preserve">Patent</w:t>
      </w:r>
      <w:r>
        <w:rPr>
          <w:b/>
          <w:bCs/>
          <w:i/>
          <w:iCs/>
        </w:rPr>
        <w:t xml:space="preserve"> </w:t>
      </w:r>
      <w:r>
        <w:rPr>
          <w:b/>
          <w:bCs/>
          <w:i/>
          <w:iCs/>
        </w:rPr>
        <w:t xml:space="preserve">Office</w:t>
      </w:r>
      <w:r>
        <w:rPr>
          <w:b/>
          <w:bCs/>
          <w:i/>
          <w:iCs/>
        </w:rPr>
        <w:t xml:space="preserve"> </w:t>
      </w:r>
      <w:r>
        <w:rPr>
          <w:b/>
          <w:bCs/>
          <w:i/>
          <w:iCs/>
        </w:rPr>
        <w:t xml:space="preserve">Proceedings</w:t>
      </w:r>
    </w:p>
    <w:p>
      <w:pPr>
        <w:pStyle w:val="BodyText"/>
      </w:pPr>
      <w:r>
        <w:t xml:space="preserve">There are no related Patent Office proceedings.</w:t>
      </w:r>
    </w:p>
    <w:p>
      <w:pPr>
        <w:pStyle w:val="Heading3"/>
        <w:keepNext/>
        <w:keepLines/>
        <w:spacing w:before="280" w:after="200" w:line="320" w:lineRule="exact"/>
        <w:ind w:left="0" w:firstLine="0"/>
        <w:jc w:val="left"/>
      </w:pPr>
      <w:r>
        <w:rPr>
          <w:b/>
          <w:bCs/>
          <w:i/>
          <w:iCs/>
        </w:rPr>
        <w:t xml:space="preserve">2. </w:t>
      </w:r>
      <w:r>
        <w:rPr>
          <w:b/>
          <w:bCs/>
          <w:i/>
          <w:iCs/>
        </w:rPr>
        <w:t xml:space="preserve">Related</w:t>
      </w:r>
      <w:r>
        <w:rPr>
          <w:b/>
          <w:bCs/>
          <w:i/>
          <w:iCs/>
        </w:rPr>
        <w:t xml:space="preserve"> </w:t>
      </w:r>
      <w:r>
        <w:rPr>
          <w:b/>
          <w:bCs/>
          <w:i/>
          <w:iCs/>
        </w:rPr>
        <w:t xml:space="preserve">Litigation</w:t>
      </w:r>
    </w:p>
    <w:p>
      <w:pPr>
        <w:pStyle w:val="BodyText"/>
      </w:pPr>
      <w:r>
        <w:t xml:space="preserve">WSOU is currently asserting the ’827 patent against Petitioner in</w:t>
      </w:r>
      <w:r>
        <w:t xml:space="preserve"> </w:t>
      </w:r>
      <w:r>
        <w:rPr>
          <w:i/>
          <w:iCs/>
        </w:rPr>
        <w:t xml:space="preserve">WSOU Investments, LLC d/b/a Brazos Licensing and Development v. Salesforce.com, Inc.</w:t>
      </w:r>
      <w:r>
        <w:t xml:space="preserve">, Case No. 6:20-cv</w:t>
      </w:r>
      <w:r>
        <w:noBreakHyphen/>
      </w:r>
      <w:r>
        <w:t xml:space="preserve">1167-ADA (W.D. Tex.).</w:t>
      </w:r>
    </w:p>
    <w:p>
      <w:pPr>
        <w:pStyle w:val="Heading2"/>
        <w:keepNext/>
        <w:keepLines/>
        <w:spacing w:before="280" w:after="200" w:line="320" w:lineRule="exact"/>
        <w:ind w:left="0" w:firstLine="0"/>
        <w:jc w:val="left"/>
      </w:pPr>
      <w:r>
        <w:rPr>
          <w:b/>
          <w:bCs/>
        </w:rPr>
        <w:t xml:space="preserve">C. </w:t>
      </w:r>
      <w:r>
        <w:rPr>
          <w:b/>
          <w:bCs/>
        </w:rPr>
        <w:t xml:space="preserve">Lead</w:t>
      </w:r>
      <w:r>
        <w:rPr>
          <w:b/>
          <w:bCs/>
        </w:rPr>
        <w:t xml:space="preserve"> </w:t>
      </w:r>
      <w:r>
        <w:rPr>
          <w:b/>
          <w:bCs/>
        </w:rPr>
        <w:t xml:space="preserve">and</w:t>
      </w:r>
      <w:r>
        <w:rPr>
          <w:b/>
          <w:bCs/>
        </w:rPr>
        <w:t xml:space="preserve"> </w:t>
      </w:r>
      <w:r>
        <w:rPr>
          <w:b/>
          <w:bCs/>
        </w:rPr>
        <w:t xml:space="preserve">Back-Up</w:t>
      </w:r>
      <w:r>
        <w:rPr>
          <w:b/>
          <w:bCs/>
        </w:rPr>
        <w:t xml:space="preserve"> </w:t>
      </w:r>
      <w:r>
        <w:rPr>
          <w:b/>
          <w:bCs/>
        </w:rPr>
        <w:t xml:space="preserve">Counsel</w:t>
      </w:r>
      <w:r>
        <w:rPr>
          <w:b/>
          <w:bCs/>
        </w:rPr>
        <w:t xml:space="preserve"> </w:t>
      </w:r>
      <w:r>
        <w:rPr>
          <w:b/>
          <w:bCs/>
        </w:rPr>
        <w:t xml:space="preserve">(37</w:t>
      </w:r>
      <w:r>
        <w:rPr>
          <w:b/>
          <w:bCs/>
        </w:rPr>
        <w:t xml:space="preserve"> </w:t>
      </w:r>
      <w:r>
        <w:rPr>
          <w:b/>
          <w:bCs/>
        </w:rPr>
        <w:t xml:space="preserve">C.F.R.</w:t>
      </w:r>
      <w:r>
        <w:rPr>
          <w:b/>
          <w:bCs/>
        </w:rPr>
        <w:t xml:space="preserve"> </w:t>
      </w:r>
      <w:r>
        <w:rPr>
          <w:b/>
          <w:bCs/>
        </w:rPr>
        <w:t xml:space="preserve">§</w:t>
      </w:r>
      <w:r>
        <w:rPr>
          <w:b/>
          <w:bCs/>
        </w:rPr>
        <w:t xml:space="preserve"> </w:t>
      </w:r>
      <w:r>
        <w:rPr>
          <w:b/>
          <w:bCs/>
        </w:rPr>
        <w:t xml:space="preserve">42.8(b)(3))</w:t>
      </w:r>
      <w:r>
        <w:rPr>
          <w:b/>
          <w:bCs/>
        </w:rPr>
        <w:t xml:space="preserve"> </w:t>
      </w:r>
      <w:r>
        <w:rPr>
          <w:b/>
          <w:bCs/>
        </w:rPr>
        <w:t xml:space="preserve">and</w:t>
      </w:r>
      <w:r>
        <w:rPr>
          <w:b/>
          <w:bCs/>
        </w:rPr>
        <w:t xml:space="preserve"> </w:t>
      </w:r>
      <w:r>
        <w:rPr>
          <w:b/>
          <w:bCs/>
        </w:rPr>
        <w:t xml:space="preserve">Service</w:t>
      </w:r>
      <w:r>
        <w:rPr>
          <w:b/>
          <w:bCs/>
        </w:rPr>
        <w:t xml:space="preserve"> </w:t>
      </w:r>
      <w:r>
        <w:rPr>
          <w:b/>
          <w:bCs/>
        </w:rPr>
        <w:t xml:space="preserve">Information</w:t>
      </w:r>
      <w:r>
        <w:rPr>
          <w:b/>
          <w:bCs/>
        </w:rPr>
        <w:t xml:space="preserve"> </w:t>
      </w:r>
      <w:r>
        <w:rPr>
          <w:b/>
          <w:bCs/>
        </w:rPr>
        <w:t xml:space="preserve">(37</w:t>
      </w:r>
      <w:r>
        <w:rPr>
          <w:b/>
          <w:bCs/>
        </w:rPr>
        <w:t xml:space="preserve"> </w:t>
      </w:r>
      <w:r>
        <w:rPr>
          <w:b/>
          <w:bCs/>
        </w:rPr>
        <w:t xml:space="preserve">C.F.R.</w:t>
      </w:r>
      <w:r>
        <w:rPr>
          <w:b/>
          <w:bCs/>
        </w:rPr>
        <w:t xml:space="preserve"> </w:t>
      </w:r>
      <w:r>
        <w:rPr>
          <w:b/>
          <w:bCs/>
        </w:rPr>
        <w:t xml:space="preserve">§</w:t>
      </w:r>
      <w:r>
        <w:rPr>
          <w:b/>
          <w:bCs/>
        </w:rPr>
        <w:t xml:space="preserve"> </w:t>
      </w:r>
      <w:r>
        <w:rPr>
          <w:b/>
          <w:bCs/>
        </w:rPr>
        <w:t xml:space="preserve">42.8(b)(3)–(4))</w:t>
      </w:r>
    </w:p>
    <w:p>
      <w:pPr>
        <w:pStyle w:val="BodyText"/>
      </w:pPr>
      <w:r>
        <w:t xml:space="preserve">Petitioner provides the following counsel and service information. Pursuant to 37 C.F.R. § 42.10(b), a Power of Attorney accompanies this Petition.</w:t>
      </w:r>
    </w:p>
    <w:p>
      <w:pPr>
        <w:pStyle w:val="BodyText"/>
      </w:pPr>
      <w:r>
        <w:t xml:space="preserve">Lead counsel: James Glass, Reg. No. 46729, jimglass@quinnemanuel.com, Quinn Emanuel Urquhart &amp; Sullivan, LLP, 51 Madison Ave., 22nd Floor, New York, NY 10010, Tel: (212) 849</w:t>
      </w:r>
      <w:r>
        <w:noBreakHyphen/>
      </w:r>
      <w:r>
        <w:t xml:space="preserve">7000.</w:t>
      </w:r>
    </w:p>
    <w:p>
      <w:pPr>
        <w:pStyle w:val="BodyText"/>
      </w:pPr>
      <w:r>
        <w:t xml:space="preserve">Back-up counsel:</w:t>
      </w:r>
    </w:p>
    <w:p>
      <w:pPr>
        <w:pStyle w:val="ListItem"/>
      </w:pPr>
      <w:r>
        <w:t xml:space="preserve">•</w:t>
      </w:r>
      <w:r>
        <w:tab/>
      </w:r>
      <w:r>
        <w:t xml:space="preserve">Sam Stake (pro hac vice to be requested upon grant authorization), samstake@quinnemanuel.com, Quinn Emanuel Urquhart &amp; Sullivan, LLP, 50 California St., 22nd Floor, San Francisco, CA 94111, Tel: (415) 875</w:t>
      </w:r>
      <w:r>
        <w:noBreakHyphen/>
      </w:r>
      <w:r>
        <w:t xml:space="preserve">6600.</w:t>
      </w:r>
    </w:p>
    <w:p>
      <w:pPr>
        <w:pStyle w:val="ListItem"/>
      </w:pPr>
      <w:r>
        <w:t xml:space="preserve">•</w:t>
      </w:r>
      <w:r>
        <w:tab/>
      </w:r>
      <w:r>
        <w:t xml:space="preserve">Ray Zado (pro hac vice to be requested upon grant authorization), rayzado@quinnemanuel.com, Quinn Emanuel Urquhart &amp; Sullivan, LLP, 555 Twin Dolphin Dr., 5th Floor, Redwood Shores, CA 94065, Tel: (650) 801</w:t>
      </w:r>
      <w:r>
        <w:noBreakHyphen/>
      </w:r>
      <w:r>
        <w:t xml:space="preserve">5000.</w:t>
      </w:r>
    </w:p>
    <w:p>
      <w:pPr>
        <w:pStyle w:val="ListItem"/>
      </w:pPr>
      <w:r>
        <w:t xml:space="preserve">•</w:t>
      </w:r>
      <w:r>
        <w:tab/>
      </w:r>
      <w:r>
        <w:t xml:space="preserve">Joshua Scheufler (pro hac vice to be requested upon grant authorization), joshuascheufler@quinnemanuel.com, Quinn Emanuel Urquhart &amp; Sullivan, LLP, 711 Louisiana Street, Suite 500, Houston, TX 77002, Tel: (713) 221</w:t>
      </w:r>
      <w:r>
        <w:noBreakHyphen/>
      </w:r>
      <w:r>
        <w:t xml:space="preserve">7000.</w:t>
      </w:r>
    </w:p>
    <w:p>
      <w:pPr>
        <w:pStyle w:val="ListItem"/>
      </w:pPr>
      <w:r>
        <w:t xml:space="preserve">•</w:t>
      </w:r>
      <w:r>
        <w:tab/>
      </w:r>
      <w:r>
        <w:t xml:space="preserve">Ian Wang (pro hac vice to be requested upon grant authorization), ianwang@quinnemanuel.com, Quinn Emanuel Urquhart &amp; Sullivan, LLP, 2755 E. Cottonwood Parkway, Suite 430, Salt Lake City, UT 84121, Tel: (801) 515</w:t>
      </w:r>
      <w:r>
        <w:noBreakHyphen/>
      </w:r>
      <w:r>
        <w:t xml:space="preserve">7300.</w:t>
      </w:r>
    </w:p>
    <w:p>
      <w:pPr>
        <w:pStyle w:val="BodyText"/>
      </w:pPr>
      <w:r>
        <w:t xml:space="preserve">Petitioner consents to electronic service at qewsouvsalesforce@quinnemanuel.com and at the email addresses listed above.</w:t>
      </w:r>
    </w:p>
    <w:p>
      <w:pPr>
        <w:pStyle w:val="Heading2"/>
        <w:keepNext/>
        <w:keepLines/>
        <w:spacing w:before="280" w:after="200" w:line="320" w:lineRule="exact"/>
        <w:ind w:left="0" w:firstLine="0"/>
        <w:jc w:val="left"/>
      </w:pPr>
      <w:r>
        <w:rPr>
          <w:b/>
          <w:bCs/>
        </w:rPr>
        <w:t xml:space="preserve">D. </w:t>
      </w:r>
      <w:r>
        <w:rPr>
          <w:b/>
          <w:bCs/>
        </w:rPr>
        <w:t xml:space="preserve">Payment</w:t>
      </w:r>
      <w:r>
        <w:rPr>
          <w:b/>
          <w:bCs/>
        </w:rPr>
        <w:t xml:space="preserve"> </w:t>
      </w:r>
      <w:r>
        <w:rPr>
          <w:b/>
          <w:bCs/>
        </w:rPr>
        <w:t xml:space="preserve">of</w:t>
      </w:r>
      <w:r>
        <w:rPr>
          <w:b/>
          <w:bCs/>
        </w:rPr>
        <w:t xml:space="preserve"> </w:t>
      </w:r>
      <w:r>
        <w:rPr>
          <w:b/>
          <w:bCs/>
        </w:rPr>
        <w:t xml:space="preserve">Fees</w:t>
      </w:r>
      <w:r>
        <w:rPr>
          <w:b/>
          <w:bCs/>
        </w:rPr>
        <w:t xml:space="preserve"> </w:t>
      </w:r>
      <w:r>
        <w:rPr>
          <w:b/>
          <w:bCs/>
        </w:rPr>
        <w:t xml:space="preserve">(37</w:t>
      </w:r>
      <w:r>
        <w:rPr>
          <w:b/>
          <w:bCs/>
        </w:rPr>
        <w:t xml:space="preserve"> </w:t>
      </w:r>
      <w:r>
        <w:rPr>
          <w:b/>
          <w:bCs/>
        </w:rPr>
        <w:t xml:space="preserve">C.F.R.</w:t>
      </w:r>
      <w:r>
        <w:rPr>
          <w:b/>
          <w:bCs/>
        </w:rPr>
        <w:t xml:space="preserve"> </w:t>
      </w:r>
      <w:r>
        <w:rPr>
          <w:b/>
          <w:bCs/>
        </w:rPr>
        <w:t xml:space="preserve">§</w:t>
      </w:r>
      <w:r>
        <w:rPr>
          <w:b/>
          <w:bCs/>
        </w:rPr>
        <w:t xml:space="preserve"> </w:t>
      </w:r>
      <w:r>
        <w:rPr>
          <w:b/>
          <w:bCs/>
        </w:rPr>
        <w:t xml:space="preserve">42.15(a))</w:t>
      </w:r>
    </w:p>
    <w:p>
      <w:pPr>
        <w:pStyle w:val="BodyText"/>
      </w:pPr>
      <w:r>
        <w:t xml:space="preserve">The undersigned authorizes the Office to charge the fee required for this Petition for Inter Partes review to Deposit Account No. 50</w:t>
      </w:r>
      <w:r>
        <w:noBreakHyphen/>
      </w:r>
      <w:r>
        <w:t xml:space="preserve">5708. Any additional fees that might be due are also authorized.</w:t>
      </w:r>
    </w:p>
    <w:p>
      <w:pPr>
        <w:pStyle w:val="Heading1"/>
        <w:keepNext/>
        <w:keepLines/>
        <w:spacing w:before="320" w:after="240" w:line="320" w:lineRule="exact"/>
        <w:ind w:left="0" w:firstLine="0"/>
        <w:jc w:val="center"/>
      </w:pPr>
      <w:r>
        <w:rPr>
          <w:b/>
          <w:bCs/>
        </w:rPr>
        <w:t xml:space="preserve">III. </w:t>
      </w:r>
      <w:r>
        <w:rPr>
          <w:b/>
          <w:bCs/>
        </w:rPr>
        <w:t xml:space="preserve">REQUIREMENTS</w:t>
      </w:r>
      <w:r>
        <w:rPr>
          <w:b/>
          <w:bCs/>
        </w:rPr>
        <w:t xml:space="preserve"> </w:t>
      </w:r>
      <w:r>
        <w:rPr>
          <w:b/>
          <w:bCs/>
        </w:rPr>
        <w:t xml:space="preserve">FOR</w:t>
      </w:r>
      <w:r>
        <w:rPr>
          <w:b/>
          <w:bCs/>
        </w:rPr>
        <w:t xml:space="preserve"> </w:t>
      </w:r>
      <w:r>
        <w:rPr>
          <w:b/>
          <w:bCs/>
        </w:rPr>
        <w:t xml:space="preserve">INTER</w:t>
      </w:r>
      <w:r>
        <w:rPr>
          <w:b/>
          <w:bCs/>
        </w:rPr>
        <w:t xml:space="preserve"> </w:t>
      </w:r>
      <w:r>
        <w:rPr>
          <w:b/>
          <w:bCs/>
        </w:rPr>
        <w:t xml:space="preserve">PARTES</w:t>
      </w:r>
      <w:r>
        <w:rPr>
          <w:b/>
          <w:bCs/>
        </w:rPr>
        <w:t xml:space="preserve"> </w:t>
      </w:r>
      <w:r>
        <w:rPr>
          <w:b/>
          <w:bCs/>
        </w:rPr>
        <w:t xml:space="preserve">REVIEW</w:t>
      </w:r>
    </w:p>
    <w:p>
      <w:pPr>
        <w:pStyle w:val="BodyText"/>
      </w:pPr>
      <w:r>
        <w:t xml:space="preserve">Petitioner certifies it is not barred or estopped from requesting this proceeding, the ’827 patent is available for Inter Partes review, and the prohibitions of 35 U.S.C. §§ 315(a)–(b) are inapplicable.</w:t>
      </w:r>
    </w:p>
    <w:p>
      <w:pPr>
        <w:pStyle w:val="Heading1"/>
        <w:keepNext/>
        <w:keepLines/>
        <w:spacing w:before="320" w:after="240" w:line="320" w:lineRule="exact"/>
        <w:ind w:left="0" w:firstLine="0"/>
        <w:jc w:val="center"/>
      </w:pPr>
      <w:r>
        <w:rPr>
          <w:b/>
          <w:bCs/>
        </w:rPr>
        <w:t xml:space="preserve">IV. </w:t>
      </w:r>
      <w:r>
        <w:rPr>
          <w:b/>
          <w:bCs/>
        </w:rPr>
        <w:t xml:space="preserve">STATEMENT</w:t>
      </w:r>
      <w:r>
        <w:rPr>
          <w:b/>
          <w:bCs/>
        </w:rPr>
        <w:t xml:space="preserve"> </w:t>
      </w:r>
      <w:r>
        <w:rPr>
          <w:b/>
          <w:bCs/>
        </w:rPr>
        <w:t xml:space="preserve">OF</w:t>
      </w:r>
      <w:r>
        <w:rPr>
          <w:b/>
          <w:bCs/>
        </w:rPr>
        <w:t xml:space="preserve"> </w:t>
      </w:r>
      <w:r>
        <w:rPr>
          <w:b/>
          <w:bCs/>
        </w:rPr>
        <w:t xml:space="preserve">RELIEF</w:t>
      </w:r>
      <w:r>
        <w:rPr>
          <w:b/>
          <w:bCs/>
        </w:rPr>
        <w:t xml:space="preserve"> </w:t>
      </w:r>
      <w:r>
        <w:rPr>
          <w:b/>
          <w:bCs/>
        </w:rPr>
        <w:t xml:space="preserve">REQUESTED</w:t>
      </w:r>
      <w:r>
        <w:rPr>
          <w:b/>
          <w:bCs/>
        </w:rPr>
        <w:t xml:space="preserve"> </w:t>
      </w:r>
      <w:r>
        <w:rPr>
          <w:b/>
          <w:bCs/>
        </w:rPr>
        <w:t xml:space="preserve">FOR</w:t>
      </w:r>
      <w:r>
        <w:rPr>
          <w:b/>
          <w:bCs/>
        </w:rPr>
        <w:t xml:space="preserve"> </w:t>
      </w:r>
      <w:r>
        <w:rPr>
          <w:b/>
          <w:bCs/>
        </w:rPr>
        <w:t xml:space="preserve">EACH</w:t>
      </w:r>
      <w:r>
        <w:rPr>
          <w:b/>
          <w:bCs/>
        </w:rPr>
        <w:t xml:space="preserve"> </w:t>
      </w:r>
      <w:r>
        <w:rPr>
          <w:b/>
          <w:bCs/>
        </w:rPr>
        <w:t xml:space="preserve">CHALLENGED</w:t>
      </w:r>
      <w:r>
        <w:rPr>
          <w:b/>
          <w:bCs/>
        </w:rPr>
        <w:t xml:space="preserve"> </w:t>
      </w:r>
      <w:r>
        <w:rPr>
          <w:b/>
          <w:bCs/>
        </w:rPr>
        <w:t xml:space="preserve">CLAIM</w:t>
      </w:r>
    </w:p>
    <w:p>
      <w:pPr>
        <w:pStyle w:val="BodyText"/>
      </w:pPr>
      <w:r>
        <w:t xml:space="preserve">Petitioner respectfully requests Inter Partes review of the challenged claims based on the following obviousness grounds:</w:t>
      </w:r>
    </w:p>
    <w:p>
      <w:pPr>
        <w:pStyle w:val="ListItem"/>
      </w:pPr>
      <w:r>
        <w:t xml:space="preserve">•</w:t>
      </w:r>
      <w:r>
        <w:tab/>
      </w:r>
      <w:r>
        <w:t xml:space="preserve">Ground 1: Feyerabend and 3GPP render claims 1–4, 6, 8, 14–17, 19, and 21 obvious.</w:t>
      </w:r>
    </w:p>
    <w:p>
      <w:pPr>
        <w:pStyle w:val="ListItem"/>
      </w:pPr>
      <w:r>
        <w:t xml:space="preserve">•</w:t>
      </w:r>
      <w:r>
        <w:tab/>
      </w:r>
      <w:r>
        <w:t xml:space="preserve">Ground 2: Feyerabend, 3GPP, and Zhang render claims 2–5, and 15–18 obvious.</w:t>
      </w:r>
    </w:p>
    <w:p>
      <w:pPr>
        <w:pStyle w:val="ListItem"/>
      </w:pPr>
      <w:r>
        <w:t xml:space="preserve">•</w:t>
      </w:r>
      <w:r>
        <w:tab/>
      </w:r>
      <w:r>
        <w:t xml:space="preserve">Ground 3: Feyerabend, 3GPP, and Bland render claims 7 and 20 obvious.</w:t>
      </w:r>
    </w:p>
    <w:p>
      <w:pPr>
        <w:pStyle w:val="Heading1"/>
        <w:keepNext/>
        <w:keepLines/>
        <w:spacing w:before="320" w:after="240" w:line="320" w:lineRule="exact"/>
        <w:ind w:left="0" w:firstLine="0"/>
        <w:jc w:val="center"/>
      </w:pPr>
      <w:r>
        <w:rPr>
          <w:b/>
          <w:bCs/>
        </w:rPr>
        <w:t xml:space="preserve">V. </w:t>
      </w:r>
      <w:r>
        <w:rPr>
          <w:b/>
          <w:bCs/>
        </w:rPr>
        <w:t xml:space="preserve">OVERVIEW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’827</w:t>
      </w:r>
      <w:r>
        <w:rPr>
          <w:b/>
          <w:bCs/>
        </w:rPr>
        <w:t xml:space="preserve"> </w:t>
      </w:r>
      <w:r>
        <w:rPr>
          <w:b/>
          <w:bCs/>
        </w:rPr>
        <w:t xml:space="preserve">PATENT</w:t>
      </w:r>
    </w:p>
    <w:p>
      <w:pPr>
        <w:pStyle w:val="Heading2"/>
        <w:keepNext/>
        <w:keepLines/>
        <w:spacing w:before="280" w:after="200" w:line="320" w:lineRule="exact"/>
        <w:ind w:left="0" w:firstLine="0"/>
        <w:jc w:val="left"/>
      </w:pPr>
      <w:r>
        <w:rPr>
          <w:b/>
          <w:bCs/>
        </w:rPr>
        <w:t xml:space="preserve">A. </w:t>
      </w:r>
      <w:r>
        <w:rPr>
          <w:b/>
          <w:bCs/>
        </w:rPr>
        <w:t xml:space="preserve">Technology</w:t>
      </w:r>
    </w:p>
    <w:p>
      <w:pPr>
        <w:pStyle w:val="BodyText"/>
      </w:pPr>
      <w:r>
        <w:t xml:space="preserve">U.S. Patent No. 8,369,827 (“the ’827 patent”) is directed to managing a legacy subscriber system using a subscriber profile repository (SPR) and claims a rudimentary search protocol to identify a unique subscriber record using a set of subscription identifiers:</w:t>
      </w:r>
    </w:p>
    <w:p>
      <w:pPr>
        <w:spacing w:before="240" w:after="240" w:line="480" w:lineRule="exact"/>
        <w:ind w:left="720" w:right="720" w:firstLine="0"/>
        <w:jc w:val="left"/>
      </w:pPr>
      <w:r>
        <w:t xml:space="preserve">1.</w:t>
      </w:r>
      <w:r>
        <w:t xml:space="preserve"> </w:t>
      </w:r>
      <w:r>
        <w:t xml:space="preserve">A</w:t>
      </w:r>
      <w:r>
        <w:t xml:space="preserve"> </w:t>
      </w:r>
      <w:r>
        <w:t xml:space="preserve">method</w:t>
      </w:r>
      <w:r>
        <w:t xml:space="preserve"> </w:t>
      </w:r>
      <w:r>
        <w:t xml:space="preserve">performed</w:t>
      </w:r>
      <w:r>
        <w:t xml:space="preserve"> </w:t>
      </w:r>
      <w:r>
        <w:t xml:space="preserve">by</w:t>
      </w:r>
      <w:r>
        <w:t xml:space="preserve"> </w:t>
      </w:r>
      <w:r>
        <w:t xml:space="preserve">a</w:t>
      </w:r>
      <w:r>
        <w:t xml:space="preserve"> </w:t>
      </w:r>
      <w:r>
        <w:t xml:space="preserve">Subscriber</w:t>
      </w:r>
      <w:r>
        <w:t xml:space="preserve"> </w:t>
      </w:r>
      <w:r>
        <w:t xml:space="preserve">Profile</w:t>
      </w:r>
      <w:r>
        <w:t xml:space="preserve"> </w:t>
      </w:r>
      <w:r>
        <w:t xml:space="preserve">Repository</w:t>
      </w:r>
      <w:r>
        <w:t xml:space="preserve"> </w:t>
      </w:r>
      <w:r>
        <w:t xml:space="preserve">(SPR)</w:t>
      </w:r>
      <w:r>
        <w:t xml:space="preserve"> </w:t>
      </w:r>
      <w:r>
        <w:t xml:space="preserve">for</w:t>
      </w:r>
      <w:r>
        <w:t xml:space="preserve"> </w:t>
      </w:r>
      <w:r>
        <w:t xml:space="preserve">determining</w:t>
      </w:r>
      <w:r>
        <w:t xml:space="preserve"> </w:t>
      </w:r>
      <w:r>
        <w:t xml:space="preserve">a</w:t>
      </w:r>
      <w:r>
        <w:t xml:space="preserve"> </w:t>
      </w:r>
      <w:r>
        <w:t xml:space="preserve">unique</w:t>
      </w:r>
      <w:r>
        <w:t xml:space="preserve"> </w:t>
      </w:r>
      <w:r>
        <w:t xml:space="preserve">subscriber</w:t>
      </w:r>
      <w:r>
        <w:t xml:space="preserve"> </w:t>
      </w:r>
      <w:r>
        <w:t xml:space="preserve">record</w:t>
      </w:r>
      <w:r>
        <w:t xml:space="preserve"> </w:t>
      </w:r>
      <w:r>
        <w:t xml:space="preserve">from</w:t>
      </w:r>
      <w:r>
        <w:t xml:space="preserve"> </w:t>
      </w:r>
      <w:r>
        <w:t xml:space="preserve">a</w:t>
      </w:r>
      <w:r>
        <w:t xml:space="preserve"> </w:t>
      </w:r>
      <w:r>
        <w:t xml:space="preserve">set</w:t>
      </w:r>
      <w:r>
        <w:t xml:space="preserve"> </w:t>
      </w:r>
      <w:r>
        <w:t xml:space="preserve">of</w:t>
      </w:r>
      <w:r>
        <w:t xml:space="preserve"> </w:t>
      </w:r>
      <w:r>
        <w:t xml:space="preserve">subscription</w:t>
      </w:r>
      <w:r>
        <w:t xml:space="preserve"> </w:t>
      </w:r>
      <w:r>
        <w:t xml:space="preserve">identifiers,</w:t>
      </w:r>
      <w:r>
        <w:t xml:space="preserve"> </w:t>
      </w:r>
      <w:r>
        <w:t xml:space="preserve">the</w:t>
      </w:r>
      <w:r>
        <w:t xml:space="preserve"> </w:t>
      </w:r>
      <w:r>
        <w:t xml:space="preserve">method</w:t>
      </w:r>
      <w:r>
        <w:t xml:space="preserve"> </w:t>
      </w:r>
      <w:r>
        <w:t xml:space="preserve">comprising:</w:t>
      </w:r>
      <w:r>
        <w:t xml:space="preserve"> </w:t>
      </w:r>
      <w:r>
        <w:t xml:space="preserve">receiving</w:t>
      </w:r>
      <w:r>
        <w:t xml:space="preserve"> </w:t>
      </w:r>
      <w:r>
        <w:t xml:space="preserve">a</w:t>
      </w:r>
      <w:r>
        <w:t xml:space="preserve"> </w:t>
      </w:r>
      <w:r>
        <w:t xml:space="preserve">message</w:t>
      </w:r>
      <w:r>
        <w:t xml:space="preserve"> </w:t>
      </w:r>
      <w:r>
        <w:t xml:space="preserve">including</w:t>
      </w:r>
      <w:r>
        <w:t xml:space="preserve"> </w:t>
      </w:r>
      <w:r>
        <w:t xml:space="preserve">at</w:t>
      </w:r>
      <w:r>
        <w:t xml:space="preserve"> </w:t>
      </w:r>
      <w:r>
        <w:t xml:space="preserve">least</w:t>
      </w:r>
      <w:r>
        <w:t xml:space="preserve"> </w:t>
      </w:r>
      <w:r>
        <w:t xml:space="preserve">one</w:t>
      </w:r>
      <w:r>
        <w:t xml:space="preserve"> </w:t>
      </w:r>
      <w:r>
        <w:t xml:space="preserve">subscription</w:t>
      </w:r>
      <w:r>
        <w:t xml:space="preserve"> </w:t>
      </w:r>
      <w:r>
        <w:t xml:space="preserve">identifier;</w:t>
      </w:r>
      <w:r>
        <w:t xml:space="preserve"> </w:t>
      </w:r>
      <w:r>
        <w:t xml:space="preserve">for</w:t>
      </w:r>
      <w:r>
        <w:t xml:space="preserve"> </w:t>
      </w:r>
      <w:r>
        <w:t xml:space="preserve">each</w:t>
      </w:r>
      <w:r>
        <w:t xml:space="preserve"> </w:t>
      </w:r>
      <w:r>
        <w:t xml:space="preserve">subscription</w:t>
      </w:r>
      <w:r>
        <w:t xml:space="preserve"> </w:t>
      </w:r>
      <w:r>
        <w:t xml:space="preserve">identifier</w:t>
      </w:r>
      <w:r>
        <w:t xml:space="preserve"> </w:t>
      </w:r>
      <w:r>
        <w:t xml:space="preserve">of</w:t>
      </w:r>
      <w:r>
        <w:t xml:space="preserve"> </w:t>
      </w:r>
      <w:r>
        <w:t xml:space="preserve">the</w:t>
      </w:r>
      <w:r>
        <w:t xml:space="preserve"> </w:t>
      </w:r>
      <w:r>
        <w:t xml:space="preserve">at</w:t>
      </w:r>
      <w:r>
        <w:t xml:space="preserve"> </w:t>
      </w:r>
      <w:r>
        <w:t xml:space="preserve">least</w:t>
      </w:r>
      <w:r>
        <w:t xml:space="preserve"> </w:t>
      </w:r>
      <w:r>
        <w:t xml:space="preserve">one</w:t>
      </w:r>
      <w:r>
        <w:t xml:space="preserve"> </w:t>
      </w:r>
      <w:r>
        <w:t xml:space="preserve">subscription</w:t>
      </w:r>
      <w:r>
        <w:t xml:space="preserve"> </w:t>
      </w:r>
      <w:r>
        <w:t xml:space="preserve">identifier;</w:t>
      </w:r>
      <w:r>
        <w:t xml:space="preserve"> </w:t>
      </w:r>
      <w:r>
        <w:t xml:space="preserve">determining</w:t>
      </w:r>
      <w:r>
        <w:t xml:space="preserve"> </w:t>
      </w:r>
      <w:r>
        <w:t xml:space="preserve">whether</w:t>
      </w:r>
      <w:r>
        <w:t xml:space="preserve"> </w:t>
      </w:r>
      <w:r>
        <w:t xml:space="preserve">the</w:t>
      </w:r>
      <w:r>
        <w:t xml:space="preserve"> </w:t>
      </w:r>
      <w:r>
        <w:t xml:space="preserve">subscription</w:t>
      </w:r>
      <w:r>
        <w:t xml:space="preserve"> </w:t>
      </w:r>
      <w:r>
        <w:t xml:space="preserve">identifier</w:t>
      </w:r>
      <w:r>
        <w:t xml:space="preserve"> </w:t>
      </w:r>
      <w:r>
        <w:t xml:space="preserve">matches</w:t>
      </w:r>
      <w:r>
        <w:t xml:space="preserve"> </w:t>
      </w:r>
      <w:r>
        <w:t xml:space="preserve">a</w:t>
      </w:r>
      <w:r>
        <w:t xml:space="preserve"> </w:t>
      </w:r>
      <w:r>
        <w:t xml:space="preserve">subscriber</w:t>
      </w:r>
      <w:r>
        <w:t xml:space="preserve"> </w:t>
      </w:r>
      <w:r>
        <w:t xml:space="preserve">record;</w:t>
      </w:r>
      <w:r>
        <w:t xml:space="preserve"> </w:t>
      </w:r>
      <w:r>
        <w:t xml:space="preserve">and</w:t>
      </w:r>
      <w:r>
        <w:t xml:space="preserve"> </w:t>
      </w:r>
      <w:r>
        <w:t xml:space="preserve">determining</w:t>
      </w:r>
      <w:r>
        <w:t xml:space="preserve"> </w:t>
      </w:r>
      <w:r>
        <w:t xml:space="preserve">that</w:t>
      </w:r>
      <w:r>
        <w:t xml:space="preserve"> </w:t>
      </w:r>
      <w:r>
        <w:t xml:space="preserve">the</w:t>
      </w:r>
      <w:r>
        <w:t xml:space="preserve"> </w:t>
      </w:r>
      <w:r>
        <w:t xml:space="preserve">subscriber</w:t>
      </w:r>
      <w:r>
        <w:t xml:space="preserve"> </w:t>
      </w:r>
      <w:r>
        <w:t xml:space="preserve">record</w:t>
      </w:r>
      <w:r>
        <w:t xml:space="preserve"> </w:t>
      </w:r>
      <w:r>
        <w:t xml:space="preserve">is</w:t>
      </w:r>
      <w:r>
        <w:t xml:space="preserve"> </w:t>
      </w:r>
      <w:r>
        <w:t xml:space="preserve">the</w:t>
      </w:r>
      <w:r>
        <w:t xml:space="preserve"> </w:t>
      </w:r>
      <w:r>
        <w:t xml:space="preserve">unique</w:t>
      </w:r>
      <w:r>
        <w:t xml:space="preserve"> </w:t>
      </w:r>
      <w:r>
        <w:t xml:space="preserve">subscriber</w:t>
      </w:r>
      <w:r>
        <w:t xml:space="preserve"> </w:t>
      </w:r>
      <w:r>
        <w:t xml:space="preserve">record</w:t>
      </w:r>
      <w:r>
        <w:t xml:space="preserve"> </w:t>
      </w:r>
      <w:r>
        <w:t xml:space="preserve">when</w:t>
      </w:r>
      <w:r>
        <w:t xml:space="preserve"> </w:t>
      </w:r>
      <w:r>
        <w:t xml:space="preserve">each</w:t>
      </w:r>
      <w:r>
        <w:t xml:space="preserve"> </w:t>
      </w:r>
      <w:r>
        <w:t xml:space="preserve">subscription</w:t>
      </w:r>
      <w:r>
        <w:t xml:space="preserve"> </w:t>
      </w:r>
      <w:r>
        <w:t xml:space="preserve">identifier</w:t>
      </w:r>
      <w:r>
        <w:t xml:space="preserve"> </w:t>
      </w:r>
      <w:r>
        <w:t xml:space="preserve">that</w:t>
      </w:r>
      <w:r>
        <w:t xml:space="preserve"> </w:t>
      </w:r>
      <w:r>
        <w:t xml:space="preserve">matches</w:t>
      </w:r>
      <w:r>
        <w:t xml:space="preserve"> </w:t>
      </w:r>
      <w:r>
        <w:t xml:space="preserve">the</w:t>
      </w:r>
      <w:r>
        <w:t xml:space="preserve"> </w:t>
      </w:r>
      <w:r>
        <w:t xml:space="preserve">subscriber</w:t>
      </w:r>
      <w:r>
        <w:t xml:space="preserve"> </w:t>
      </w:r>
      <w:r>
        <w:t xml:space="preserve">record</w:t>
      </w:r>
      <w:r>
        <w:t xml:space="preserve"> </w:t>
      </w:r>
      <w:r>
        <w:t xml:space="preserve">matches</w:t>
      </w:r>
      <w:r>
        <w:t xml:space="preserve"> </w:t>
      </w:r>
      <w:r>
        <w:t xml:space="preserve">an</w:t>
      </w:r>
      <w:r>
        <w:t xml:space="preserve"> </w:t>
      </w:r>
      <w:r>
        <w:t xml:space="preserve">identical</w:t>
      </w:r>
      <w:r>
        <w:t xml:space="preserve"> </w:t>
      </w:r>
      <w:r>
        <w:t xml:space="preserve">subscriber</w:t>
      </w:r>
      <w:r>
        <w:t xml:space="preserve"> </w:t>
      </w:r>
      <w:r>
        <w:t xml:space="preserve">record.</w:t>
      </w:r>
    </w:p>
    <w:p>
      <w:pPr>
        <w:pStyle w:val="BodyText"/>
      </w:pPr>
      <w:r>
        <w:t xml:space="preserve">Ex</w:t>
      </w:r>
      <w:r>
        <w:noBreakHyphen/>
      </w:r>
      <w:r>
        <w:t xml:space="preserve">1001 at Cl. 1;</w:t>
      </w:r>
      <w:r>
        <w:t xml:space="preserve"> </w:t>
      </w:r>
      <w:r>
        <w:rPr>
          <w:i/>
          <w:iCs/>
        </w:rPr>
        <w:t xml:space="preserve">see also id.</w:t>
      </w:r>
      <w:r>
        <w:t xml:space="preserve"> </w:t>
      </w:r>
      <w:r>
        <w:t xml:space="preserve">at Fig. 5.</w:t>
      </w:r>
    </w:p>
    <w:p>
      <w:pPr>
        <w:pStyle w:val="BodyText"/>
      </w:pPr>
      <w:r>
        <w:t xml:space="preserve">The ’827 patent is an alleged improvement of the 3rd Generation Partnership Project (“3GPP”) to provide a “system that is interoperable with different network devices and messages.”</w:t>
      </w:r>
      <w:r>
        <w:t xml:space="preserve"> </w:t>
      </w:r>
      <w:r>
        <w:rPr>
          <w:i/>
          <w:iCs/>
        </w:rPr>
        <w:t xml:space="preserve">Id.</w:t>
      </w:r>
      <w:r>
        <w:t xml:space="preserve"> </w:t>
      </w:r>
      <w:r>
        <w:t xml:space="preserve">at 1:58–60. The 3rd Generation Partnership Project provides a framework for LTE networks, in particular applying Internet Protocol (IP) on top of voice communication infrastructure.</w:t>
      </w:r>
      <w:r>
        <w:t xml:space="preserve"> </w:t>
      </w:r>
      <w:r>
        <w:rPr>
          <w:i/>
          <w:iCs/>
        </w:rPr>
        <w:t xml:space="preserve">Id.</w:t>
      </w:r>
      <w:r>
        <w:t xml:space="preserve"> </w:t>
      </w:r>
      <w:r>
        <w:t xml:space="preserve">at 1:12–47. As such the ’827 patent states that there is a need for a fast and flexible means to identify a subscriber and access the record associated with that subscriber across a wide variety of devices.</w:t>
      </w:r>
      <w:r>
        <w:t xml:space="preserve"> </w:t>
      </w:r>
      <w:r>
        <w:rPr>
          <w:i/>
          <w:iCs/>
        </w:rPr>
        <w:t xml:space="preserve">Id.</w:t>
      </w:r>
      <w:r>
        <w:t xml:space="preserve"> </w:t>
      </w:r>
      <w:r>
        <w:t xml:space="preserve">at 1:66–2:54.</w:t>
      </w:r>
    </w:p>
    <w:p>
      <w:pPr>
        <w:pStyle w:val="BodyText"/>
      </w:pPr>
      <w:r>
        <w:t xml:space="preserve">The ’827 patent acknowledges that a database called the “subscriber profile repository,” or “SPR,” is disclosed by technical specifications of the 3GPP but asserts that the specifications “do not specify any details associated” with processing requests for subscriber records from the SPR.</w:t>
      </w:r>
      <w:r>
        <w:t xml:space="preserve"> </w:t>
      </w:r>
      <w:r>
        <w:rPr>
          <w:i/>
          <w:iCs/>
        </w:rPr>
        <w:t xml:space="preserve">Id.</w:t>
      </w:r>
      <w:r>
        <w:t xml:space="preserve"> </w:t>
      </w:r>
      <w:r>
        <w:t xml:space="preserve">at 1:28–62. This is important, because the SPR is the primary focus of the claims, indeed, many of the limitations are directed to various functionality of the SPR. As such, it purports to introduce the claimed search protocol for identifying unique subscriber records in an SPR through the use of one or more subscription identifiers, including International Mobile Subscriber Identification (IMSI) numbers.</w:t>
      </w:r>
      <w:r>
        <w:t xml:space="preserve"> </w:t>
      </w:r>
      <w:r>
        <w:rPr>
          <w:i/>
          <w:iCs/>
        </w:rPr>
        <w:t xml:space="preserve">See id.</w:t>
      </w:r>
      <w:r>
        <w:t xml:space="preserve"> </w:t>
      </w:r>
      <w:r>
        <w:t xml:space="preserve">at 2:2–54, 5:20–28. The search protocol in question, however, was well known more than a decade prior to the filing of the ’827 patent, and the prior art teachings detailed below render them obvious.</w:t>
      </w:r>
    </w:p>
    <w:p>
      <w:pPr>
        <w:pStyle w:val="Heading2"/>
        <w:keepNext/>
        <w:keepLines/>
        <w:spacing w:before="280" w:after="200" w:line="320" w:lineRule="exact"/>
        <w:ind w:left="0" w:firstLine="0"/>
        <w:jc w:val="left"/>
      </w:pPr>
      <w:r>
        <w:rPr>
          <w:b/>
          <w:bCs/>
        </w:rPr>
        <w:t xml:space="preserve">B. </w:t>
      </w:r>
      <w:r>
        <w:rPr>
          <w:b/>
          <w:bCs/>
        </w:rPr>
        <w:t xml:space="preserve">Priority</w:t>
      </w:r>
      <w:r>
        <w:rPr>
          <w:b/>
          <w:bCs/>
        </w:rPr>
        <w:t xml:space="preserve"> </w:t>
      </w:r>
      <w:r>
        <w:rPr>
          <w:b/>
          <w:bCs/>
        </w:rPr>
        <w:t xml:space="preserve">Date</w:t>
      </w:r>
    </w:p>
    <w:p>
      <w:pPr>
        <w:pStyle w:val="BodyText"/>
      </w:pPr>
      <w:r>
        <w:t xml:space="preserve">Because the prior art cited in this Petition predates the earliest possible priority date of the ’827 patent (June 4, 2010) by at least one year, each cited reference herein qualifies as prior art under at least one of pre-AIA 35 U.S.C. 102(a), (b), and/or (e).</w:t>
      </w:r>
    </w:p>
    <w:p>
      <w:pPr>
        <w:pStyle w:val="Heading2"/>
        <w:keepNext/>
        <w:keepLines/>
        <w:spacing w:before="280" w:after="200" w:line="320" w:lineRule="exact"/>
        <w:ind w:left="0" w:firstLine="0"/>
        <w:jc w:val="left"/>
      </w:pPr>
      <w:r>
        <w:rPr>
          <w:b/>
          <w:bCs/>
        </w:rPr>
        <w:t xml:space="preserve">C. </w:t>
      </w:r>
      <w:r>
        <w:rPr>
          <w:b/>
          <w:bCs/>
        </w:rPr>
        <w:t xml:space="preserve">Prosecution</w:t>
      </w:r>
      <w:r>
        <w:rPr>
          <w:b/>
          <w:bCs/>
        </w:rPr>
        <w:t xml:space="preserve"> </w:t>
      </w:r>
      <w:r>
        <w:rPr>
          <w:b/>
          <w:bCs/>
        </w:rPr>
        <w:t xml:space="preserve">History</w:t>
      </w:r>
    </w:p>
    <w:p>
      <w:pPr>
        <w:pStyle w:val="BodyText"/>
      </w:pPr>
      <w:r>
        <w:t xml:space="preserve">The ’827 patent was filed on June 4, 2010. Ex. 1002 at 1. After a preliminary amendment on June 4, 2010,</w:t>
      </w:r>
      <w:r>
        <w:t xml:space="preserve"> </w:t>
      </w:r>
      <w:r>
        <w:rPr>
          <w:i/>
          <w:iCs/>
        </w:rPr>
        <w:t xml:space="preserve">id.</w:t>
      </w:r>
      <w:r>
        <w:t xml:space="preserve"> </w:t>
      </w:r>
      <w:r>
        <w:t xml:space="preserve">at 57, the application was allowed on September 24, 2012 with a Patent Term Adjustment of 417 days,</w:t>
      </w:r>
      <w:r>
        <w:t xml:space="preserve"> </w:t>
      </w:r>
      <w:r>
        <w:rPr>
          <w:i/>
          <w:iCs/>
        </w:rPr>
        <w:t xml:space="preserve">id.</w:t>
      </w:r>
      <w:r>
        <w:t xml:space="preserve"> </w:t>
      </w:r>
      <w:r>
        <w:t xml:space="preserve">at 74–75. No office actions were issued and the examiner discussed only one piece of prior art, US 2008/0214173, which did not teach whether the subscription identifier matches a subscriber record and determining the unique subscriber record.</w:t>
      </w:r>
      <w:r>
        <w:t xml:space="preserve"> </w:t>
      </w:r>
      <w:r>
        <w:rPr>
          <w:i/>
          <w:iCs/>
        </w:rPr>
        <w:t xml:space="preserve">Id.</w:t>
      </w:r>
      <w:r>
        <w:t xml:space="preserve"> </w:t>
      </w:r>
      <w:r>
        <w:t xml:space="preserve">at 80.</w:t>
      </w:r>
    </w:p>
    <w:p>
      <w:pPr>
        <w:pStyle w:val="Heading1"/>
        <w:keepNext/>
        <w:keepLines/>
        <w:spacing w:before="320" w:after="240" w:line="320" w:lineRule="exact"/>
        <w:ind w:left="0" w:firstLine="0"/>
        <w:jc w:val="center"/>
      </w:pPr>
      <w:r>
        <w:rPr>
          <w:b/>
          <w:bCs/>
        </w:rPr>
        <w:t xml:space="preserve">VI. </w:t>
      </w:r>
      <w:r>
        <w:rPr>
          <w:b/>
          <w:bCs/>
        </w:rPr>
        <w:t xml:space="preserve">PERSON</w:t>
      </w:r>
      <w:r>
        <w:rPr>
          <w:b/>
          <w:bCs/>
        </w:rPr>
        <w:t xml:space="preserve"> </w:t>
      </w:r>
      <w:r>
        <w:rPr>
          <w:b/>
          <w:bCs/>
        </w:rPr>
        <w:t xml:space="preserve">OF</w:t>
      </w:r>
      <w:r>
        <w:rPr>
          <w:b/>
          <w:bCs/>
        </w:rPr>
        <w:t xml:space="preserve"> </w:t>
      </w:r>
      <w:r>
        <w:rPr>
          <w:b/>
          <w:bCs/>
        </w:rPr>
        <w:t xml:space="preserve">ORDINARY</w:t>
      </w:r>
      <w:r>
        <w:rPr>
          <w:b/>
          <w:bCs/>
        </w:rPr>
        <w:t xml:space="preserve"> </w:t>
      </w:r>
      <w:r>
        <w:rPr>
          <w:b/>
          <w:bCs/>
        </w:rPr>
        <w:t xml:space="preserve">SKILL</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ART</w:t>
      </w:r>
    </w:p>
    <w:p>
      <w:pPr>
        <w:pStyle w:val="BodyText"/>
      </w:pPr>
      <w:r>
        <w:t xml:space="preserve">A person of ordinary skill in the art (“POSITA”) relating to the subject matter of the ’827 patent is a person with a Bachelor of Science degree in electrical engineering or computer science or related field plus at least two to four years of professional experience in the field of relational databases. Ex. 1003, ¶ 35.</w:t>
      </w:r>
    </w:p>
    <w:p>
      <w:pPr>
        <w:pStyle w:val="Heading1"/>
        <w:keepNext/>
        <w:keepLines/>
        <w:spacing w:before="320" w:after="240" w:line="320" w:lineRule="exact"/>
        <w:ind w:left="0" w:firstLine="0"/>
        <w:jc w:val="center"/>
      </w:pPr>
      <w:r>
        <w:rPr>
          <w:b/>
          <w:bCs/>
        </w:rPr>
        <w:t xml:space="preserve">VII. </w:t>
      </w:r>
      <w:r>
        <w:rPr>
          <w:b/>
          <w:bCs/>
        </w:rPr>
        <w:t xml:space="preserve">CLAIM</w:t>
      </w:r>
      <w:r>
        <w:rPr>
          <w:b/>
          <w:bCs/>
        </w:rPr>
        <w:t xml:space="preserve"> </w:t>
      </w:r>
      <w:r>
        <w:rPr>
          <w:b/>
          <w:bCs/>
        </w:rPr>
        <w:t xml:space="preserve">CONSTRUCTION</w:t>
      </w:r>
    </w:p>
    <w:p>
      <w:pPr>
        <w:pStyle w:val="BodyText"/>
      </w:pPr>
      <w:r>
        <w:t xml:space="preserve">The construction process has begun in the litigation—the parties have exchanged proposed constructions (Ex. 1009) and begun briefing. A Markman hearing scheduled for December 15. Ex. 1011. The only term in contest between the parties regarding the ’827 patent is “Subscriber Profile Repository SPR.” Petitioner has proposed that this term be construed according to the 3GPP standard: “a logical entity containing all subscriber/subscription related information needed for subscription-based policies and Policy and Charging Control rules as defined by the 3GPP standard.” Patent Owner has proposed plain and ordinary meaning without more explanation. Further, as this term appears in the preamble, Petitioner has proposed that the preamble be limiting, while Patent Owner has taken the opposite view.</w:t>
      </w:r>
    </w:p>
    <w:p>
      <w:pPr>
        <w:pStyle w:val="BodyText"/>
      </w:pPr>
      <w:r>
        <w:t xml:space="preserve">Petitioner has dropped all constructions but that of Subscriber Profile Repository SPR. Petitioner believes its proposed construction provided in Exhibit 1009 is correct. In particular, Petitioner’s proposed construction of Subscriber Profile Repository (SPR) reflects the intrinsic record. Ex. 1001 at 1:49–51 (citing 3GPP to explain an SPR). Similarly, this construction matches a POSITA’s understanding of the technical term “Subscriber Profile Repository.” But the competing constructions differ in ways that are not material to the invalidity analysis in this Petition.</w:t>
      </w:r>
    </w:p>
    <w:p>
      <w:pPr>
        <w:pStyle w:val="BodyText"/>
      </w:pPr>
      <w:r>
        <w:t xml:space="preserve">Petitioner has provided how the prior art discloses an SPR but the claims would be equally invalid under Patent Owner’s construction that the preamble is not limiting. As explained below, Petitioner cites the 3GPP to provide a framework, including a subscriber profile repository, and thus provides a subscriber profile repository under Petitioner’s narrower construction and under the plain and ordinary meaning, to the extent there is found to be a difference. Likewise, Petitioner has demonstrated below that the preamble is disclosed in prior art. Thus, because the challenged claims are unpatentable under any of the proposed constructions, there is no need to construe any terms in the context of this IPR.</w:t>
      </w:r>
    </w:p>
    <w:p>
      <w:pPr>
        <w:pStyle w:val="Heading1"/>
        <w:keepNext/>
        <w:keepLines/>
        <w:spacing w:before="320" w:after="240" w:line="320" w:lineRule="exact"/>
        <w:ind w:left="0" w:firstLine="0"/>
        <w:jc w:val="center"/>
      </w:pPr>
      <w:r>
        <w:rPr>
          <w:b/>
          <w:bCs/>
        </w:rPr>
        <w:t xml:space="preserve">VIII. </w:t>
      </w:r>
      <w:r>
        <w:rPr>
          <w:b/>
          <w:bCs/>
        </w:rPr>
        <w:t xml:space="preserve">ASSERTED</w:t>
      </w:r>
      <w:r>
        <w:rPr>
          <w:b/>
          <w:bCs/>
        </w:rPr>
        <w:t xml:space="preserve"> </w:t>
      </w:r>
      <w:r>
        <w:rPr>
          <w:b/>
          <w:bCs/>
        </w:rPr>
        <w:t xml:space="preserve">PRIOR</w:t>
      </w:r>
      <w:r>
        <w:rPr>
          <w:b/>
          <w:bCs/>
        </w:rPr>
        <w:t xml:space="preserve"> </w:t>
      </w:r>
      <w:r>
        <w:rPr>
          <w:b/>
          <w:bCs/>
        </w:rPr>
        <w:t xml:space="preserve">ART</w:t>
      </w:r>
    </w:p>
    <w:p>
      <w:pPr>
        <w:pStyle w:val="Heading2"/>
        <w:keepNext/>
        <w:keepLines/>
        <w:spacing w:before="280" w:after="200" w:line="320" w:lineRule="exact"/>
        <w:ind w:left="0" w:firstLine="0"/>
        <w:jc w:val="left"/>
      </w:pPr>
      <w:r>
        <w:rPr>
          <w:b/>
          <w:bCs/>
        </w:rPr>
        <w:t xml:space="preserve">A. </w:t>
      </w:r>
      <w:r>
        <w:rPr>
          <w:b/>
          <w:bCs/>
        </w:rPr>
        <w:t xml:space="preserve">U.S.</w:t>
      </w:r>
      <w:r>
        <w:rPr>
          <w:b/>
          <w:bCs/>
        </w:rPr>
        <w:t xml:space="preserve"> </w:t>
      </w:r>
      <w:r>
        <w:rPr>
          <w:b/>
          <w:bCs/>
        </w:rPr>
        <w:t xml:space="preserve">Patent</w:t>
      </w:r>
      <w:r>
        <w:rPr>
          <w:b/>
          <w:bCs/>
        </w:rPr>
        <w:t xml:space="preserve"> </w:t>
      </w:r>
      <w:r>
        <w:rPr>
          <w:b/>
          <w:bCs/>
        </w:rPr>
        <w:t xml:space="preserve">No.</w:t>
      </w:r>
      <w:r>
        <w:rPr>
          <w:b/>
          <w:bCs/>
        </w:rPr>
        <w:t xml:space="preserve"> </w:t>
      </w:r>
      <w:r>
        <w:rPr>
          <w:b/>
          <w:bCs/>
        </w:rPr>
        <w:t xml:space="preserve">7,123,626</w:t>
      </w:r>
      <w:r>
        <w:rPr>
          <w:b/>
          <w:bCs/>
        </w:rPr>
        <w:t xml:space="preserve"> </w:t>
      </w:r>
      <w:r>
        <w:rPr>
          <w:b/>
          <w:bCs/>
        </w:rPr>
        <w:t xml:space="preserve">(“Feyerabend”)</w:t>
      </w:r>
    </w:p>
    <w:p>
      <w:pPr>
        <w:pStyle w:val="BodyText"/>
      </w:pPr>
      <w:r>
        <w:t xml:space="preserve">Feyerabend was filed in 2000 and issued in 2006, years before the earliest filing date of the ’827 patent. Feyerabend discloses a method to facilitate the efficient transmission of data between communication systems with different subscriber address types.</w:t>
      </w:r>
      <w:r>
        <w:t xml:space="preserve"> </w:t>
      </w:r>
      <w:r>
        <w:rPr>
          <w:i/>
          <w:iCs/>
        </w:rPr>
        <w:t xml:space="preserve">See</w:t>
      </w:r>
      <w:r>
        <w:t xml:space="preserve"> </w:t>
      </w:r>
      <w:r>
        <w:t xml:space="preserve">Ex. 1006 at 2:53–57. This method involves mapping an IP address of a data packet to an international mobile subscriber identity (IMSI) or other standard subscriber identifier, as illustrated below in Figure 6.</w:t>
      </w:r>
      <w:r>
        <w:t xml:space="preserve"> </w:t>
      </w:r>
      <w:r>
        <w:rPr>
          <w:i/>
          <w:iCs/>
        </w:rPr>
        <w:t xml:space="preserve">See id.</w:t>
      </w:r>
      <w:r>
        <w:t xml:space="preserve"> </w:t>
      </w:r>
      <w:r>
        <w:t xml:space="preserve">at 1:31–2:5, 3:57–5:20, 11:30–12:19, Fig. 6.</w:t>
      </w:r>
    </w:p>
    <w:p>
      <w:pPr>
        <w:pStyle w:val="BodyText"/>
      </w:pPr>
      <w:r>
        <w:t xml:space="preserve">Feyerabend teaches a multi-step process to convert an IP address into an IMSI number.</w:t>
      </w:r>
      <w:r>
        <w:t xml:space="preserve"> </w:t>
      </w:r>
      <w:r>
        <w:rPr>
          <w:i/>
          <w:iCs/>
        </w:rPr>
        <w:t xml:space="preserve">See id.</w:t>
      </w:r>
      <w:r>
        <w:t xml:space="preserve"> </w:t>
      </w:r>
      <w:r>
        <w:t xml:space="preserve">at 3:57–5:55, 11:23–12:3, Fig. 6. First, a first portion of an IP address of the data packet being transmitted (i.e., the network identifier) is used to look up and retrieve a first portion of a subscriber’s IMSI number.</w:t>
      </w:r>
      <w:r>
        <w:t xml:space="preserve"> </w:t>
      </w:r>
      <w:r>
        <w:rPr>
          <w:i/>
          <w:iCs/>
        </w:rPr>
        <w:t xml:space="preserve">See id.</w:t>
      </w:r>
      <w:r>
        <w:t xml:space="preserve"> </w:t>
      </w:r>
      <w:r>
        <w:t xml:space="preserve">at 11:25–55, Fig. 6 (looking up the MCC and MNC values of the IMSI number using the network identifier). Next, a second portion the IP address (i.e., host identifier) is converted into a second portion of the subscriber’s IMSI number by (i) converting each byte of the host identifier into its hexadecimal equivalent, (ii) concatenating the three hexadecimal numbers into a single hexadecimal number, and (iii) then converting the single hexadecimal number into its equivalent decimal number.</w:t>
      </w:r>
      <w:r>
        <w:t xml:space="preserve"> </w:t>
      </w:r>
      <w:r>
        <w:rPr>
          <w:i/>
          <w:iCs/>
        </w:rPr>
        <w:t xml:space="preserve">See id.</w:t>
      </w:r>
      <w:r>
        <w:t xml:space="preserve"> </w:t>
      </w:r>
      <w:r>
        <w:t xml:space="preserve">at 11:56–12:3, Fig. 6. Finally, the two portions of the IMSI number are concatenated to form the subscriber’s IMSI number.</w:t>
      </w:r>
      <w:r>
        <w:t xml:space="preserve"> </w:t>
      </w:r>
      <w:r>
        <w:rPr>
          <w:i/>
          <w:iCs/>
        </w:rPr>
        <w:t xml:space="preserve">See id.</w:t>
      </w:r>
      <w:r>
        <w:t xml:space="preserve"> </w:t>
      </w:r>
      <w:r>
        <w:t xml:space="preserve">at Fig. 6.</w:t>
      </w:r>
    </w:p>
    <w:p>
      <w:pPr>
        <w:pStyle w:val="BodyText"/>
      </w:pPr>
      <w:r>
        <w:t xml:space="preserve">Feyerabend discloses that “[i]n a further preferred embodiment of the present invention,” the IMSI number or “subscriber identity is used in the cellular communications system to retrieve subscriber data from the subscriber profile database (HLR).”</w:t>
      </w:r>
      <w:r>
        <w:t xml:space="preserve"> </w:t>
      </w:r>
      <w:r>
        <w:rPr>
          <w:i/>
          <w:iCs/>
        </w:rPr>
        <w:t xml:space="preserve">Id.</w:t>
      </w:r>
      <w:r>
        <w:t xml:space="preserve"> </w:t>
      </w:r>
      <w:r>
        <w:t xml:space="preserve">at 5:45–51. For example, Feyerabend discloses that using a subscriber identity (e.g., IMSI number), “[a] gateway [can] request[] further subscriber data from a subscriber record database” to transmit data to a subscriber’s mobile terminal.</w:t>
      </w:r>
      <w:r>
        <w:t xml:space="preserve"> </w:t>
      </w:r>
      <w:r>
        <w:rPr>
          <w:i/>
          <w:iCs/>
        </w:rPr>
        <w:t xml:space="preserve">Id.</w:t>
      </w:r>
      <w:r>
        <w:t xml:space="preserve"> </w:t>
      </w:r>
      <w:r>
        <w:t xml:space="preserve">at 7:49–58.</w:t>
      </w:r>
    </w:p>
    <w:p>
      <w:pPr>
        <w:pStyle w:val="Heading2"/>
        <w:keepNext/>
        <w:keepLines/>
        <w:spacing w:before="280" w:after="200" w:line="320" w:lineRule="exact"/>
        <w:ind w:left="0" w:firstLine="0"/>
        <w:jc w:val="left"/>
      </w:pPr>
      <w:r>
        <w:rPr>
          <w:b/>
          <w:bCs/>
        </w:rPr>
        <w:t xml:space="preserve">B. </w:t>
      </w:r>
      <w:r>
        <w:rPr>
          <w:b/>
          <w:bCs/>
        </w:rPr>
        <w:t xml:space="preserve">U.S.</w:t>
      </w:r>
      <w:r>
        <w:rPr>
          <w:b/>
          <w:bCs/>
        </w:rPr>
        <w:t xml:space="preserve"> </w:t>
      </w:r>
      <w:r>
        <w:rPr>
          <w:b/>
          <w:bCs/>
        </w:rPr>
        <w:t xml:space="preserve">Patent</w:t>
      </w:r>
      <w:r>
        <w:rPr>
          <w:b/>
          <w:bCs/>
        </w:rPr>
        <w:t xml:space="preserve"> </w:t>
      </w:r>
      <w:r>
        <w:rPr>
          <w:b/>
          <w:bCs/>
        </w:rPr>
        <w:t xml:space="preserve">No.</w:t>
      </w:r>
      <w:r>
        <w:rPr>
          <w:b/>
          <w:bCs/>
        </w:rPr>
        <w:t xml:space="preserve"> </w:t>
      </w:r>
      <w:r>
        <w:rPr>
          <w:b/>
          <w:bCs/>
        </w:rPr>
        <w:t xml:space="preserve">6,810,259</w:t>
      </w:r>
      <w:r>
        <w:rPr>
          <w:b/>
          <w:bCs/>
        </w:rPr>
        <w:t xml:space="preserve"> </w:t>
      </w:r>
      <w:r>
        <w:rPr>
          <w:b/>
          <w:bCs/>
        </w:rPr>
        <w:t xml:space="preserve">(“Zhang”)</w:t>
      </w:r>
    </w:p>
    <w:p>
      <w:pPr>
        <w:pStyle w:val="BodyText"/>
      </w:pPr>
      <w:r>
        <w:t xml:space="preserve">Zhang, filed on December 14, 2000 and issued on October 26, 2004, describes means for managing subscriber profile information in mobile communications networks. Zhang teaches managing subscriber profile information in a distributed database system with a variety of base station caches. Zhang teaches using local cache databases to quickly obtain subscriber information and a central database for the records that the local caches do not hold.</w:t>
      </w:r>
    </w:p>
    <w:p>
      <w:pPr>
        <w:pStyle w:val="Heading1"/>
        <w:keepNext/>
        <w:keepLines/>
        <w:spacing w:before="320" w:after="240" w:line="320" w:lineRule="exact"/>
        <w:ind w:left="0" w:firstLine="0"/>
        <w:jc w:val="center"/>
      </w:pPr>
      <w:r>
        <w:rPr>
          <w:b/>
          <w:bCs/>
        </w:rPr>
        <w:t xml:space="preserve">IX. </w:t>
      </w:r>
      <w:r>
        <w:rPr>
          <w:b/>
          <w:bCs/>
        </w:rPr>
        <w:t xml:space="preserve">CONCLUSION</w:t>
      </w:r>
    </w:p>
    <w:p>
      <w:pPr>
        <w:pStyle w:val="BodyKeep"/>
      </w:pPr>
      <w:r>
        <w:t xml:space="preserve">For at least the foregoing reasons, this Petition should be instituted.</w:t>
      </w:r>
    </w:p>
    <w:p>
      <w:pPr>
        <w:keepNext/>
        <w:keepLines/>
        <w:spacing w:before="480" w:after="0" w:line="320" w:lineRule="exact"/>
        <w:ind w:left="0" w:firstLine="0"/>
        <w:jc w:val="left"/>
      </w:pPr>
      <w:r>
        <w:t xml:space="preserve">Dated: November 8, 2021</w:t>
      </w:r>
    </w:p>
    <w:p>
      <w:pPr>
        <w:keepNext/>
        <w:keepLines/>
        <w:spacing w:before="640" w:after="0" w:line="320" w:lineRule="exact"/>
        <w:ind w:left="4320" w:firstLine="0"/>
        <w:jc w:val="left"/>
      </w:pPr>
      <w:r>
        <w:t xml:space="preserve">/s/ James Glass</w:t>
      </w:r>
    </w:p>
    <w:p>
      <w:pPr>
        <w:keepLines/>
        <w:spacing w:before="0" w:after="0" w:line="320" w:lineRule="exact"/>
        <w:ind w:left="4320" w:firstLine="0"/>
        <w:jc w:val="left"/>
      </w:pPr>
      <w:r>
        <w:t xml:space="preserve">James Glass (Reg. No. 46729)</w:t>
      </w:r>
    </w:p>
    <w:p>
      <w:pPr>
        <w:keepNext/>
        <w:keepLines/>
        <w:pageBreakBefore/>
        <w:spacing w:before="0" w:after="320" w:line="320" w:lineRule="exact"/>
        <w:ind w:left="0" w:firstLine="0"/>
        <w:jc w:val="center"/>
      </w:pPr>
      <w:r>
        <w:rPr>
          <w:b/>
          <w:bCs/>
        </w:rPr>
        <w:t xml:space="preserve">CERTIFICATION UNDER 37 C.F.R. § 42.24</w:t>
      </w:r>
    </w:p>
    <w:p>
      <w:pPr>
        <w:keepLines/>
        <w:spacing w:before="0" w:after="0" w:line="640" w:lineRule="exact"/>
        <w:ind w:left="0" w:firstLine="720"/>
        <w:jc w:val="left"/>
      </w:pPr>
      <w:r>
        <w:t xml:space="preserve">Under the provisions of 37 C.F.R. § 42.24, the undersigned hereby certifies that the word count for the foregoing Petition for inter partes review (excluding the table of contents, table of authorities, mandatory notices, certificate of service or word count, and appendix of exhibits or claim listing) totals 10,543 words, which is within the word limit allowed under 37 C.F.R. § 42.24(a)(1)(i).</w:t>
      </w:r>
    </w:p>
    <w:p>
      <w:pPr>
        <w:keepNext/>
        <w:keepLines/>
        <w:spacing w:before="480" w:after="0" w:line="320" w:lineRule="exact"/>
        <w:ind w:left="0" w:firstLine="0"/>
        <w:jc w:val="left"/>
      </w:pPr>
      <w:r>
        <w:t xml:space="preserve">Dated: November 8, 2021</w:t>
      </w:r>
    </w:p>
    <w:p>
      <w:pPr>
        <w:keepNext/>
        <w:keepLines/>
        <w:spacing w:before="640" w:after="0" w:line="320" w:lineRule="exact"/>
        <w:ind w:left="4320" w:firstLine="0"/>
        <w:jc w:val="left"/>
      </w:pPr>
      <w:r>
        <w:t xml:space="preserve">/s/ James Glass</w:t>
      </w:r>
    </w:p>
    <w:p>
      <w:pPr>
        <w:keepLines/>
        <w:spacing w:before="0" w:after="0" w:line="320" w:lineRule="exact"/>
        <w:ind w:left="4320" w:firstLine="0"/>
        <w:jc w:val="left"/>
      </w:pPr>
      <w:r>
        <w:t xml:space="preserve">James Glass (Reg. No. 46729)</w:t>
      </w:r>
    </w:p>
    <w:p>
      <w:pPr>
        <w:keepNext/>
        <w:keepLines/>
        <w:pageBreakBefore/>
        <w:spacing w:before="0" w:after="320" w:line="320" w:lineRule="exact"/>
        <w:ind w:left="0" w:firstLine="0"/>
        <w:jc w:val="center"/>
      </w:pPr>
      <w:r>
        <w:rPr>
          <w:b/>
          <w:bCs/>
        </w:rPr>
        <w:t xml:space="preserve">CERTIFICATE OF SERVICE</w:t>
      </w:r>
    </w:p>
    <w:p>
      <w:pPr>
        <w:keepLines/>
        <w:spacing w:before="0" w:after="0" w:line="640" w:lineRule="exact"/>
        <w:ind w:left="0" w:firstLine="720"/>
        <w:jc w:val="left"/>
      </w:pPr>
      <w:r>
        <w:t xml:space="preserve">Pursuant to 37 C.F.R. §§ 42.6(e) and 42.105(a), the undersigned hereby certifies service on the Patent Owner of a copy of this Petition and its respective exhibits, by FedEx, on the following at the addresses shown:</w:t>
      </w:r>
    </w:p>
    <w:p>
      <w:pPr>
        <w:keepNext/>
        <w:keepLines/>
        <w:spacing w:before="240" w:after="0" w:line="320" w:lineRule="exact"/>
        <w:ind w:left="720" w:firstLine="0"/>
        <w:jc w:val="left"/>
      </w:pPr>
      <w:r>
        <w:t xml:space="preserve">Kramer</w:t>
      </w:r>
      <w:r>
        <w:t xml:space="preserve"> </w:t>
      </w:r>
      <w:r>
        <w:t xml:space="preserve">&amp;</w:t>
      </w:r>
      <w:r>
        <w:t xml:space="preserve"> </w:t>
      </w:r>
      <w:r>
        <w:t xml:space="preserve">Amado,</w:t>
      </w:r>
      <w:r>
        <w:t xml:space="preserve"> </w:t>
      </w:r>
      <w:r>
        <w:t xml:space="preserve">P.C.</w:t>
      </w:r>
    </w:p>
    <w:p>
      <w:pPr>
        <w:keepNext/>
        <w:keepLines/>
        <w:spacing w:before="0" w:after="0" w:line="320" w:lineRule="exact"/>
        <w:ind w:left="720" w:firstLine="0"/>
        <w:jc w:val="left"/>
      </w:pPr>
      <w:r>
        <w:t xml:space="preserve">225</w:t>
      </w:r>
      <w:r>
        <w:t xml:space="preserve"> </w:t>
      </w:r>
      <w:r>
        <w:t xml:space="preserve">Reinekers</w:t>
      </w:r>
      <w:r>
        <w:t xml:space="preserve"> </w:t>
      </w:r>
      <w:r>
        <w:t xml:space="preserve">Ln,</w:t>
      </w:r>
      <w:r>
        <w:t xml:space="preserve"> </w:t>
      </w:r>
      <w:r>
        <w:t xml:space="preserve">Suite</w:t>
      </w:r>
      <w:r>
        <w:t xml:space="preserve"> </w:t>
      </w:r>
      <w:r>
        <w:t xml:space="preserve">300</w:t>
      </w:r>
    </w:p>
    <w:p>
      <w:pPr>
        <w:keepLines/>
        <w:spacing w:before="0" w:after="0" w:line="320" w:lineRule="exact"/>
        <w:ind w:left="720" w:firstLine="0"/>
        <w:jc w:val="left"/>
      </w:pPr>
      <w:r>
        <w:t xml:space="preserve">Alexandria,</w:t>
      </w:r>
      <w:r>
        <w:t xml:space="preserve"> </w:t>
      </w:r>
      <w:r>
        <w:t xml:space="preserve">VA</w:t>
      </w:r>
      <w:r>
        <w:t xml:space="preserve"> </w:t>
      </w:r>
      <w:r>
        <w:t xml:space="preserve">22314</w:t>
      </w:r>
    </w:p>
    <w:p>
      <w:pPr>
        <w:keepNext/>
        <w:keepLines/>
        <w:spacing w:before="240" w:after="0" w:line="320" w:lineRule="exact"/>
        <w:ind w:left="720" w:firstLine="0"/>
        <w:jc w:val="left"/>
      </w:pPr>
      <w:r>
        <w:t xml:space="preserve">ETHERIDGE</w:t>
      </w:r>
      <w:r>
        <w:t xml:space="preserve"> </w:t>
      </w:r>
      <w:r>
        <w:t xml:space="preserve">LAW</w:t>
      </w:r>
      <w:r>
        <w:t xml:space="preserve"> </w:t>
      </w:r>
      <w:r>
        <w:t xml:space="preserve">GROUP,</w:t>
      </w:r>
      <w:r>
        <w:t xml:space="preserve"> </w:t>
      </w:r>
      <w:r>
        <w:t xml:space="preserve">PLLC</w:t>
      </w:r>
    </w:p>
    <w:p>
      <w:pPr>
        <w:keepNext/>
        <w:keepLines/>
        <w:spacing w:before="0" w:after="0" w:line="320" w:lineRule="exact"/>
        <w:ind w:left="720" w:firstLine="0"/>
        <w:jc w:val="left"/>
      </w:pPr>
      <w:r>
        <w:t xml:space="preserve">2600</w:t>
      </w:r>
      <w:r>
        <w:t xml:space="preserve"> </w:t>
      </w:r>
      <w:r>
        <w:t xml:space="preserve">E.</w:t>
      </w:r>
      <w:r>
        <w:t xml:space="preserve"> </w:t>
      </w:r>
      <w:r>
        <w:t xml:space="preserve">Southlake</w:t>
      </w:r>
      <w:r>
        <w:t xml:space="preserve"> </w:t>
      </w:r>
      <w:r>
        <w:t xml:space="preserve">Blvd.,</w:t>
      </w:r>
      <w:r>
        <w:t xml:space="preserve"> </w:t>
      </w:r>
      <w:r>
        <w:t xml:space="preserve">Suite</w:t>
      </w:r>
      <w:r>
        <w:t xml:space="preserve"> </w:t>
      </w:r>
      <w:r>
        <w:t xml:space="preserve">120</w:t>
      </w:r>
      <w:r>
        <w:t xml:space="preserve"> </w:t>
      </w:r>
      <w:r>
        <w:t xml:space="preserve">/</w:t>
      </w:r>
      <w:r>
        <w:t xml:space="preserve"> </w:t>
      </w:r>
      <w:r>
        <w:t xml:space="preserve">324</w:t>
      </w:r>
    </w:p>
    <w:p>
      <w:pPr>
        <w:keepLines/>
        <w:spacing w:before="0" w:after="0" w:line="320" w:lineRule="exact"/>
        <w:ind w:left="720" w:firstLine="0"/>
        <w:jc w:val="left"/>
      </w:pPr>
      <w:r>
        <w:t xml:space="preserve">Southlake,</w:t>
      </w:r>
      <w:r>
        <w:t xml:space="preserve"> </w:t>
      </w:r>
      <w:r>
        <w:t xml:space="preserve">Texas</w:t>
      </w:r>
      <w:r>
        <w:t xml:space="preserve"> </w:t>
      </w:r>
      <w:r>
        <w:t xml:space="preserve">76092</w:t>
      </w:r>
    </w:p>
    <w:p>
      <w:pPr>
        <w:keepNext/>
        <w:keepLines/>
        <w:spacing w:before="480" w:after="0" w:line="320" w:lineRule="exact"/>
        <w:ind w:left="0" w:firstLine="0"/>
        <w:jc w:val="left"/>
      </w:pPr>
      <w:r>
        <w:t xml:space="preserve">Dated: November 8, 2021</w:t>
      </w:r>
    </w:p>
    <w:p>
      <w:pPr>
        <w:keepNext/>
        <w:keepLines/>
        <w:spacing w:before="640" w:after="0" w:line="320" w:lineRule="exact"/>
        <w:ind w:left="4320" w:firstLine="0"/>
        <w:jc w:val="left"/>
      </w:pPr>
      <w:r>
        <w:t xml:space="preserve">/s/ James Glass</w:t>
      </w:r>
    </w:p>
    <w:p>
      <w:pPr>
        <w:keepLines/>
        <w:spacing w:before="0" w:after="0" w:line="320" w:lineRule="exact"/>
        <w:ind w:left="4320" w:firstLine="0"/>
        <w:jc w:val="left"/>
      </w:pPr>
      <w:r>
        <w:t xml:space="preserve">James Glass (Reg. No. 46729)</w:t>
      </w:r>
    </w:p>
    <w:sectPr>
      <w:footerReference w:type="default" r:id="rIdFooterArabic"/>
      <w:pgSz w:w="12240" w:h="15840"/>
      <w:pgMar w:top="1440" w:right="1440" w:bottom="1440" w:left="1440" w:header="720" w:footer="36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rabic.xml><?xml version="1.0" encoding="utf-8"?>
<w:ftr xmlns:w="http://schemas.openxmlformats.org/wordprocessingml/2006/main" xmlns:r="http://schemas.openxmlformats.org/officeDocument/2006/relationships">
  <w:p>
    <w:pPr>
      <w:spacing w:before="0" w:after="0" w:line="320" w:lineRule="exact"/>
      <w:ind w:left="0" w:firstLine="0"/>
      <w:jc w:val="center"/>
    </w:pPr>
    <w:r>
      <w:fldChar w:fldCharType="begin"/>
    </w:r>
    <w:r>
      <w:instrText xml:space="preserve"> PAGE </w:instrText>
    </w:r>
    <w:r>
      <w:fldChar w:fldCharType="separate"/>
    </w:r>
    <w:r>
      <w:t>1</w:t>
    </w:r>
    <w:r>
      <w:fldChar w:fldCharType="end"/>
    </w:r>
  </w:p>
  <w:p>
    <w:pPr>
      <w:spacing w:before="0" w:after="0" w:line="320" w:lineRule="exact"/>
      <w:ind w:left="0" w:firstLine="0"/>
      <w:jc w:val="right"/>
    </w:pPr>
    <w:r>
      <w:t xml:space="preserve">Petition for Inter Partes Review of U.S. Patent No. 8,369,827</w:t>
    </w:r>
  </w:p>
</w:ftr>
</file>

<file path=word/footer-roman.xml><?xml version="1.0" encoding="utf-8"?>
<w:ftr xmlns:w="http://schemas.openxmlformats.org/wordprocessingml/2006/main" xmlns:r="http://schemas.openxmlformats.org/officeDocument/2006/relationships">
  <w:p>
    <w:pPr>
      <w:spacing w:before="0" w:after="0" w:line="320" w:lineRule="exact"/>
      <w:ind w:left="0" w:firstLine="0"/>
      <w:jc w:val="center"/>
    </w:pPr>
    <w:r>
      <w:fldChar w:fldCharType="begin"/>
    </w:r>
    <w:r>
      <w:instrText xml:space="preserve"> PAGE </w:instrText>
    </w:r>
    <w:r>
      <w:fldChar w:fldCharType="separate"/>
    </w:r>
    <w:r>
      <w:t>1</w:t>
    </w:r>
    <w:r>
      <w:fldChar w:fldCharType="end"/>
    </w:r>
  </w:p>
</w:ftr>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0" w:lineRule="exact"/>
      <w:ind w:left="720" w:hanging="720"/>
    </w:pPr>
  </w:style>
  <w:style w:type="paragraph" w:styleId="BlockText">
    <w:name w:val="Block Text"/>
    <w:basedOn w:val="BodyText"/>
    <w:next w:val="BodyText"/>
    <w:uiPriority w:val="9"/>
    <w:unhideWhenUsed/>
    <w:qFormat/>
    <w:pPr>
      <w:spacing w:before="280" w:after="280" w:line="320" w:lineRule="exact"/>
      <w:ind w:firstLine="0" w:left="720" w:right="720"/>
    </w:pPr>
  </w:style>
  <w:style w:type="paragraph" w:styleId="FootnoteText">
    <w:name w:val="Footnote Text"/>
    <w:basedOn w:val="Normal"/>
    <w:next w:val="FootnoteText"/>
    <w:uiPriority w:val="9"/>
    <w:unhideWhenUsed/>
    <w:qFormat/>
    <w:pPr>
      <w:keepLines/>
      <w:spacing w:before="0" w:after="140" w:line="32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Id="rIdFooterRoman" Type="http://schemas.openxmlformats.org/officeDocument/2006/relationships/footer" Target="footer-roman.xml"/><Relationship Id="rIdFooterArabic" Type="http://schemas.openxmlformats.org/officeDocument/2006/relationships/footer" Target="footer-arabic.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number">
    <vt:lpwstr>Inter Partes Review No. 202200154</vt:lpwstr>
  </property>
  <property fmtid="{D5CDD505-2E9C-101B-9397-08002B2CF9AE}" pid="3" name="patent-number">
    <vt:lpwstr>U.S. Patent No. 8,369,827</vt:lpwstr>
  </property>
  <property fmtid="{D5CDD505-2E9C-101B-9397-08002B2CF9AE}" pid="4" name="patent-owner">
    <vt:lpwstr/>
  </property>
  <property fmtid="{D5CDD505-2E9C-101B-9397-08002B2CF9AE}" pid="5" name="patent-title">
    <vt:lpwstr>“Method of Determining a Unique Subscriber from an Arbitrary Set of Subscriber Attributes”</vt:lpwstr>
  </property>
  <property fmtid="{D5CDD505-2E9C-101B-9397-08002B2CF9AE}" pid="6" name="petitioner">
    <vt:lpwstr/>
  </property>
  <property fmtid="{D5CDD505-2E9C-101B-9397-08002B2CF9AE}" pid="7" name="service">
    <vt:lpwstr/>
  </property>
  <property fmtid="{D5CDD505-2E9C-101B-9397-08002B2CF9AE}" pid="8" name="signature">
    <vt:lpwstr/>
  </property>
  <property fmtid="{D5CDD505-2E9C-101B-9397-08002B2CF9AE}" pid="9" name="word-count">
    <vt:lpwstr>10543</vt:lpwstr>
  </property>
</Properties>
</file>