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NO.</w:t>
      </w:r>
      <w:r>
        <w:t xml:space="preserve"> </w:t>
      </w:r>
      <w:r>
        <w:t xml:space="preserve">COA25</w:t>
        <w:noBreakHyphen/>
        <w:t xml:space="preserve">914</w:t>
      </w:r>
    </w:p>
    <w:p>
      <w:pPr>
        <w:spacing w:before="0" w:after="0" w:line="276" w:lineRule="exact"/>
        <w:ind w:left="0" w:firstLine="0"/>
        <w:jc w:val="right"/>
      </w:pPr>
      <w:r>
        <w:t xml:space="preserve">THIRTY-SEVENTH</w:t>
      </w:r>
      <w:r>
        <w:t xml:space="preserve"> </w:t>
      </w:r>
      <w:r>
        <w:t xml:space="preserve">JUDICIAL</w:t>
      </w:r>
      <w:r>
        <w:t xml:space="preserve"> </w:t>
      </w:r>
      <w:r>
        <w:t xml:space="preserve">DISTRICT</w:t>
      </w:r>
    </w:p>
    <w:p>
      <w:pPr>
        <w:spacing w:before="576" w:after="0" w:line="276" w:lineRule="exact"/>
        <w:ind w:left="0" w:firstLine="0"/>
        <w:jc w:val="center"/>
      </w:pPr>
      <w:r>
        <w:rPr>
          <w:b/>
          <w:bCs/>
        </w:rPr>
        <w:t xml:space="preserve">NORTH</w:t>
      </w:r>
      <w:r>
        <w:rPr>
          <w:b/>
          <w:bCs/>
        </w:rPr>
        <w:t xml:space="preserve"> </w:t>
      </w:r>
      <w:r>
        <w:rPr>
          <w:b/>
          <w:bCs/>
        </w:rPr>
        <w:t xml:space="preserve">CAROLINA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432" w:after="0" w:line="276" w:lineRule="exact"/>
        <w:ind w:left="0" w:firstLine="0"/>
        <w:jc w:val="center"/>
      </w:pPr>
      <w:r>
        <w:t xml:space="preserve">From</w:t>
      </w:r>
      <w:r>
        <w:t xml:space="preserve"> </w:t>
      </w:r>
      <w:r>
        <w:t xml:space="preserve">Randolph</w:t>
      </w:r>
      <w:r>
        <w:t xml:space="preserve"> </w:t>
      </w:r>
      <w:r>
        <w:t xml:space="preserve">County</w:t>
      </w:r>
    </w:p>
    <w:p>
      <w:pPr>
        <w:spacing w:before="0" w:after="0" w:line="276" w:lineRule="exact"/>
        <w:ind w:left="0" w:firstLine="0"/>
        <w:jc w:val="center"/>
      </w:pPr>
      <w:r>
        <w:t xml:space="preserve">25CV000794</w:t>
        <w:noBreakHyphen/>
        <w:t xml:space="preserve">750</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BEVERLY</w:t>
            </w:r>
            <w:r>
              <w:t xml:space="preserve"> </w:t>
            </w:r>
            <w:r>
              <w:t xml:space="preserve">COBLE,</w:t>
            </w:r>
          </w:p>
        </w:tc>
        <w:tc>
          <w:tcPr>
            <w:tcW w:w="3600" w:type="dxa"/>
            <w:vAlign w:val="center"/>
          </w:tcPr>
          <w:p>
            <w:pPr>
              <w:spacing w:before="0" w:after="0" w:line="276" w:lineRule="exact"/>
              <w:ind w:left="0" w:firstLine="0"/>
              <w:jc w:val="right"/>
            </w:pPr>
            <w:r>
              <w:t xml:space="preserve">Plaintiff,</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vs.</w:t>
            </w:r>
          </w:p>
        </w:tc>
        <w:tc>
          <w:tcPr>
            <w:tcW w:w="3600" w:type="dxa"/>
            <w:vAlign w:val="center"/>
          </w:tcPr>
          <w:p>
            <w:pPr>
              <w:spacing w:before="0" w:after="0" w:line="276" w:lineRule="exact"/>
              <w:ind w:left="0" w:firstLine="0"/>
              <w:jc w:val="right"/>
            </w:pP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WILLIAM</w:t>
            </w:r>
            <w:r>
              <w:t xml:space="preserve"> </w:t>
            </w:r>
            <w:r>
              <w:t xml:space="preserve">CLAYTON</w:t>
            </w:r>
            <w:r>
              <w:t xml:space="preserve"> </w:t>
            </w:r>
            <w:r>
              <w:t xml:space="preserve">BALLENTINE,</w:t>
            </w:r>
          </w:p>
        </w:tc>
        <w:tc>
          <w:tcPr>
            <w:tcW w:w="3600" w:type="dxa"/>
            <w:vAlign w:val="center"/>
          </w:tcPr>
          <w:p>
            <w:pPr>
              <w:spacing w:before="0" w:after="0" w:line="276" w:lineRule="exact"/>
              <w:ind w:left="0" w:firstLine="0"/>
              <w:jc w:val="right"/>
            </w:pPr>
            <w:r>
              <w:t xml:space="preserve">Defendant.</w:t>
            </w:r>
          </w:p>
        </w:tc>
      </w:tr>
    </w:tbl>
    <w:p>
      <w:pPr>
        <w:spacing w:before="1728" w:after="0" w:line="276" w:lineRule="exact"/>
        <w:ind w:left="0" w:firstLine="0"/>
        <w:jc w:val="center"/>
      </w:pPr>
      <w:r>
        <w:t xml:space="preserve">*******************************************</w:t>
      </w:r>
    </w:p>
    <w:p>
      <w:pPr>
        <w:spacing w:before="144" w:after="0" w:line="276" w:lineRule="exact"/>
        <w:ind w:left="0" w:firstLine="0"/>
        <w:jc w:val="center"/>
      </w:pPr>
      <w:r>
        <w:rPr>
          <w:b/>
          <w:bCs/>
        </w:rPr>
        <w:t xml:space="preserve">DEFENDANT-APPELLANT’S</w:t>
      </w:r>
      <w:r>
        <w:rPr>
          <w:b/>
          <w:bCs/>
        </w:rPr>
        <w:t xml:space="preserve"> </w:t>
      </w:r>
      <w:r>
        <w:rPr>
          <w:b/>
          <w:bCs/>
        </w:rPr>
        <w:t xml:space="preserve">BRIEF</w:t>
      </w:r>
    </w:p>
    <w:p>
      <w:pPr>
        <w:spacing w:before="144" w:after="0" w:line="276" w:lineRule="exact"/>
        <w:ind w:left="0" w:firstLine="0"/>
        <w:jc w:val="center"/>
      </w:pPr>
      <w:r>
        <w:t xml:space="preserve">*******************************************</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INDEX</w:t>
      </w:r>
    </w:p>
    <w:p>
      <w:pPr>
        <w:keepLines/>
        <w:tabs>
          <w:tab w:val="right" w:leader="dot" w:pos="9360"/>
        </w:tabs>
        <w:spacing w:before="144" w:after="0" w:line="276" w:lineRule="exact"/>
        <w:ind w:left="360" w:right="720" w:hanging="360"/>
      </w:pPr>
      <w:r>
        <w:t xml:space="preserve">ISSUES</w:t>
      </w:r>
      <w:r>
        <w:t xml:space="preserve"> </w:t>
      </w:r>
      <w:r>
        <w:t xml:space="preserve">PRESENTED</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GROUNDS</w:t>
      </w:r>
      <w:r>
        <w:t xml:space="preserve"> </w:t>
      </w:r>
      <w:r>
        <w:t xml:space="preserve">FOR</w:t>
      </w:r>
      <w:r>
        <w:t xml:space="preserve"> </w:t>
      </w:r>
      <w:r>
        <w:t xml:space="preserve">APPELLATE</w:t>
      </w:r>
      <w:r>
        <w:t xml:space="preserve"> </w:t>
      </w:r>
      <w:r>
        <w:t xml:space="preserve">REVIEW</w:t>
      </w:r>
      <w:r>
        <w:t xml:space="preserve">   </w:t>
      </w:r>
      <w:r>
        <w:tab/>
      </w:r>
      <w:r>
        <w:t xml:space="preserve">6</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FACTS</w:t>
      </w:r>
      <w:r>
        <w:t xml:space="preserve">   </w:t>
      </w:r>
      <w:r>
        <w:tab/>
      </w:r>
      <w:r>
        <w:t xml:space="preserve">6</w:t>
      </w:r>
    </w:p>
    <w:p>
      <w:pPr>
        <w:keepLines/>
        <w:tabs>
          <w:tab w:val="right" w:leader="dot" w:pos="9360"/>
        </w:tabs>
        <w:spacing w:before="144" w:after="0" w:line="276" w:lineRule="exact"/>
        <w:ind w:left="720" w:right="720" w:hanging="360"/>
      </w:pPr>
      <w:r>
        <w:t xml:space="preserve">I.</w:t>
      </w:r>
      <w:r>
        <w:t xml:space="preserve"> </w:t>
      </w:r>
      <w:r>
        <w:t xml:space="preserve">Relationship</w:t>
      </w:r>
      <w:r>
        <w:t xml:space="preserve"> </w:t>
      </w:r>
      <w:r>
        <w:t xml:space="preserve">Between</w:t>
      </w:r>
      <w:r>
        <w:t xml:space="preserve"> </w:t>
      </w:r>
      <w:r>
        <w:t xml:space="preserve">Ballentine</w:t>
      </w:r>
      <w:r>
        <w:t xml:space="preserve"> </w:t>
      </w:r>
      <w:r>
        <w:t xml:space="preserve">and</w:t>
      </w:r>
      <w:r>
        <w:t xml:space="preserve"> </w:t>
      </w:r>
      <w:r>
        <w:t xml:space="preserve">Coble</w:t>
      </w:r>
      <w:r>
        <w:t xml:space="preserve">   </w:t>
      </w:r>
      <w:r>
        <w:tab/>
      </w:r>
      <w:r>
        <w:t xml:space="preserve">6</w:t>
      </w:r>
    </w:p>
    <w:p>
      <w:pPr>
        <w:keepLines/>
        <w:tabs>
          <w:tab w:val="right" w:leader="dot" w:pos="9360"/>
        </w:tabs>
        <w:spacing w:before="144" w:after="0" w:line="276" w:lineRule="exact"/>
        <w:ind w:left="720" w:right="720" w:hanging="360"/>
      </w:pPr>
      <w:r>
        <w:t xml:space="preserve">II.</w:t>
      </w:r>
      <w:r>
        <w:t xml:space="preserve"> </w:t>
      </w:r>
      <w:r>
        <w:t xml:space="preserve">Coble’s</w:t>
      </w:r>
      <w:r>
        <w:t xml:space="preserve"> </w:t>
      </w:r>
      <w:r>
        <w:t xml:space="preserve">Candidacy</w:t>
      </w:r>
      <w:r>
        <w:t xml:space="preserve"> </w:t>
      </w:r>
      <w:r>
        <w:t xml:space="preserve">for</w:t>
      </w:r>
      <w:r>
        <w:t xml:space="preserve"> </w:t>
      </w:r>
      <w:r>
        <w:t xml:space="preserve">Mayor</w:t>
      </w:r>
      <w:r>
        <w:t xml:space="preserve"> </w:t>
      </w:r>
      <w:r>
        <w:t xml:space="preserve">and</w:t>
      </w:r>
      <w:r>
        <w:t xml:space="preserve"> </w:t>
      </w:r>
      <w:r>
        <w:t xml:space="preserve">Ballentine’s</w:t>
      </w:r>
      <w:r>
        <w:t xml:space="preserve"> </w:t>
      </w:r>
      <w:r>
        <w:t xml:space="preserve">Public</w:t>
      </w:r>
      <w:r>
        <w:t xml:space="preserve"> </w:t>
      </w:r>
      <w:r>
        <w:t xml:space="preserve">Criticism</w:t>
      </w:r>
      <w:r>
        <w:t xml:space="preserve">   </w:t>
      </w:r>
      <w:r>
        <w:tab/>
      </w:r>
      <w:r>
        <w:t xml:space="preserve">7</w:t>
      </w:r>
    </w:p>
    <w:p>
      <w:pPr>
        <w:keepLines/>
        <w:tabs>
          <w:tab w:val="right" w:leader="dot" w:pos="9360"/>
        </w:tabs>
        <w:spacing w:before="144" w:after="0" w:line="276" w:lineRule="exact"/>
        <w:ind w:left="720" w:right="720" w:hanging="360"/>
      </w:pPr>
      <w:r>
        <w:t xml:space="preserve">III.</w:t>
      </w:r>
      <w:r>
        <w:t xml:space="preserve"> </w:t>
      </w:r>
      <w:r>
        <w:t xml:space="preserve">Coble’s</w:t>
      </w:r>
      <w:r>
        <w:t xml:space="preserve"> </w:t>
      </w:r>
      <w:r>
        <w:t xml:space="preserve">First</w:t>
      </w:r>
      <w:r>
        <w:t xml:space="preserve"> </w:t>
      </w:r>
      <w:r>
        <w:t xml:space="preserve">Attempt</w:t>
      </w:r>
      <w:r>
        <w:t xml:space="preserve"> </w:t>
      </w:r>
      <w:r>
        <w:t xml:space="preserve">to</w:t>
      </w:r>
      <w:r>
        <w:t xml:space="preserve"> </w:t>
      </w:r>
      <w:r>
        <w:t xml:space="preserve">Silence</w:t>
      </w:r>
      <w:r>
        <w:t xml:space="preserve"> </w:t>
      </w:r>
      <w:r>
        <w:t xml:space="preserve">Ballentine</w:t>
      </w:r>
      <w:r>
        <w:t xml:space="preserve"> </w:t>
      </w:r>
      <w:r>
        <w:t xml:space="preserve">with</w:t>
      </w:r>
      <w:r>
        <w:t xml:space="preserve"> </w:t>
      </w:r>
      <w:r>
        <w:t xml:space="preserve">a</w:t>
      </w:r>
      <w:r>
        <w:t xml:space="preserve"> </w:t>
      </w:r>
      <w:r>
        <w:t xml:space="preserve">No-Contact</w:t>
      </w:r>
      <w:r>
        <w:t xml:space="preserve"> </w:t>
      </w:r>
      <w:r>
        <w:t xml:space="preserve">Order</w:t>
      </w:r>
      <w:r>
        <w:t xml:space="preserve">   </w:t>
      </w:r>
      <w:r>
        <w:tab/>
      </w:r>
      <w:r>
        <w:t xml:space="preserve">8</w:t>
      </w:r>
    </w:p>
    <w:p>
      <w:pPr>
        <w:keepLines/>
        <w:tabs>
          <w:tab w:val="right" w:leader="dot" w:pos="9360"/>
        </w:tabs>
        <w:spacing w:before="144" w:after="0" w:line="276" w:lineRule="exact"/>
        <w:ind w:left="720" w:right="720" w:hanging="360"/>
      </w:pPr>
      <w:r>
        <w:t xml:space="preserve">IV.</w:t>
      </w:r>
      <w:r>
        <w:t xml:space="preserve"> </w:t>
      </w:r>
      <w:r>
        <w:t xml:space="preserve">Coble’s</w:t>
      </w:r>
      <w:r>
        <w:t xml:space="preserve"> </w:t>
      </w:r>
      <w:r>
        <w:t xml:space="preserve">Second</w:t>
      </w:r>
      <w:r>
        <w:t xml:space="preserve"> </w:t>
      </w:r>
      <w:r>
        <w:t xml:space="preserve">Complaint</w:t>
      </w:r>
      <w:r>
        <w:t xml:space="preserve"> </w:t>
      </w:r>
      <w:r>
        <w:t xml:space="preserve">for</w:t>
      </w:r>
      <w:r>
        <w:t xml:space="preserve"> </w:t>
      </w:r>
      <w:r>
        <w:t xml:space="preserve">a</w:t>
      </w:r>
      <w:r>
        <w:t xml:space="preserve"> </w:t>
      </w:r>
      <w:r>
        <w:t xml:space="preserve">No-Contact</w:t>
      </w:r>
      <w:r>
        <w:t xml:space="preserve"> </w:t>
      </w:r>
      <w:r>
        <w:t xml:space="preserve">Order</w:t>
      </w:r>
      <w:r>
        <w:t xml:space="preserve">   </w:t>
      </w:r>
      <w:r>
        <w:tab/>
      </w:r>
      <w:r>
        <w:t xml:space="preserve">8</w:t>
      </w:r>
    </w:p>
    <w:p>
      <w:pPr>
        <w:keepLines/>
        <w:tabs>
          <w:tab w:val="right" w:leader="dot" w:pos="9360"/>
        </w:tabs>
        <w:spacing w:before="144" w:after="0" w:line="276" w:lineRule="exact"/>
        <w:ind w:left="720" w:right="720" w:hanging="360"/>
      </w:pPr>
      <w:r>
        <w:t xml:space="preserve">V.</w:t>
      </w:r>
      <w:r>
        <w:t xml:space="preserve"> </w:t>
      </w:r>
      <w:r>
        <w:t xml:space="preserve">The</w:t>
      </w:r>
      <w:r>
        <w:t xml:space="preserve"> </w:t>
      </w:r>
      <w:r>
        <w:t xml:space="preserve">District</w:t>
      </w:r>
      <w:r>
        <w:t xml:space="preserve"> </w:t>
      </w:r>
      <w:r>
        <w:t xml:space="preserve">Court</w:t>
      </w:r>
      <w:r>
        <w:t xml:space="preserve"> </w:t>
      </w:r>
      <w:r>
        <w:t xml:space="preserve">Hearing</w:t>
      </w:r>
      <w:r>
        <w:t xml:space="preserve"> </w:t>
      </w:r>
      <w:r>
        <w:t xml:space="preserve">and</w:t>
      </w:r>
      <w:r>
        <w:t xml:space="preserve"> </w:t>
      </w:r>
      <w:r>
        <w:t xml:space="preserve">No-Contact</w:t>
      </w:r>
      <w:r>
        <w:t xml:space="preserve"> </w:t>
      </w:r>
      <w:r>
        <w:t xml:space="preserve">Order</w:t>
      </w:r>
      <w:r>
        <w:t xml:space="preserve">   </w:t>
      </w:r>
      <w:r>
        <w:tab/>
      </w:r>
      <w:r>
        <w:t xml:space="preserve">9</w:t>
      </w:r>
    </w:p>
    <w:p>
      <w:pPr>
        <w:keepLines/>
        <w:tabs>
          <w:tab w:val="right" w:leader="dot" w:pos="9360"/>
        </w:tabs>
        <w:spacing w:before="144" w:after="0" w:line="276" w:lineRule="exact"/>
        <w:ind w:left="1080" w:right="720" w:hanging="360"/>
      </w:pPr>
      <w:r>
        <w:t xml:space="preserve">A.</w:t>
      </w:r>
      <w:r>
        <w:t xml:space="preserve"> </w:t>
      </w:r>
      <w:r>
        <w:t xml:space="preserve">Coble’s</w:t>
      </w:r>
      <w:r>
        <w:t xml:space="preserve"> </w:t>
      </w:r>
      <w:r>
        <w:t xml:space="preserve">testimony</w:t>
      </w:r>
      <w:r>
        <w:t xml:space="preserve"> </w:t>
      </w:r>
      <w:r>
        <w:t xml:space="preserve">and</w:t>
      </w:r>
      <w:r>
        <w:t xml:space="preserve"> </w:t>
      </w:r>
      <w:r>
        <w:t xml:space="preserve">evidence</w:t>
      </w:r>
      <w:r>
        <w:t xml:space="preserve">   </w:t>
      </w:r>
      <w:r>
        <w:tab/>
      </w:r>
      <w:r>
        <w:t xml:space="preserve">10</w:t>
      </w:r>
    </w:p>
    <w:p>
      <w:pPr>
        <w:keepLines/>
        <w:tabs>
          <w:tab w:val="right" w:leader="dot" w:pos="9360"/>
        </w:tabs>
        <w:spacing w:before="144" w:after="0" w:line="276" w:lineRule="exact"/>
        <w:ind w:left="1080" w:right="720" w:hanging="360"/>
      </w:pPr>
      <w:r>
        <w:t xml:space="preserve">B.</w:t>
      </w:r>
      <w:r>
        <w:t xml:space="preserve"> </w:t>
      </w:r>
      <w:r>
        <w:t xml:space="preserve">The</w:t>
      </w:r>
      <w:r>
        <w:t xml:space="preserve"> </w:t>
      </w:r>
      <w:r>
        <w:t xml:space="preserve">District</w:t>
      </w:r>
      <w:r>
        <w:t xml:space="preserve"> </w:t>
      </w:r>
      <w:r>
        <w:t xml:space="preserve">Court’s</w:t>
      </w:r>
      <w:r>
        <w:t xml:space="preserve"> </w:t>
      </w:r>
      <w:r>
        <w:t xml:space="preserve">examination</w:t>
      </w:r>
      <w:r>
        <w:t xml:space="preserve"> </w:t>
      </w:r>
      <w:r>
        <w:t xml:space="preserve">of</w:t>
      </w:r>
      <w:r>
        <w:t xml:space="preserve"> </w:t>
      </w:r>
      <w:r>
        <w:t xml:space="preserve">Ballentine</w:t>
      </w:r>
      <w:r>
        <w:t xml:space="preserve">   </w:t>
      </w:r>
      <w:r>
        <w:tab/>
      </w:r>
      <w:r>
        <w:t xml:space="preserve">11</w:t>
      </w:r>
    </w:p>
    <w:p>
      <w:pPr>
        <w:keepLines/>
        <w:tabs>
          <w:tab w:val="right" w:leader="dot" w:pos="9360"/>
        </w:tabs>
        <w:spacing w:before="144" w:after="0" w:line="276" w:lineRule="exact"/>
        <w:ind w:left="1080" w:right="720" w:hanging="360"/>
      </w:pPr>
      <w:r>
        <w:t xml:space="preserve">C.</w:t>
      </w:r>
      <w:r>
        <w:t xml:space="preserve"> </w:t>
      </w:r>
      <w:r>
        <w:t xml:space="preserve">The</w:t>
      </w:r>
      <w:r>
        <w:t xml:space="preserve"> </w:t>
      </w:r>
      <w:r>
        <w:t xml:space="preserve">District</w:t>
      </w:r>
      <w:r>
        <w:t xml:space="preserve"> </w:t>
      </w:r>
      <w:r>
        <w:t xml:space="preserve">Court’s</w:t>
      </w:r>
      <w:r>
        <w:t xml:space="preserve"> </w:t>
      </w:r>
      <w:r>
        <w:t xml:space="preserve">findings</w:t>
      </w:r>
      <w:r>
        <w:t xml:space="preserve">   </w:t>
      </w:r>
      <w:r>
        <w:tab/>
      </w:r>
      <w:r>
        <w:t xml:space="preserve">12</w:t>
      </w:r>
    </w:p>
    <w:p>
      <w:pPr>
        <w:keepLines/>
        <w:tabs>
          <w:tab w:val="right" w:leader="dot" w:pos="9360"/>
        </w:tabs>
        <w:spacing w:before="144" w:after="0" w:line="276" w:lineRule="exact"/>
        <w:ind w:left="1080" w:right="720" w:hanging="360"/>
      </w:pPr>
      <w:r>
        <w:t xml:space="preserve">D.</w:t>
      </w:r>
      <w:r>
        <w:t xml:space="preserve"> </w:t>
      </w:r>
      <w:r>
        <w:t xml:space="preserve">The</w:t>
      </w:r>
      <w:r>
        <w:t xml:space="preserve"> </w:t>
      </w:r>
      <w:r>
        <w:t xml:space="preserve">District</w:t>
      </w:r>
      <w:r>
        <w:t xml:space="preserve"> </w:t>
      </w:r>
      <w:r>
        <w:t xml:space="preserve">Court’s</w:t>
      </w:r>
      <w:r>
        <w:t xml:space="preserve"> </w:t>
      </w:r>
      <w:r>
        <w:t xml:space="preserve">written</w:t>
      </w:r>
      <w:r>
        <w:t xml:space="preserve"> </w:t>
      </w:r>
      <w:r>
        <w:t xml:space="preserve">no-contact</w:t>
      </w:r>
      <w:r>
        <w:t xml:space="preserve"> </w:t>
      </w:r>
      <w:r>
        <w:t xml:space="preserve">order</w:t>
      </w:r>
      <w:r>
        <w:t xml:space="preserve">   </w:t>
      </w:r>
      <w:r>
        <w:tab/>
      </w:r>
      <w:r>
        <w:t xml:space="preserve">13</w:t>
      </w:r>
    </w:p>
    <w:p>
      <w:pPr>
        <w:keepLines/>
        <w:tabs>
          <w:tab w:val="right" w:leader="dot" w:pos="9360"/>
        </w:tabs>
        <w:spacing w:before="144" w:after="0" w:line="276" w:lineRule="exact"/>
        <w:ind w:left="360" w:right="720" w:hanging="360"/>
      </w:pPr>
      <w:r>
        <w:t xml:space="preserve">ARGUMENT</w:t>
      </w:r>
      <w:r>
        <w:t xml:space="preserve">   </w:t>
      </w:r>
      <w:r>
        <w:tab/>
      </w:r>
      <w:r>
        <w:t xml:space="preserve">14</w:t>
      </w:r>
    </w:p>
    <w:p>
      <w:pPr>
        <w:keepLines/>
        <w:tabs>
          <w:tab w:val="right" w:leader="dot" w:pos="9360"/>
        </w:tabs>
        <w:spacing w:before="144" w:after="0" w:line="276" w:lineRule="exact"/>
        <w:ind w:left="720" w:right="720" w:hanging="360"/>
      </w:pPr>
      <w:r>
        <w:t xml:space="preserve">I.</w:t>
      </w:r>
      <w:r>
        <w:t xml:space="preserve"> </w:t>
      </w:r>
      <w:r>
        <w:t xml:space="preserve">STANDARD</w:t>
      </w:r>
      <w:r>
        <w:t xml:space="preserve"> </w:t>
      </w:r>
      <w:r>
        <w:t xml:space="preserve">OF</w:t>
      </w:r>
      <w:r>
        <w:t xml:space="preserve"> </w:t>
      </w:r>
      <w:r>
        <w:t xml:space="preserve">REVIEW</w:t>
      </w:r>
      <w:r>
        <w:t xml:space="preserve">   </w:t>
      </w:r>
      <w:r>
        <w:tab/>
      </w:r>
      <w:r>
        <w:t xml:space="preserve">14</w:t>
      </w:r>
    </w:p>
    <w:p>
      <w:pPr>
        <w:keepLines/>
        <w:tabs>
          <w:tab w:val="right" w:leader="dot" w:pos="9360"/>
        </w:tabs>
        <w:spacing w:before="144" w:after="0" w:line="276" w:lineRule="exact"/>
        <w:ind w:left="720" w:right="720" w:hanging="360"/>
      </w:pPr>
      <w:r>
        <w:t xml:space="preserve">II.</w:t>
      </w:r>
      <w:r>
        <w:t xml:space="preserve"> </w:t>
      </w:r>
      <w:r>
        <w:t xml:space="preserve">THE</w:t>
      </w:r>
      <w:r>
        <w:t xml:space="preserve"> </w:t>
      </w:r>
      <w:r>
        <w:t xml:space="preserve">DISTRICT</w:t>
      </w:r>
      <w:r>
        <w:t xml:space="preserve"> </w:t>
      </w:r>
      <w:r>
        <w:t xml:space="preserve">COURT’S</w:t>
      </w:r>
      <w:r>
        <w:t xml:space="preserve"> </w:t>
      </w:r>
      <w:r>
        <w:t xml:space="preserve">ORDER</w:t>
      </w:r>
      <w:r>
        <w:t xml:space="preserve"> </w:t>
      </w:r>
      <w:r>
        <w:t xml:space="preserve">IS</w:t>
      </w:r>
      <w:r>
        <w:t xml:space="preserve"> </w:t>
      </w:r>
      <w:r>
        <w:t xml:space="preserve">IMPROPER</w:t>
      </w:r>
      <w:r>
        <w:t xml:space="preserve"> </w:t>
      </w:r>
      <w:r>
        <w:t xml:space="preserve">UNDER</w:t>
      </w:r>
      <w:r>
        <w:t xml:space="preserve"> </w:t>
      </w:r>
      <w:r>
        <w:t xml:space="preserve">N.C.</w:t>
      </w:r>
      <w:r>
        <w:t xml:space="preserve"> </w:t>
      </w:r>
      <w:r>
        <w:t xml:space="preserve">GEN.</w:t>
      </w:r>
      <w:r>
        <w:t xml:space="preserve"> </w:t>
      </w:r>
      <w:r>
        <w:t xml:space="preserve">STAT.</w:t>
      </w:r>
      <w:r>
        <w:t xml:space="preserve"> </w:t>
      </w:r>
      <w:r>
        <w:t xml:space="preserve">§</w:t>
      </w:r>
      <w:r>
        <w:t xml:space="preserve"> </w:t>
      </w:r>
      <w:r>
        <w:t xml:space="preserve">50C</w:t>
      </w:r>
      <w:r>
        <w:t xml:space="preserve">   </w:t>
      </w:r>
      <w:r>
        <w:tab/>
      </w:r>
      <w:r>
        <w:t xml:space="preserve">15</w:t>
      </w:r>
    </w:p>
    <w:p>
      <w:pPr>
        <w:keepLines/>
        <w:tabs>
          <w:tab w:val="right" w:leader="dot" w:pos="9360"/>
        </w:tabs>
        <w:spacing w:before="144" w:after="0" w:line="276" w:lineRule="exact"/>
        <w:ind w:left="720" w:right="720" w:hanging="360"/>
      </w:pPr>
      <w:r>
        <w:t xml:space="preserve">III.</w:t>
      </w:r>
      <w:r>
        <w:t xml:space="preserve"> </w:t>
      </w:r>
      <w:r>
        <w:t xml:space="preserve">THE</w:t>
      </w:r>
      <w:r>
        <w:t xml:space="preserve"> </w:t>
      </w:r>
      <w:r>
        <w:t xml:space="preserve">NO-CONTACT</w:t>
      </w:r>
      <w:r>
        <w:t xml:space="preserve"> </w:t>
      </w:r>
      <w:r>
        <w:t xml:space="preserve">ORDER</w:t>
      </w:r>
      <w:r>
        <w:t xml:space="preserve"> </w:t>
      </w:r>
      <w:r>
        <w:t xml:space="preserve">VIOLATES</w:t>
      </w:r>
      <w:r>
        <w:t xml:space="preserve"> </w:t>
      </w:r>
      <w:r>
        <w:t xml:space="preserve">THE</w:t>
      </w:r>
      <w:r>
        <w:t xml:space="preserve"> </w:t>
      </w:r>
      <w:r>
        <w:t xml:space="preserve">FIRST</w:t>
      </w:r>
      <w:r>
        <w:t xml:space="preserve"> </w:t>
      </w:r>
      <w:r>
        <w:t xml:space="preserve">AMENDMENT</w:t>
      </w:r>
      <w:r>
        <w:t xml:space="preserve">   </w:t>
      </w:r>
      <w:r>
        <w:tab/>
      </w:r>
      <w:r>
        <w:t xml:space="preserve">19</w:t>
      </w:r>
    </w:p>
    <w:p>
      <w:pPr>
        <w:keepLines/>
        <w:tabs>
          <w:tab w:val="right" w:leader="dot" w:pos="9360"/>
        </w:tabs>
        <w:spacing w:before="144" w:after="0" w:line="276" w:lineRule="exact"/>
        <w:ind w:left="360" w:right="720" w:hanging="360"/>
      </w:pPr>
      <w:r>
        <w:t xml:space="preserve">CONCLUSION</w:t>
      </w:r>
      <w:r>
        <w:t xml:space="preserve">   </w:t>
      </w:r>
      <w:r>
        <w:tab/>
      </w:r>
      <w:r>
        <w:t xml:space="preserve">22</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96" w:line="276" w:lineRule="exact"/>
        <w:ind w:left="0" w:firstLine="0"/>
        <w:jc w:val="left"/>
      </w:pPr>
      <w:r>
        <w:rPr>
          <w:b/>
          <w:bCs/>
        </w:rPr>
        <w:t xml:space="preserve">Cases</w:t>
      </w:r>
    </w:p>
    <w:p>
      <w:pPr>
        <w:keepLines/>
        <w:tabs>
          <w:tab w:val="right" w:leader="dot" w:pos="9360"/>
        </w:tabs>
        <w:spacing w:before="144" w:after="0" w:line="276" w:lineRule="exact"/>
        <w:ind w:left="720" w:right="2400" w:hanging="720"/>
      </w:pPr>
      <w:r>
        <w:rPr>
          <w:i/>
          <w:iCs/>
        </w:rPr>
        <w:t xml:space="preserve">Bantam</w:t>
      </w:r>
      <w:r>
        <w:rPr>
          <w:i/>
          <w:iCs/>
        </w:rPr>
        <w:t xml:space="preserve"> </w:t>
      </w:r>
      <w:r>
        <w:rPr>
          <w:i/>
          <w:iCs/>
        </w:rPr>
        <w:t xml:space="preserve">Books,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Sullivan</w:t>
      </w:r>
      <w:r>
        <w:t xml:space="preserve">,</w:t>
      </w:r>
      <w:r>
        <w:t xml:space="preserve"> </w:t>
      </w:r>
      <w:r>
        <w:t xml:space="preserve">372</w:t>
      </w:r>
      <w:r>
        <w:t xml:space="preserve"> </w:t>
      </w:r>
      <w:r>
        <w:t xml:space="preserve">U.S.</w:t>
      </w:r>
      <w:r>
        <w:t xml:space="preserve"> </w:t>
      </w:r>
      <w:r>
        <w:t xml:space="preserve">58</w:t>
      </w:r>
      <w:r>
        <w:t xml:space="preserve"> </w:t>
      </w:r>
      <w:r>
        <w:t xml:space="preserve">(1963)</w:t>
      </w:r>
      <w:r>
        <w:t xml:space="preserve">   </w:t>
      </w:r>
      <w:r>
        <w:tab/>
      </w:r>
      <w:r>
        <w:t xml:space="preserve">22</w:t>
      </w:r>
    </w:p>
    <w:p>
      <w:pPr>
        <w:keepLines/>
        <w:tabs>
          <w:tab w:val="right" w:leader="dot" w:pos="9360"/>
        </w:tabs>
        <w:spacing w:before="144" w:after="0" w:line="276" w:lineRule="exact"/>
        <w:ind w:left="720" w:right="2400" w:hanging="720"/>
      </w:pPr>
      <w:r>
        <w:rPr>
          <w:i/>
          <w:iCs/>
        </w:rPr>
        <w:t xml:space="preserve">Bose</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Consumers</w:t>
      </w:r>
      <w:r>
        <w:rPr>
          <w:i/>
          <w:iCs/>
        </w:rPr>
        <w:t xml:space="preserve"> </w:t>
      </w:r>
      <w:r>
        <w:rPr>
          <w:i/>
          <w:iCs/>
        </w:rPr>
        <w:t xml:space="preserve">Union</w:t>
      </w:r>
      <w:r>
        <w:rPr>
          <w:i/>
          <w:iCs/>
        </w:rPr>
        <w:t xml:space="preserve"> </w:t>
      </w:r>
      <w:r>
        <w:rPr>
          <w:i/>
          <w:iCs/>
        </w:rPr>
        <w:t xml:space="preserve">of</w:t>
      </w:r>
      <w:r>
        <w:rPr>
          <w:i/>
          <w:iCs/>
        </w:rPr>
        <w:t xml:space="preserve"> </w:t>
      </w:r>
      <w:r>
        <w:rPr>
          <w:i/>
          <w:iCs/>
        </w:rPr>
        <w:t xml:space="preserve">U.S.,</w:t>
      </w:r>
      <w:r>
        <w:rPr>
          <w:i/>
          <w:iCs/>
        </w:rPr>
        <w:t xml:space="preserve"> </w:t>
      </w:r>
      <w:r>
        <w:rPr>
          <w:i/>
          <w:iCs/>
        </w:rPr>
        <w:t xml:space="preserve">Inc.</w:t>
      </w:r>
      <w:r>
        <w:t xml:space="preserve">,</w:t>
      </w:r>
      <w:r>
        <w:t xml:space="preserve"> </w:t>
      </w:r>
      <w:r>
        <w:t xml:space="preserve">466</w:t>
      </w:r>
      <w:r>
        <w:t xml:space="preserve"> </w:t>
      </w:r>
      <w:r>
        <w:t xml:space="preserve">U.S.</w:t>
      </w:r>
      <w:r>
        <w:t xml:space="preserve"> </w:t>
      </w:r>
      <w:r>
        <w:t xml:space="preserve">485</w:t>
      </w:r>
      <w:r>
        <w:t xml:space="preserve"> </w:t>
      </w:r>
      <w:r>
        <w:t xml:space="preserve">(1984)</w:t>
      </w:r>
      <w:r>
        <w:t xml:space="preserve">   </w:t>
      </w:r>
      <w:r>
        <w:tab/>
      </w:r>
      <w:r>
        <w:t xml:space="preserve">14</w:t>
      </w:r>
    </w:p>
    <w:p>
      <w:pPr>
        <w:keepLines/>
        <w:tabs>
          <w:tab w:val="right" w:leader="dot" w:pos="9360"/>
        </w:tabs>
        <w:spacing w:before="144" w:after="0" w:line="276" w:lineRule="exact"/>
        <w:ind w:left="720" w:right="2400" w:hanging="720"/>
      </w:pPr>
      <w:r>
        <w:rPr>
          <w:i/>
          <w:iCs/>
        </w:rPr>
        <w:t xml:space="preserve">Cartin</w:t>
      </w:r>
      <w:r>
        <w:rPr>
          <w:i/>
          <w:iCs/>
        </w:rPr>
        <w:t xml:space="preserve"> </w:t>
      </w:r>
      <w:r>
        <w:rPr>
          <w:i/>
          <w:iCs/>
        </w:rPr>
        <w:t xml:space="preserve">v.</w:t>
      </w:r>
      <w:r>
        <w:rPr>
          <w:i/>
          <w:iCs/>
        </w:rPr>
        <w:t xml:space="preserve"> </w:t>
      </w:r>
      <w:r>
        <w:rPr>
          <w:i/>
          <w:iCs/>
        </w:rPr>
        <w:t xml:space="preserve">Harrison</w:t>
      </w:r>
      <w:r>
        <w:t xml:space="preserve">,</w:t>
      </w:r>
      <w:r>
        <w:t xml:space="preserve"> </w:t>
      </w:r>
      <w:r>
        <w:t xml:space="preserve">151</w:t>
      </w:r>
      <w:r>
        <w:t xml:space="preserve"> </w:t>
      </w:r>
      <w:r>
        <w:t xml:space="preserve">N.C.</w:t>
      </w:r>
      <w:r>
        <w:t xml:space="preserve"> </w:t>
      </w:r>
      <w:r>
        <w:t xml:space="preserve">App.</w:t>
      </w:r>
      <w:r>
        <w:t xml:space="preserve"> </w:t>
      </w:r>
      <w:r>
        <w:t xml:space="preserve">697</w:t>
      </w:r>
      <w:r>
        <w:t xml:space="preserve"> </w:t>
      </w:r>
      <w:r>
        <w:t xml:space="preserve">(2002)</w:t>
      </w:r>
      <w:r>
        <w:t xml:space="preserve">   </w:t>
      </w:r>
      <w:r>
        <w:tab/>
      </w:r>
      <w:r>
        <w:t xml:space="preserve">14</w:t>
      </w:r>
    </w:p>
    <w:p>
      <w:pPr>
        <w:keepLines/>
        <w:tabs>
          <w:tab w:val="right" w:leader="dot" w:pos="9360"/>
        </w:tabs>
        <w:spacing w:before="144" w:after="0" w:line="276" w:lineRule="exact"/>
        <w:ind w:left="720" w:right="2400" w:hanging="720"/>
      </w:pPr>
      <w:r>
        <w:rPr>
          <w:i/>
          <w:iCs/>
        </w:rPr>
        <w:t xml:space="preserve">Citizens</w:t>
      </w:r>
      <w:r>
        <w:rPr>
          <w:i/>
          <w:iCs/>
        </w:rPr>
        <w:t xml:space="preserve"> </w:t>
      </w:r>
      <w:r>
        <w:rPr>
          <w:i/>
          <w:iCs/>
        </w:rPr>
        <w:t xml:space="preserve">United</w:t>
      </w:r>
      <w:r>
        <w:rPr>
          <w:i/>
          <w:iCs/>
        </w:rPr>
        <w:t xml:space="preserve"> </w:t>
      </w:r>
      <w:r>
        <w:rPr>
          <w:i/>
          <w:iCs/>
        </w:rPr>
        <w:t xml:space="preserve">v.</w:t>
      </w:r>
      <w:r>
        <w:rPr>
          <w:i/>
          <w:iCs/>
        </w:rPr>
        <w:t xml:space="preserve"> </w:t>
      </w:r>
      <w:r>
        <w:rPr>
          <w:i/>
          <w:iCs/>
        </w:rPr>
        <w:t xml:space="preserve">Fed.</w:t>
      </w:r>
      <w:r>
        <w:rPr>
          <w:i/>
          <w:iCs/>
        </w:rPr>
        <w:t xml:space="preserve"> </w:t>
      </w:r>
      <w:r>
        <w:rPr>
          <w:i/>
          <w:iCs/>
        </w:rPr>
        <w:t xml:space="preserve">Election</w:t>
      </w:r>
      <w:r>
        <w:rPr>
          <w:i/>
          <w:iCs/>
        </w:rPr>
        <w:t xml:space="preserve"> </w:t>
      </w:r>
      <w:r>
        <w:rPr>
          <w:i/>
          <w:iCs/>
        </w:rPr>
        <w:t xml:space="preserve">Comm’n</w:t>
      </w:r>
      <w:r>
        <w:t xml:space="preserve">,</w:t>
      </w:r>
      <w:r>
        <w:t xml:space="preserve"> </w:t>
      </w:r>
      <w:r>
        <w:t xml:space="preserve">558</w:t>
      </w:r>
      <w:r>
        <w:t xml:space="preserve"> </w:t>
      </w:r>
      <w:r>
        <w:t xml:space="preserve">U.S.</w:t>
      </w:r>
      <w:r>
        <w:t xml:space="preserve"> </w:t>
      </w:r>
      <w:r>
        <w:t xml:space="preserve">310</w:t>
      </w:r>
      <w:r>
        <w:t xml:space="preserve"> </w:t>
      </w:r>
      <w:r>
        <w:t xml:space="preserve">(2010)</w:t>
      </w:r>
      <w:r>
        <w:t xml:space="preserve">   </w:t>
      </w:r>
      <w:r>
        <w:tab/>
      </w:r>
      <w:r>
        <w:t xml:space="preserve">18</w:t>
      </w:r>
    </w:p>
    <w:p>
      <w:pPr>
        <w:keepLines/>
        <w:tabs>
          <w:tab w:val="right" w:leader="dot" w:pos="9360"/>
        </w:tabs>
        <w:spacing w:before="144" w:after="0" w:line="276" w:lineRule="exact"/>
        <w:ind w:left="720" w:right="2400" w:hanging="720"/>
      </w:pPr>
      <w:r>
        <w:rPr>
          <w:i/>
          <w:iCs/>
        </w:rPr>
        <w:t xml:space="preserve">Coble</w:t>
      </w:r>
      <w:r>
        <w:rPr>
          <w:i/>
          <w:iCs/>
        </w:rPr>
        <w:t xml:space="preserve"> </w:t>
      </w:r>
      <w:r>
        <w:rPr>
          <w:i/>
          <w:iCs/>
        </w:rPr>
        <w:t xml:space="preserve">v.</w:t>
      </w:r>
      <w:r>
        <w:rPr>
          <w:i/>
          <w:iCs/>
        </w:rPr>
        <w:t xml:space="preserve"> </w:t>
      </w:r>
      <w:r>
        <w:rPr>
          <w:i/>
          <w:iCs/>
        </w:rPr>
        <w:t xml:space="preserve">Ballentine</w:t>
      </w:r>
      <w:r>
        <w:t xml:space="preserve">,</w:t>
      </w:r>
      <w:r>
        <w:t xml:space="preserve"> </w:t>
      </w:r>
      <w:r>
        <w:t xml:space="preserve">No.</w:t>
      </w:r>
      <w:r>
        <w:t xml:space="preserve"> </w:t>
      </w:r>
      <w:r>
        <w:t xml:space="preserve">P25</w:t>
        <w:noBreakHyphen/>
        <w:t xml:space="preserve">502</w:t>
      </w:r>
      <w:r>
        <w:t xml:space="preserve"> </w:t>
      </w:r>
      <w:r>
        <w:t xml:space="preserve">(N.C.</w:t>
      </w:r>
      <w:r>
        <w:t xml:space="preserve"> </w:t>
      </w:r>
      <w:r>
        <w:t xml:space="preserve">Ct.</w:t>
      </w:r>
      <w:r>
        <w:t xml:space="preserve"> </w:t>
      </w:r>
      <w:r>
        <w:t xml:space="preserve">App.,</w:t>
      </w:r>
      <w:r>
        <w:t xml:space="preserve"> </w:t>
      </w:r>
      <w:r>
        <w:t xml:space="preserve">18</w:t>
      </w:r>
      <w:r>
        <w:t xml:space="preserve"> </w:t>
      </w:r>
      <w:r>
        <w:t xml:space="preserve">July</w:t>
      </w:r>
      <w:r>
        <w:t xml:space="preserve"> </w:t>
      </w:r>
      <w:r>
        <w:t xml:space="preserve">2025)</w:t>
      </w:r>
      <w:r>
        <w:t xml:space="preserve">   </w:t>
      </w:r>
      <w:r>
        <w:tab/>
      </w:r>
      <w:r>
        <w:t xml:space="preserve">5</w:t>
      </w:r>
    </w:p>
    <w:p>
      <w:pPr>
        <w:keepLines/>
        <w:tabs>
          <w:tab w:val="right" w:leader="dot" w:pos="9360"/>
        </w:tabs>
        <w:spacing w:before="144" w:after="0" w:line="276" w:lineRule="exact"/>
        <w:ind w:left="720" w:right="2400" w:hanging="720"/>
      </w:pPr>
      <w:r>
        <w:rPr>
          <w:i/>
          <w:iCs/>
        </w:rPr>
        <w:t xml:space="preserve">Coble</w:t>
      </w:r>
      <w:r>
        <w:rPr>
          <w:i/>
          <w:iCs/>
        </w:rPr>
        <w:t xml:space="preserve"> </w:t>
      </w:r>
      <w:r>
        <w:rPr>
          <w:i/>
          <w:iCs/>
        </w:rPr>
        <w:t xml:space="preserve">v.</w:t>
      </w:r>
      <w:r>
        <w:rPr>
          <w:i/>
          <w:iCs/>
        </w:rPr>
        <w:t xml:space="preserve"> </w:t>
      </w:r>
      <w:r>
        <w:rPr>
          <w:i/>
          <w:iCs/>
        </w:rPr>
        <w:t xml:space="preserve">Ballentine</w:t>
      </w:r>
      <w:r>
        <w:t xml:space="preserve">,</w:t>
      </w:r>
      <w:r>
        <w:t xml:space="preserve"> </w:t>
      </w:r>
      <w:r>
        <w:t xml:space="preserve">No.</w:t>
      </w:r>
      <w:r>
        <w:t xml:space="preserve"> </w:t>
      </w:r>
      <w:r>
        <w:t xml:space="preserve">P25</w:t>
        <w:noBreakHyphen/>
        <w:t xml:space="preserve">502</w:t>
      </w:r>
      <w:r>
        <w:t xml:space="preserve"> </w:t>
      </w:r>
      <w:r>
        <w:t xml:space="preserve">(N.C.</w:t>
      </w:r>
      <w:r>
        <w:t xml:space="preserve"> </w:t>
      </w:r>
      <w:r>
        <w:t xml:space="preserve">Ct.</w:t>
      </w:r>
      <w:r>
        <w:t xml:space="preserve"> </w:t>
      </w:r>
      <w:r>
        <w:t xml:space="preserve">App.,</w:t>
      </w:r>
      <w:r>
        <w:t xml:space="preserve"> </w:t>
      </w:r>
      <w:r>
        <w:t xml:space="preserve">28</w:t>
      </w:r>
      <w:r>
        <w:t xml:space="preserve"> </w:t>
      </w:r>
      <w:r>
        <w:t xml:space="preserve">July</w:t>
      </w:r>
      <w:r>
        <w:t xml:space="preserve"> </w:t>
      </w:r>
      <w:r>
        <w:t xml:space="preserve">2025)</w:t>
      </w:r>
      <w:r>
        <w:t xml:space="preserve">   </w:t>
      </w:r>
      <w:r>
        <w:tab/>
      </w:r>
      <w:r>
        <w:t xml:space="preserve">5</w:t>
      </w:r>
    </w:p>
    <w:p>
      <w:pPr>
        <w:keepLines/>
        <w:tabs>
          <w:tab w:val="right" w:leader="dot" w:pos="9360"/>
        </w:tabs>
        <w:spacing w:before="144" w:after="0" w:line="276" w:lineRule="exact"/>
        <w:ind w:left="720" w:right="2400" w:hanging="720"/>
      </w:pPr>
      <w:r>
        <w:rPr>
          <w:i/>
          <w:iCs/>
        </w:rPr>
        <w:t xml:space="preserve">Eu</w:t>
      </w:r>
      <w:r>
        <w:rPr>
          <w:i/>
          <w:iCs/>
        </w:rPr>
        <w:t xml:space="preserve"> </w:t>
      </w:r>
      <w:r>
        <w:rPr>
          <w:i/>
          <w:iCs/>
        </w:rPr>
        <w:t xml:space="preserve">v.</w:t>
      </w:r>
      <w:r>
        <w:rPr>
          <w:i/>
          <w:iCs/>
        </w:rPr>
        <w:t xml:space="preserve"> </w:t>
      </w:r>
      <w:r>
        <w:rPr>
          <w:i/>
          <w:iCs/>
        </w:rPr>
        <w:t xml:space="preserve">San</w:t>
      </w:r>
      <w:r>
        <w:rPr>
          <w:i/>
          <w:iCs/>
        </w:rPr>
        <w:t xml:space="preserve"> </w:t>
      </w:r>
      <w:r>
        <w:rPr>
          <w:i/>
          <w:iCs/>
        </w:rPr>
        <w:t xml:space="preserve">Francisco</w:t>
      </w:r>
      <w:r>
        <w:rPr>
          <w:i/>
          <w:iCs/>
        </w:rPr>
        <w:t xml:space="preserve"> </w:t>
      </w:r>
      <w:r>
        <w:rPr>
          <w:i/>
          <w:iCs/>
        </w:rPr>
        <w:t xml:space="preserve">Cnty.</w:t>
      </w:r>
      <w:r>
        <w:rPr>
          <w:i/>
          <w:iCs/>
        </w:rPr>
        <w:t xml:space="preserve"> </w:t>
      </w:r>
      <w:r>
        <w:rPr>
          <w:i/>
          <w:iCs/>
        </w:rPr>
        <w:t xml:space="preserve">Democratic</w:t>
      </w:r>
      <w:r>
        <w:rPr>
          <w:i/>
          <w:iCs/>
        </w:rPr>
        <w:t xml:space="preserve"> </w:t>
      </w:r>
      <w:r>
        <w:rPr>
          <w:i/>
          <w:iCs/>
        </w:rPr>
        <w:t xml:space="preserve">Cent.</w:t>
      </w:r>
      <w:r>
        <w:rPr>
          <w:i/>
          <w:iCs/>
        </w:rPr>
        <w:t xml:space="preserve"> </w:t>
      </w:r>
      <w:r>
        <w:rPr>
          <w:i/>
          <w:iCs/>
        </w:rPr>
        <w:t xml:space="preserve">Comm.</w:t>
      </w:r>
      <w:r>
        <w:t xml:space="preserve">,</w:t>
      </w:r>
      <w:r>
        <w:t xml:space="preserve"> </w:t>
      </w:r>
      <w:r>
        <w:t xml:space="preserve">489</w:t>
      </w:r>
      <w:r>
        <w:t xml:space="preserve"> </w:t>
      </w:r>
      <w:r>
        <w:t xml:space="preserve">U.S.</w:t>
      </w:r>
      <w:r>
        <w:t xml:space="preserve"> </w:t>
      </w:r>
      <w:r>
        <w:t xml:space="preserve">214</w:t>
      </w:r>
      <w:r>
        <w:t xml:space="preserve"> </w:t>
      </w:r>
      <w:r>
        <w:t xml:space="preserve">(1989)</w:t>
      </w:r>
      <w:r>
        <w:t xml:space="preserve">   </w:t>
      </w:r>
      <w:r>
        <w:tab/>
      </w:r>
      <w:r>
        <w:t xml:space="preserve">18</w:t>
      </w:r>
    </w:p>
    <w:p>
      <w:pPr>
        <w:keepLines/>
        <w:tabs>
          <w:tab w:val="right" w:leader="dot" w:pos="9360"/>
        </w:tabs>
        <w:spacing w:before="144" w:after="0" w:line="276" w:lineRule="exact"/>
        <w:ind w:left="720" w:right="2400" w:hanging="720"/>
      </w:pPr>
      <w:r>
        <w:rPr>
          <w:i/>
          <w:iCs/>
        </w:rPr>
        <w:t xml:space="preserve">Myers</w:t>
      </w:r>
      <w:r>
        <w:rPr>
          <w:i/>
          <w:iCs/>
        </w:rPr>
        <w:t xml:space="preserve"> </w:t>
      </w:r>
      <w:r>
        <w:rPr>
          <w:i/>
          <w:iCs/>
        </w:rPr>
        <w:t xml:space="preserve">v.</w:t>
      </w:r>
      <w:r>
        <w:rPr>
          <w:i/>
          <w:iCs/>
        </w:rPr>
        <w:t xml:space="preserve"> </w:t>
      </w:r>
      <w:r>
        <w:rPr>
          <w:i/>
          <w:iCs/>
        </w:rPr>
        <w:t xml:space="preserve">Broome-Edwards</w:t>
      </w:r>
      <w:r>
        <w:t xml:space="preserve">,</w:t>
      </w:r>
      <w:r>
        <w:t xml:space="preserve"> </w:t>
      </w:r>
      <w:r>
        <w:t xml:space="preserve">294</w:t>
      </w:r>
      <w:r>
        <w:t xml:space="preserve"> </w:t>
      </w:r>
      <w:r>
        <w:t xml:space="preserve">N.C.</w:t>
      </w:r>
      <w:r>
        <w:t xml:space="preserve"> </w:t>
      </w:r>
      <w:r>
        <w:t xml:space="preserve">App.</w:t>
      </w:r>
      <w:r>
        <w:t xml:space="preserve"> </w:t>
      </w:r>
      <w:r>
        <w:t xml:space="preserve">364</w:t>
      </w:r>
      <w:r>
        <w:t xml:space="preserve"> </w:t>
      </w:r>
      <w:r>
        <w:t xml:space="preserve">(2024)</w:t>
      </w:r>
      <w:r>
        <w:t xml:space="preserve">   </w:t>
      </w:r>
      <w:r>
        <w:tab/>
      </w:r>
      <w:r>
        <w:t xml:space="preserve">14</w:t>
      </w:r>
    </w:p>
    <w:p>
      <w:pPr>
        <w:keepLines/>
        <w:tabs>
          <w:tab w:val="right" w:leader="dot" w:pos="9360"/>
        </w:tabs>
        <w:spacing w:before="144" w:after="0" w:line="276" w:lineRule="exact"/>
        <w:ind w:left="720" w:right="2400" w:hanging="720"/>
      </w:pPr>
      <w:r>
        <w:rPr>
          <w:i/>
          <w:iCs/>
        </w:rPr>
        <w:t xml:space="preserve">Near</w:t>
      </w:r>
      <w:r>
        <w:rPr>
          <w:i/>
          <w:iCs/>
        </w:rPr>
        <w:t xml:space="preserve"> </w:t>
      </w:r>
      <w:r>
        <w:rPr>
          <w:i/>
          <w:iCs/>
        </w:rPr>
        <w:t xml:space="preserve">v.</w:t>
      </w:r>
      <w:r>
        <w:rPr>
          <w:i/>
          <w:iCs/>
        </w:rPr>
        <w:t xml:space="preserve"> </w:t>
      </w:r>
      <w:r>
        <w:rPr>
          <w:i/>
          <w:iCs/>
        </w:rPr>
        <w:t xml:space="preserve">Minnesota</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Olson</w:t>
      </w:r>
      <w:r>
        <w:t xml:space="preserve">,</w:t>
      </w:r>
      <w:r>
        <w:t xml:space="preserve"> </w:t>
      </w:r>
      <w:r>
        <w:t xml:space="preserve">283</w:t>
      </w:r>
      <w:r>
        <w:t xml:space="preserve"> </w:t>
      </w:r>
      <w:r>
        <w:t xml:space="preserve">U.S.</w:t>
      </w:r>
      <w:r>
        <w:t xml:space="preserve"> </w:t>
      </w:r>
      <w:r>
        <w:t xml:space="preserve">697</w:t>
      </w:r>
      <w:r>
        <w:t xml:space="preserve"> </w:t>
      </w:r>
      <w:r>
        <w:t xml:space="preserve">(1931)</w:t>
      </w:r>
      <w:r>
        <w:t xml:space="preserve">   </w:t>
      </w:r>
      <w:r>
        <w:tab/>
      </w:r>
      <w:r>
        <w:t xml:space="preserve">22</w:t>
      </w:r>
    </w:p>
    <w:p>
      <w:pPr>
        <w:keepLines/>
        <w:tabs>
          <w:tab w:val="right" w:leader="dot" w:pos="9360"/>
        </w:tabs>
        <w:spacing w:before="144" w:after="0" w:line="276" w:lineRule="exact"/>
        <w:ind w:left="720" w:right="2400" w:hanging="720"/>
      </w:pPr>
      <w:r>
        <w:rPr>
          <w:i/>
          <w:iCs/>
        </w:rPr>
        <w:t xml:space="preserve">Nebraska</w:t>
      </w:r>
      <w:r>
        <w:rPr>
          <w:i/>
          <w:iCs/>
        </w:rPr>
        <w:t xml:space="preserve"> </w:t>
      </w:r>
      <w:r>
        <w:rPr>
          <w:i/>
          <w:iCs/>
        </w:rPr>
        <w:t xml:space="preserve">Press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Stuart</w:t>
      </w:r>
      <w:r>
        <w:t xml:space="preserve">,</w:t>
      </w:r>
      <w:r>
        <w:t xml:space="preserve"> </w:t>
      </w:r>
      <w:r>
        <w:t xml:space="preserve">427</w:t>
      </w:r>
      <w:r>
        <w:t xml:space="preserve"> </w:t>
      </w:r>
      <w:r>
        <w:t xml:space="preserve">U.S.</w:t>
      </w:r>
      <w:r>
        <w:t xml:space="preserve"> </w:t>
      </w:r>
      <w:r>
        <w:t xml:space="preserve">539</w:t>
      </w:r>
      <w:r>
        <w:t xml:space="preserve"> </w:t>
      </w:r>
      <w:r>
        <w:t xml:space="preserve">(1976)</w:t>
      </w:r>
      <w:r>
        <w:t xml:space="preserve">   </w:t>
      </w:r>
      <w:r>
        <w:tab/>
      </w:r>
      <w:r>
        <w:t xml:space="preserve">22</w:t>
      </w:r>
    </w:p>
    <w:p>
      <w:pPr>
        <w:keepLines/>
        <w:tabs>
          <w:tab w:val="right" w:leader="dot" w:pos="9360"/>
        </w:tabs>
        <w:spacing w:before="144" w:after="0" w:line="276" w:lineRule="exact"/>
        <w:ind w:left="720" w:right="2400" w:hanging="720"/>
      </w:pPr>
      <w:r>
        <w:rPr>
          <w:i/>
          <w:iCs/>
        </w:rPr>
        <w:t xml:space="preserve">New</w:t>
      </w:r>
      <w:r>
        <w:rPr>
          <w:i/>
          <w:iCs/>
        </w:rPr>
        <w:t xml:space="preserve"> </w:t>
      </w:r>
      <w:r>
        <w:rPr>
          <w:i/>
          <w:iCs/>
        </w:rPr>
        <w:t xml:space="preserve">York</w:t>
      </w:r>
      <w:r>
        <w:rPr>
          <w:i/>
          <w:iCs/>
        </w:rPr>
        <w:t xml:space="preserve"> </w:t>
      </w:r>
      <w:r>
        <w:rPr>
          <w:i/>
          <w:iCs/>
        </w:rPr>
        <w:t xml:space="preserve">Times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Sullivan</w:t>
      </w:r>
      <w:r>
        <w:t xml:space="preserve">,</w:t>
      </w:r>
      <w:r>
        <w:t xml:space="preserve"> </w:t>
      </w:r>
      <w:r>
        <w:t xml:space="preserve">376</w:t>
      </w:r>
      <w:r>
        <w:t xml:space="preserve"> </w:t>
      </w:r>
      <w:r>
        <w:t xml:space="preserve">U.S.</w:t>
      </w:r>
      <w:r>
        <w:t xml:space="preserve"> </w:t>
      </w:r>
      <w:r>
        <w:t xml:space="preserve">254</w:t>
      </w:r>
      <w:r>
        <w:t xml:space="preserve"> </w:t>
      </w:r>
      <w:r>
        <w:t xml:space="preserve">(1964)</w:t>
      </w:r>
      <w:r>
        <w:t xml:space="preserve">   </w:t>
      </w:r>
      <w:r>
        <w:tab/>
      </w:r>
      <w:r>
        <w:t xml:space="preserve">11, 12</w:t>
      </w:r>
    </w:p>
    <w:p>
      <w:pPr>
        <w:keepLines/>
        <w:tabs>
          <w:tab w:val="right" w:leader="dot" w:pos="9360"/>
        </w:tabs>
        <w:spacing w:before="144" w:after="0" w:line="276" w:lineRule="exact"/>
        <w:ind w:left="720" w:right="2400" w:hanging="720"/>
      </w:pPr>
      <w:r>
        <w:rPr>
          <w:i/>
          <w:iCs/>
        </w:rPr>
        <w:t xml:space="preserve">People</w:t>
      </w:r>
      <w:r>
        <w:rPr>
          <w:i/>
          <w:iCs/>
        </w:rPr>
        <w:t xml:space="preserve"> </w:t>
      </w:r>
      <w:r>
        <w:rPr>
          <w:i/>
          <w:iCs/>
        </w:rPr>
        <w:t xml:space="preserve">v.</w:t>
      </w:r>
      <w:r>
        <w:rPr>
          <w:i/>
          <w:iCs/>
        </w:rPr>
        <w:t xml:space="preserve"> </w:t>
      </w:r>
      <w:r>
        <w:rPr>
          <w:i/>
          <w:iCs/>
        </w:rPr>
        <w:t xml:space="preserve">Releford</w:t>
      </w:r>
      <w:r>
        <w:t xml:space="preserve">,</w:t>
      </w:r>
      <w:r>
        <w:t xml:space="preserve"> </w:t>
      </w:r>
      <w:r>
        <w:t xml:space="preserve">104</w:t>
      </w:r>
      <w:r>
        <w:t xml:space="preserve"> </w:t>
      </w:r>
      <w:r>
        <w:t xml:space="preserve">N.E.3d</w:t>
      </w:r>
      <w:r>
        <w:t xml:space="preserve"> </w:t>
      </w:r>
      <w:r>
        <w:t xml:space="preserve">341</w:t>
      </w:r>
      <w:r>
        <w:t xml:space="preserve"> </w:t>
      </w:r>
      <w:r>
        <w:t xml:space="preserve">(Ill.</w:t>
      </w:r>
      <w:r>
        <w:t xml:space="preserve"> </w:t>
      </w:r>
      <w:r>
        <w:t xml:space="preserve">2017)</w:t>
      </w:r>
      <w:r>
        <w:t xml:space="preserve">   </w:t>
      </w:r>
      <w:r>
        <w:tab/>
      </w:r>
      <w:r>
        <w:t xml:space="preserve">21</w:t>
      </w:r>
    </w:p>
    <w:p>
      <w:pPr>
        <w:keepLines/>
        <w:tabs>
          <w:tab w:val="right" w:leader="dot" w:pos="9360"/>
        </w:tabs>
        <w:spacing w:before="144" w:after="0" w:line="276" w:lineRule="exact"/>
        <w:ind w:left="720" w:right="2400" w:hanging="720"/>
      </w:pPr>
      <w:r>
        <w:rPr>
          <w:i/>
          <w:iCs/>
        </w:rPr>
        <w:t xml:space="preserve">Police</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Chicago</w:t>
      </w:r>
      <w:r>
        <w:rPr>
          <w:i/>
          <w:iCs/>
        </w:rPr>
        <w:t xml:space="preserve"> </w:t>
      </w:r>
      <w:r>
        <w:rPr>
          <w:i/>
          <w:iCs/>
        </w:rPr>
        <w:t xml:space="preserve">v.</w:t>
      </w:r>
      <w:r>
        <w:rPr>
          <w:i/>
          <w:iCs/>
        </w:rPr>
        <w:t xml:space="preserve"> </w:t>
      </w:r>
      <w:r>
        <w:rPr>
          <w:i/>
          <w:iCs/>
        </w:rPr>
        <w:t xml:space="preserve">Mosley</w:t>
      </w:r>
      <w:r>
        <w:t xml:space="preserve">,</w:t>
      </w:r>
      <w:r>
        <w:t xml:space="preserve"> </w:t>
      </w:r>
      <w:r>
        <w:t xml:space="preserve">408</w:t>
      </w:r>
      <w:r>
        <w:t xml:space="preserve"> </w:t>
      </w:r>
      <w:r>
        <w:t xml:space="preserve">U.S.</w:t>
      </w:r>
      <w:r>
        <w:t xml:space="preserve"> </w:t>
      </w:r>
      <w:r>
        <w:t xml:space="preserve">92</w:t>
      </w:r>
      <w:r>
        <w:t xml:space="preserve"> </w:t>
      </w:r>
      <w:r>
        <w:t xml:space="preserve">(1972)</w:t>
      </w:r>
      <w:r>
        <w:t xml:space="preserve">   </w:t>
      </w:r>
      <w:r>
        <w:tab/>
      </w:r>
      <w:r>
        <w:t xml:space="preserve">20</w:t>
      </w:r>
    </w:p>
    <w:p>
      <w:pPr>
        <w:keepLines/>
        <w:tabs>
          <w:tab w:val="right" w:leader="dot" w:pos="9360"/>
        </w:tabs>
        <w:spacing w:before="144" w:after="0" w:line="276" w:lineRule="exact"/>
        <w:ind w:left="720" w:right="2400" w:hanging="720"/>
      </w:pPr>
      <w:r>
        <w:rPr>
          <w:i/>
          <w:iCs/>
        </w:rPr>
        <w:t xml:space="preserve">Reed</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Gilbert</w:t>
      </w:r>
      <w:r>
        <w:t xml:space="preserve">,</w:t>
      </w:r>
      <w:r>
        <w:t xml:space="preserve"> </w:t>
      </w:r>
      <w:r>
        <w:t xml:space="preserve">576</w:t>
      </w:r>
      <w:r>
        <w:t xml:space="preserve"> </w:t>
      </w:r>
      <w:r>
        <w:t xml:space="preserve">U.S.</w:t>
      </w:r>
      <w:r>
        <w:t xml:space="preserve"> </w:t>
      </w:r>
      <w:r>
        <w:t xml:space="preserve">155</w:t>
      </w:r>
      <w:r>
        <w:t xml:space="preserve"> </w:t>
      </w:r>
      <w:r>
        <w:t xml:space="preserve">(2015)</w:t>
      </w:r>
      <w:r>
        <w:t xml:space="preserve">   </w:t>
      </w:r>
      <w:r>
        <w:tab/>
      </w:r>
      <w:r>
        <w:t xml:space="preserve">20, 21</w:t>
      </w:r>
    </w:p>
    <w:p>
      <w:pPr>
        <w:keepLines/>
        <w:tabs>
          <w:tab w:val="right" w:leader="dot" w:pos="9360"/>
        </w:tabs>
        <w:spacing w:before="144" w:after="0" w:line="276" w:lineRule="exact"/>
        <w:ind w:left="720" w:right="2400" w:hanging="720"/>
      </w:pPr>
      <w:r>
        <w:rPr>
          <w:i/>
          <w:iCs/>
        </w:rPr>
        <w:t xml:space="preserve">Se.</w:t>
      </w:r>
      <w:r>
        <w:rPr>
          <w:i/>
          <w:iCs/>
        </w:rPr>
        <w:t xml:space="preserve"> </w:t>
      </w:r>
      <w:r>
        <w:rPr>
          <w:i/>
          <w:iCs/>
        </w:rPr>
        <w:t xml:space="preserve">Promotions,</w:t>
      </w:r>
      <w:r>
        <w:rPr>
          <w:i/>
          <w:iCs/>
        </w:rPr>
        <w:t xml:space="preserve"> </w:t>
      </w:r>
      <w:r>
        <w:rPr>
          <w:i/>
          <w:iCs/>
        </w:rPr>
        <w:t xml:space="preserve">Ltd.</w:t>
      </w:r>
      <w:r>
        <w:rPr>
          <w:i/>
          <w:iCs/>
        </w:rPr>
        <w:t xml:space="preserve"> </w:t>
      </w:r>
      <w:r>
        <w:rPr>
          <w:i/>
          <w:iCs/>
        </w:rPr>
        <w:t xml:space="preserve">v.</w:t>
      </w:r>
      <w:r>
        <w:rPr>
          <w:i/>
          <w:iCs/>
        </w:rPr>
        <w:t xml:space="preserve"> </w:t>
      </w:r>
      <w:r>
        <w:rPr>
          <w:i/>
          <w:iCs/>
        </w:rPr>
        <w:t xml:space="preserve">Conrad</w:t>
      </w:r>
      <w:r>
        <w:t xml:space="preserve">,</w:t>
      </w:r>
      <w:r>
        <w:t xml:space="preserve"> </w:t>
      </w:r>
      <w:r>
        <w:t xml:space="preserve">420</w:t>
      </w:r>
      <w:r>
        <w:t xml:space="preserve"> </w:t>
      </w:r>
      <w:r>
        <w:t xml:space="preserve">U.S.</w:t>
      </w:r>
      <w:r>
        <w:t xml:space="preserve"> </w:t>
      </w:r>
      <w:r>
        <w:t xml:space="preserve">546</w:t>
      </w:r>
      <w:r>
        <w:t xml:space="preserve"> </w:t>
      </w:r>
      <w:r>
        <w:t xml:space="preserve">(1975)</w:t>
      </w:r>
      <w:r>
        <w:t xml:space="preserve">   </w:t>
      </w:r>
      <w:r>
        <w:tab/>
      </w:r>
      <w:r>
        <w:t xml:space="preserve">22</w:t>
      </w:r>
    </w:p>
    <w:p>
      <w:pPr>
        <w:keepLines/>
        <w:tabs>
          <w:tab w:val="right" w:leader="dot" w:pos="9360"/>
        </w:tabs>
        <w:spacing w:before="144" w:after="0" w:line="276" w:lineRule="exact"/>
        <w:ind w:left="720" w:right="2400" w:hanging="720"/>
      </w:pPr>
      <w:r>
        <w:rPr>
          <w:i/>
          <w:iCs/>
        </w:rPr>
        <w:t xml:space="preserve">Shackelford</w:t>
      </w:r>
      <w:r>
        <w:t xml:space="preserve">,</w:t>
      </w:r>
      <w:r>
        <w:t xml:space="preserve"> </w:t>
      </w:r>
      <w:r>
        <w:t xml:space="preserve">264</w:t>
      </w:r>
      <w:r>
        <w:t xml:space="preserve"> </w:t>
      </w:r>
      <w:r>
        <w:t xml:space="preserve">N.C.</w:t>
      </w:r>
      <w:r>
        <w:t xml:space="preserve"> </w:t>
      </w:r>
      <w:r>
        <w:t xml:space="preserve">App.</w:t>
      </w:r>
      <w:r>
        <w:t xml:space="preserve"> </w:t>
      </w:r>
      <w:r>
        <w:t xml:space="preserve">542</w:t>
      </w:r>
      <w:r>
        <w:t xml:space="preserve"> </w:t>
      </w:r>
      <w:r>
        <w:t xml:space="preserve">(2019)</w:t>
      </w:r>
      <w:r>
        <w:t xml:space="preserve">   </w:t>
      </w:r>
      <w:r>
        <w:tab/>
      </w:r>
      <w:r>
        <w:t xml:space="preserve">15, 16, 17, 19, 20, 21</w:t>
      </w:r>
    </w:p>
    <w:p>
      <w:pPr>
        <w:keepLines/>
        <w:tabs>
          <w:tab w:val="right" w:leader="dot" w:pos="9360"/>
        </w:tabs>
        <w:spacing w:before="144" w:after="0" w:line="276" w:lineRule="exact"/>
        <w:ind w:left="720" w:right="2400" w:hanging="720"/>
      </w:pPr>
      <w:r>
        <w:rPr>
          <w:i/>
          <w:iCs/>
        </w:rPr>
        <w:t xml:space="preserve">Snyder</w:t>
      </w:r>
      <w:r>
        <w:rPr>
          <w:i/>
          <w:iCs/>
        </w:rPr>
        <w:t xml:space="preserve"> </w:t>
      </w:r>
      <w:r>
        <w:rPr>
          <w:i/>
          <w:iCs/>
        </w:rPr>
        <w:t xml:space="preserve">v.</w:t>
      </w:r>
      <w:r>
        <w:rPr>
          <w:i/>
          <w:iCs/>
        </w:rPr>
        <w:t xml:space="preserve"> </w:t>
      </w:r>
      <w:r>
        <w:rPr>
          <w:i/>
          <w:iCs/>
        </w:rPr>
        <w:t xml:space="preserve">Phelps</w:t>
      </w:r>
      <w:r>
        <w:t xml:space="preserve">,</w:t>
      </w:r>
      <w:r>
        <w:t xml:space="preserve"> </w:t>
      </w:r>
      <w:r>
        <w:t xml:space="preserve">562</w:t>
      </w:r>
      <w:r>
        <w:t xml:space="preserve"> </w:t>
      </w:r>
      <w:r>
        <w:t xml:space="preserve">U.S.</w:t>
      </w:r>
      <w:r>
        <w:t xml:space="preserve"> </w:t>
      </w:r>
      <w:r>
        <w:t xml:space="preserve">443</w:t>
      </w:r>
      <w:r>
        <w:t xml:space="preserve"> </w:t>
      </w:r>
      <w:r>
        <w:t xml:space="preserve">(2011)</w:t>
      </w:r>
      <w:r>
        <w:t xml:space="preserve">   </w:t>
      </w:r>
      <w:r>
        <w:tab/>
      </w:r>
      <w:r>
        <w:t xml:space="preserve">18</w:t>
      </w:r>
    </w:p>
    <w:p>
      <w:pPr>
        <w:keepLines/>
        <w:tabs>
          <w:tab w:val="right" w:leader="dot" w:pos="9360"/>
        </w:tabs>
        <w:spacing w:before="144" w:after="0" w:line="276" w:lineRule="exact"/>
        <w:ind w:left="720" w:right="2400" w:hanging="720"/>
      </w:pPr>
      <w:r>
        <w:rPr>
          <w:i/>
          <w:iCs/>
        </w:rPr>
        <w:t xml:space="preserve">State</w:t>
      </w:r>
      <w:r>
        <w:rPr>
          <w:i/>
          <w:iCs/>
        </w:rPr>
        <w:t xml:space="preserve"> </w:t>
      </w:r>
      <w:r>
        <w:rPr>
          <w:i/>
          <w:iCs/>
        </w:rPr>
        <w:t xml:space="preserve">v.</w:t>
      </w:r>
      <w:r>
        <w:rPr>
          <w:i/>
          <w:iCs/>
        </w:rPr>
        <w:t xml:space="preserve"> </w:t>
      </w:r>
      <w:r>
        <w:rPr>
          <w:i/>
          <w:iCs/>
        </w:rPr>
        <w:t xml:space="preserve">Bishop</w:t>
      </w:r>
      <w:r>
        <w:t xml:space="preserve">,</w:t>
      </w:r>
      <w:r>
        <w:t xml:space="preserve"> </w:t>
      </w:r>
      <w:r>
        <w:t xml:space="preserve">368</w:t>
      </w:r>
      <w:r>
        <w:t xml:space="preserve"> </w:t>
      </w:r>
      <w:r>
        <w:t xml:space="preserve">N.C.</w:t>
      </w:r>
      <w:r>
        <w:t xml:space="preserve"> </w:t>
      </w:r>
      <w:r>
        <w:t xml:space="preserve">869</w:t>
      </w:r>
      <w:r>
        <w:t xml:space="preserve"> </w:t>
      </w:r>
      <w:r>
        <w:t xml:space="preserve">(2016)</w:t>
      </w:r>
      <w:r>
        <w:t xml:space="preserve">   </w:t>
      </w:r>
      <w:r>
        <w:tab/>
      </w:r>
      <w:r>
        <w:t xml:space="preserve">19, 20, 21</w:t>
      </w:r>
    </w:p>
    <w:p>
      <w:pPr>
        <w:keepLines/>
        <w:tabs>
          <w:tab w:val="right" w:leader="dot" w:pos="9360"/>
        </w:tabs>
        <w:spacing w:before="144" w:after="0" w:line="276" w:lineRule="exact"/>
        <w:ind w:left="720" w:right="2400" w:hanging="720"/>
      </w:pPr>
      <w:r>
        <w:rPr>
          <w:i/>
          <w:iCs/>
        </w:rPr>
        <w:t xml:space="preserve">State</w:t>
      </w:r>
      <w:r>
        <w:rPr>
          <w:i/>
          <w:iCs/>
        </w:rPr>
        <w:t xml:space="preserve"> </w:t>
      </w:r>
      <w:r>
        <w:rPr>
          <w:i/>
          <w:iCs/>
        </w:rPr>
        <w:t xml:space="preserve">v.</w:t>
      </w:r>
      <w:r>
        <w:rPr>
          <w:i/>
          <w:iCs/>
        </w:rPr>
        <w:t xml:space="preserve"> </w:t>
      </w:r>
      <w:r>
        <w:rPr>
          <w:i/>
          <w:iCs/>
        </w:rPr>
        <w:t xml:space="preserve">Roberts</w:t>
      </w:r>
      <w:r>
        <w:t xml:space="preserve">,</w:t>
      </w:r>
      <w:r>
        <w:t xml:space="preserve"> </w:t>
      </w:r>
      <w:r>
        <w:t xml:space="preserve">237</w:t>
      </w:r>
      <w:r>
        <w:t xml:space="preserve"> </w:t>
      </w:r>
      <w:r>
        <w:t xml:space="preserve">N.C.</w:t>
      </w:r>
      <w:r>
        <w:t xml:space="preserve"> </w:t>
      </w:r>
      <w:r>
        <w:t xml:space="preserve">App.</w:t>
      </w:r>
      <w:r>
        <w:t xml:space="preserve"> </w:t>
      </w:r>
      <w:r>
        <w:t xml:space="preserve">551</w:t>
      </w:r>
      <w:r>
        <w:t xml:space="preserve"> </w:t>
      </w:r>
      <w:r>
        <w:t xml:space="preserve">(2014)</w:t>
      </w:r>
      <w:r>
        <w:t xml:space="preserve">   </w:t>
      </w:r>
      <w:r>
        <w:tab/>
      </w:r>
      <w:r>
        <w:t xml:space="preserve">15</w:t>
      </w:r>
    </w:p>
    <w:p>
      <w:pPr>
        <w:keepLines/>
        <w:tabs>
          <w:tab w:val="right" w:leader="dot" w:pos="9360"/>
        </w:tabs>
        <w:spacing w:before="144" w:after="0" w:line="276" w:lineRule="exact"/>
        <w:ind w:left="720" w:right="2400" w:hanging="720"/>
      </w:pPr>
      <w:r>
        <w:rPr>
          <w:i/>
          <w:iCs/>
        </w:rPr>
        <w:t xml:space="preserve">State</w:t>
      </w:r>
      <w:r>
        <w:rPr>
          <w:i/>
          <w:iCs/>
        </w:rPr>
        <w:t xml:space="preserve"> </w:t>
      </w:r>
      <w:r>
        <w:rPr>
          <w:i/>
          <w:iCs/>
        </w:rPr>
        <w:t xml:space="preserve">v.</w:t>
      </w:r>
      <w:r>
        <w:rPr>
          <w:i/>
          <w:iCs/>
        </w:rPr>
        <w:t xml:space="preserve"> </w:t>
      </w:r>
      <w:r>
        <w:rPr>
          <w:i/>
          <w:iCs/>
        </w:rPr>
        <w:t xml:space="preserve">Taylor</w:t>
      </w:r>
      <w:r>
        <w:t xml:space="preserve">,</w:t>
      </w:r>
      <w:r>
        <w:t xml:space="preserve"> </w:t>
      </w:r>
      <w:r>
        <w:t xml:space="preserve">379</w:t>
      </w:r>
      <w:r>
        <w:t xml:space="preserve"> </w:t>
      </w:r>
      <w:r>
        <w:t xml:space="preserve">N.C.</w:t>
      </w:r>
      <w:r>
        <w:t xml:space="preserve"> </w:t>
      </w:r>
      <w:r>
        <w:t xml:space="preserve">589</w:t>
      </w:r>
      <w:r>
        <w:t xml:space="preserve"> </w:t>
      </w:r>
      <w:r>
        <w:t xml:space="preserve">(2021)</w:t>
      </w:r>
      <w:r>
        <w:t xml:space="preserve">   </w:t>
      </w:r>
      <w:r>
        <w:tab/>
      </w:r>
      <w:r>
        <w:t xml:space="preserve">14</w:t>
      </w:r>
    </w:p>
    <w:p>
      <w:pPr>
        <w:keepLines/>
        <w:tabs>
          <w:tab w:val="right" w:leader="dot" w:pos="9360"/>
        </w:tabs>
        <w:spacing w:before="144" w:after="0" w:line="276" w:lineRule="exact"/>
        <w:ind w:left="720" w:right="2400" w:hanging="720"/>
      </w:pPr>
      <w:r>
        <w:rPr>
          <w:i/>
          <w:iCs/>
        </w:rPr>
        <w:t xml:space="preserve">State</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304</w:t>
      </w:r>
      <w:r>
        <w:t xml:space="preserve"> </w:t>
      </w:r>
      <w:r>
        <w:t xml:space="preserve">N.C.</w:t>
      </w:r>
      <w:r>
        <w:t xml:space="preserve"> </w:t>
      </w:r>
      <w:r>
        <w:t xml:space="preserve">394</w:t>
      </w:r>
      <w:r>
        <w:t xml:space="preserve"> </w:t>
      </w:r>
      <w:r>
        <w:t xml:space="preserve">(1981)</w:t>
      </w:r>
      <w:r>
        <w:t xml:space="preserve">   </w:t>
      </w:r>
      <w:r>
        <w:tab/>
      </w:r>
      <w:r>
        <w:t xml:space="preserve">22</w:t>
      </w:r>
    </w:p>
    <w:p>
      <w:pPr>
        <w:keepLines/>
        <w:tabs>
          <w:tab w:val="right" w:leader="dot" w:pos="9360"/>
        </w:tabs>
        <w:spacing w:before="144" w:after="0" w:line="276" w:lineRule="exact"/>
        <w:ind w:left="720" w:right="2400" w:hanging="720"/>
      </w:pPr>
      <w:r>
        <w:rPr>
          <w:i/>
          <w:iCs/>
        </w:rPr>
        <w:t xml:space="preserve">State</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362</w:t>
      </w:r>
      <w:r>
        <w:t xml:space="preserve"> </w:t>
      </w:r>
      <w:r>
        <w:t xml:space="preserve">N.C.</w:t>
      </w:r>
      <w:r>
        <w:t xml:space="preserve"> </w:t>
      </w:r>
      <w:r>
        <w:t xml:space="preserve">628</w:t>
      </w:r>
      <w:r>
        <w:t xml:space="preserve"> </w:t>
      </w:r>
      <w:r>
        <w:t xml:space="preserve">(2008)</w:t>
      </w:r>
      <w:r>
        <w:t xml:space="preserve">   </w:t>
      </w:r>
      <w:r>
        <w:tab/>
      </w:r>
      <w:r>
        <w:t xml:space="preserve">15</w:t>
      </w:r>
    </w:p>
    <w:p>
      <w:pPr>
        <w:keepLines/>
        <w:tabs>
          <w:tab w:val="right" w:leader="dot" w:pos="9360"/>
        </w:tabs>
        <w:spacing w:before="144" w:after="0" w:line="276" w:lineRule="exact"/>
        <w:ind w:left="720" w:right="2400" w:hanging="720"/>
      </w:pPr>
      <w:r>
        <w:rPr>
          <w:i/>
          <w:iCs/>
        </w:rPr>
        <w:t xml:space="preserve">Teague</w:t>
      </w:r>
      <w:r>
        <w:rPr>
          <w:i/>
          <w:iCs/>
        </w:rPr>
        <w:t xml:space="preserve"> </w:t>
      </w:r>
      <w:r>
        <w:rPr>
          <w:i/>
          <w:iCs/>
        </w:rPr>
        <w:t xml:space="preserve">v.</w:t>
      </w:r>
      <w:r>
        <w:rPr>
          <w:i/>
          <w:iCs/>
        </w:rPr>
        <w:t xml:space="preserve"> </w:t>
      </w:r>
      <w:r>
        <w:rPr>
          <w:i/>
          <w:iCs/>
        </w:rPr>
        <w:t xml:space="preserve">Meredith</w:t>
      </w:r>
      <w:r>
        <w:t xml:space="preserve">,</w:t>
      </w:r>
      <w:r>
        <w:t xml:space="preserve"> </w:t>
      </w:r>
      <w:r>
        <w:t xml:space="preserve">No.</w:t>
      </w:r>
      <w:r>
        <w:t xml:space="preserve"> </w:t>
      </w:r>
      <w:r>
        <w:t xml:space="preserve">5:10-CV</w:t>
        <w:noBreakHyphen/>
        <w:t xml:space="preserve">39-RLV,</w:t>
      </w:r>
      <w:r>
        <w:t xml:space="preserve"> </w:t>
      </w:r>
      <w:r>
        <w:t xml:space="preserve">2011</w:t>
      </w:r>
      <w:r>
        <w:t xml:space="preserve"> </w:t>
      </w:r>
      <w:r>
        <w:t xml:space="preserve">WL</w:t>
      </w:r>
      <w:r>
        <w:t xml:space="preserve"> </w:t>
      </w:r>
      <w:r>
        <w:t xml:space="preserve">2791253</w:t>
      </w:r>
      <w:r>
        <w:t xml:space="preserve"> </w:t>
      </w:r>
      <w:r>
        <w:t xml:space="preserve">(W.D.N.C.,</w:t>
      </w:r>
      <w:r>
        <w:t xml:space="preserve"> </w:t>
      </w:r>
      <w:r>
        <w:t xml:space="preserve">July</w:t>
      </w:r>
      <w:r>
        <w:t xml:space="preserve"> </w:t>
      </w:r>
      <w:r>
        <w:t xml:space="preserve">14,</w:t>
      </w:r>
      <w:r>
        <w:t xml:space="preserve"> </w:t>
      </w:r>
      <w:r>
        <w:t xml:space="preserve">2011)</w:t>
      </w:r>
      <w:r>
        <w:t xml:space="preserve">   </w:t>
      </w:r>
      <w:r>
        <w:tab/>
      </w:r>
      <w:r>
        <w:t xml:space="preserve">17</w:t>
      </w:r>
    </w:p>
    <w:p>
      <w:pPr>
        <w:keepLines/>
        <w:tabs>
          <w:tab w:val="right" w:leader="dot" w:pos="9360"/>
        </w:tabs>
        <w:spacing w:before="144" w:after="0" w:line="276" w:lineRule="exact"/>
        <w:ind w:left="720" w:right="240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Alvarez</w:t>
      </w:r>
      <w:r>
        <w:t xml:space="preserve">,</w:t>
      </w:r>
      <w:r>
        <w:t xml:space="preserve"> </w:t>
      </w:r>
      <w:r>
        <w:t xml:space="preserve">567</w:t>
      </w:r>
      <w:r>
        <w:t xml:space="preserve"> </w:t>
      </w:r>
      <w:r>
        <w:t xml:space="preserve">U.S.</w:t>
      </w:r>
      <w:r>
        <w:t xml:space="preserve"> </w:t>
      </w:r>
      <w:r>
        <w:t xml:space="preserve">709</w:t>
      </w:r>
      <w:r>
        <w:t xml:space="preserve"> </w:t>
      </w:r>
      <w:r>
        <w:t xml:space="preserve">(2012)</w:t>
      </w:r>
      <w:r>
        <w:t xml:space="preserve">   </w:t>
      </w:r>
      <w:r>
        <w:tab/>
      </w:r>
      <w:r>
        <w:t xml:space="preserve">18</w:t>
      </w:r>
    </w:p>
    <w:p>
      <w:pPr>
        <w:keepLines/>
        <w:tabs>
          <w:tab w:val="right" w:leader="dot" w:pos="9360"/>
        </w:tabs>
        <w:spacing w:before="144" w:after="0" w:line="276" w:lineRule="exact"/>
        <w:ind w:left="720" w:right="2400" w:hanging="720"/>
      </w:pPr>
      <w:r>
        <w:rPr>
          <w:i/>
          <w:iCs/>
        </w:rPr>
        <w:t xml:space="preserve">Weller</w:t>
      </w:r>
      <w:r>
        <w:rPr>
          <w:i/>
          <w:iCs/>
        </w:rPr>
        <w:t xml:space="preserve"> </w:t>
      </w:r>
      <w:r>
        <w:rPr>
          <w:i/>
          <w:iCs/>
        </w:rPr>
        <w:t xml:space="preserve">v.</w:t>
      </w:r>
      <w:r>
        <w:rPr>
          <w:i/>
          <w:iCs/>
        </w:rPr>
        <w:t xml:space="preserve"> </w:t>
      </w:r>
      <w:r>
        <w:rPr>
          <w:i/>
          <w:iCs/>
        </w:rPr>
        <w:t xml:space="preserve">Jackson</w:t>
      </w:r>
      <w:r>
        <w:t xml:space="preserve">,</w:t>
      </w:r>
      <w:r>
        <w:t xml:space="preserve"> </w:t>
      </w:r>
      <w:r>
        <w:t xml:space="preserve">279</w:t>
      </w:r>
      <w:r>
        <w:t xml:space="preserve"> </w:t>
      </w:r>
      <w:r>
        <w:t xml:space="preserve">N.C.</w:t>
      </w:r>
      <w:r>
        <w:t xml:space="preserve"> </w:t>
      </w:r>
      <w:r>
        <w:t xml:space="preserve">App.</w:t>
      </w:r>
      <w:r>
        <w:t xml:space="preserve"> </w:t>
      </w:r>
      <w:r>
        <w:t xml:space="preserve">260</w:t>
      </w:r>
      <w:r>
        <w:t xml:space="preserve"> </w:t>
      </w:r>
      <w:r>
        <w:t xml:space="preserve">(2021)</w:t>
      </w:r>
      <w:r>
        <w:t xml:space="preserve">   </w:t>
      </w:r>
      <w:r>
        <w:tab/>
      </w:r>
      <w:r>
        <w:t xml:space="preserve">16, 17</w:t>
      </w:r>
    </w:p>
    <w:p>
      <w:pPr>
        <w:keepLines/>
        <w:tabs>
          <w:tab w:val="right" w:leader="dot" w:pos="9360"/>
        </w:tabs>
        <w:spacing w:before="144" w:after="0" w:line="276" w:lineRule="exact"/>
        <w:ind w:left="720" w:right="2400" w:hanging="720"/>
      </w:pPr>
      <w:r>
        <w:rPr>
          <w:i/>
          <w:iCs/>
        </w:rPr>
        <w:t xml:space="preserve">Williams</w:t>
      </w:r>
      <w:r>
        <w:rPr>
          <w:i/>
          <w:iCs/>
        </w:rPr>
        <w:t xml:space="preserve"> </w:t>
      </w:r>
      <w:r>
        <w:rPr>
          <w:i/>
          <w:iCs/>
        </w:rPr>
        <w:t xml:space="preserve">v.</w:t>
      </w:r>
      <w:r>
        <w:rPr>
          <w:i/>
          <w:iCs/>
        </w:rPr>
        <w:t xml:space="preserve"> </w:t>
      </w:r>
      <w:r>
        <w:rPr>
          <w:i/>
          <w:iCs/>
        </w:rPr>
        <w:t xml:space="preserve">Vonderau</w:t>
      </w:r>
      <w:r>
        <w:t xml:space="preserve">,</w:t>
      </w:r>
      <w:r>
        <w:t xml:space="preserve"> </w:t>
      </w:r>
      <w:r>
        <w:t xml:space="preserve">362</w:t>
      </w:r>
      <w:r>
        <w:t xml:space="preserve"> </w:t>
      </w:r>
      <w:r>
        <w:t xml:space="preserve">N.C.</w:t>
      </w:r>
      <w:r>
        <w:t xml:space="preserve"> </w:t>
      </w:r>
      <w:r>
        <w:t xml:space="preserve">76</w:t>
      </w:r>
      <w:r>
        <w:t xml:space="preserve"> </w:t>
      </w:r>
      <w:r>
        <w:t xml:space="preserve">(2007)</w:t>
      </w:r>
      <w:r>
        <w:t xml:space="preserve">   </w:t>
      </w:r>
      <w:r>
        <w:tab/>
      </w:r>
      <w:r>
        <w:t xml:space="preserve">6</w:t>
      </w:r>
    </w:p>
    <w:p>
      <w:pPr>
        <w:keepNext/>
        <w:keepLines/>
        <w:spacing w:before="288" w:after="96" w:line="276" w:lineRule="exact"/>
        <w:ind w:left="0" w:firstLine="0"/>
        <w:jc w:val="left"/>
      </w:pPr>
      <w:r>
        <w:rPr>
          <w:b/>
          <w:bCs/>
        </w:rPr>
        <w:t xml:space="preserve">Statutes</w:t>
      </w:r>
    </w:p>
    <w:p>
      <w:pPr>
        <w:keepLines/>
        <w:tabs>
          <w:tab w:val="right" w:leader="dot" w:pos="9360"/>
        </w:tabs>
        <w:spacing w:before="144" w:after="0" w:line="276" w:lineRule="exact"/>
        <w:ind w:left="720" w:right="3000" w:hanging="720"/>
      </w:pPr>
      <w:r>
        <w:t xml:space="preserve">N.C.</w:t>
      </w:r>
      <w:r>
        <w:t xml:space="preserve"> </w:t>
      </w:r>
      <w:r>
        <w:t xml:space="preserve">Gen.</w:t>
      </w:r>
      <w:r>
        <w:t xml:space="preserve"> </w:t>
      </w:r>
      <w:r>
        <w:t xml:space="preserve">Stat.</w:t>
      </w:r>
      <w:r>
        <w:t xml:space="preserve"> </w:t>
      </w:r>
      <w:r>
        <w:t xml:space="preserve">§</w:t>
      </w:r>
      <w:r>
        <w:t xml:space="preserve"> </w:t>
      </w:r>
      <w:r>
        <w:t xml:space="preserve">14</w:t>
        <w:noBreakHyphen/>
        <w:t xml:space="preserve">277.3A</w:t>
      </w:r>
      <w:r>
        <w:t xml:space="preserve">   </w:t>
      </w:r>
      <w:r>
        <w:tab/>
      </w:r>
      <w:r>
        <w:t xml:space="preserve">4, 14, 15, 16, 17, 18, 19, 20, 21</w:t>
      </w:r>
    </w:p>
    <w:p>
      <w:pPr>
        <w:keepLines/>
        <w:tabs>
          <w:tab w:val="right" w:leader="dot" w:pos="9360"/>
        </w:tabs>
        <w:spacing w:before="144" w:after="0" w:line="276" w:lineRule="exact"/>
        <w:ind w:left="720" w:right="4200" w:hanging="720"/>
      </w:pPr>
      <w:r>
        <w:t xml:space="preserve">N.C.</w:t>
      </w:r>
      <w:r>
        <w:t xml:space="preserve"> </w:t>
      </w:r>
      <w:r>
        <w:t xml:space="preserve">Gen.</w:t>
      </w:r>
      <w:r>
        <w:t xml:space="preserve"> </w:t>
      </w:r>
      <w:r>
        <w:t xml:space="preserve">Stat.</w:t>
      </w:r>
      <w:r>
        <w:t xml:space="preserve"> </w:t>
      </w:r>
      <w:r>
        <w:t xml:space="preserve">§</w:t>
      </w:r>
      <w:r>
        <w:t xml:space="preserve"> </w:t>
      </w:r>
      <w:r>
        <w:t xml:space="preserve">50C</w:t>
      </w:r>
      <w:r>
        <w:t xml:space="preserve">   </w:t>
      </w:r>
      <w:r>
        <w:tab/>
      </w:r>
      <w:r>
        <w:t xml:space="preserve">4, 5, 8, 11, 12, 14, 15, 16, 17, 18, 20, 22, 23</w:t>
      </w:r>
    </w:p>
    <w:p>
      <w:pPr>
        <w:keepLines/>
        <w:tabs>
          <w:tab w:val="right" w:leader="dot" w:pos="9360"/>
        </w:tabs>
        <w:spacing w:before="144" w:after="0" w:line="276" w:lineRule="exact"/>
        <w:ind w:left="720" w:right="2400" w:hanging="720"/>
      </w:pPr>
      <w:r>
        <w:t xml:space="preserve">N.C.</w:t>
      </w:r>
      <w:r>
        <w:t xml:space="preserve"> </w:t>
      </w:r>
      <w:r>
        <w:t xml:space="preserve">Gen.</w:t>
      </w:r>
      <w:r>
        <w:t xml:space="preserve"> </w:t>
      </w:r>
      <w:r>
        <w:t xml:space="preserve">Stat.</w:t>
      </w:r>
      <w:r>
        <w:t xml:space="preserve"> </w:t>
      </w:r>
      <w:r>
        <w:t xml:space="preserve">§</w:t>
      </w:r>
      <w:r>
        <w:t xml:space="preserve"> </w:t>
      </w:r>
      <w:r>
        <w:t xml:space="preserve">7A</w:t>
        <w:noBreakHyphen/>
        <w:t xml:space="preserve">27(b)⁠(2)</w:t>
      </w:r>
      <w:r>
        <w:t xml:space="preserve">   </w:t>
      </w:r>
      <w:r>
        <w:tab/>
      </w:r>
      <w:r>
        <w:t xml:space="preserve">6</w:t>
      </w:r>
    </w:p>
    <w:p>
      <w:pPr>
        <w:keepNext/>
        <w:keepLines/>
        <w:spacing w:before="288" w:after="96"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44" w:after="0" w:line="276" w:lineRule="exact"/>
        <w:ind w:left="720" w:right="2400" w:hanging="720"/>
      </w:pPr>
      <w:r>
        <w:t xml:space="preserve">Eugene</w:t>
      </w:r>
      <w:r>
        <w:t xml:space="preserve"> </w:t>
      </w:r>
      <w:r>
        <w:t xml:space="preserve">Volokh,</w:t>
      </w:r>
      <w:r>
        <w:t xml:space="preserve"> </w:t>
      </w:r>
      <w:r>
        <w:rPr>
          <w:i/>
          <w:iCs/>
        </w:rPr>
        <w:t xml:space="preserve">Overbroad</w:t>
      </w:r>
      <w:r>
        <w:rPr>
          <w:i/>
          <w:iCs/>
        </w:rPr>
        <w:t xml:space="preserve"> </w:t>
      </w:r>
      <w:r>
        <w:rPr>
          <w:i/>
          <w:iCs/>
        </w:rPr>
        <w:t xml:space="preserve">Injunctions</w:t>
      </w:r>
      <w:r>
        <w:rPr>
          <w:i/>
          <w:iCs/>
        </w:rPr>
        <w:t xml:space="preserve"> </w:t>
      </w:r>
      <w:r>
        <w:rPr>
          <w:i/>
          <w:iCs/>
        </w:rPr>
        <w:t xml:space="preserve">Against</w:t>
      </w:r>
      <w:r>
        <w:rPr>
          <w:i/>
          <w:iCs/>
        </w:rPr>
        <w:t xml:space="preserve"> </w:t>
      </w:r>
      <w:r>
        <w:rPr>
          <w:i/>
          <w:iCs/>
        </w:rPr>
        <w:t xml:space="preserve">Speech</w:t>
      </w:r>
      <w:r>
        <w:rPr>
          <w:i/>
          <w:iCs/>
        </w:rPr>
        <w:t xml:space="preserve"> </w:t>
      </w:r>
      <w:r>
        <w:rPr>
          <w:i/>
          <w:iCs/>
        </w:rPr>
        <w:t xml:space="preserve">(Especially</w:t>
      </w:r>
      <w:r>
        <w:rPr>
          <w:i/>
          <w:iCs/>
        </w:rPr>
        <w:t xml:space="preserve"> </w:t>
      </w:r>
      <w:r>
        <w:rPr>
          <w:i/>
          <w:iCs/>
        </w:rPr>
        <w:t xml:space="preserve">in</w:t>
      </w:r>
      <w:r>
        <w:rPr>
          <w:i/>
          <w:iCs/>
        </w:rPr>
        <w:t xml:space="preserve"> </w:t>
      </w:r>
      <w:r>
        <w:rPr>
          <w:i/>
          <w:iCs/>
        </w:rPr>
        <w:t xml:space="preserve">Libel</w:t>
      </w:r>
      <w:r>
        <w:rPr>
          <w:i/>
          <w:iCs/>
        </w:rPr>
        <w:t xml:space="preserve"> </w:t>
      </w:r>
      <w:r>
        <w:rPr>
          <w:i/>
          <w:iCs/>
        </w:rPr>
        <w:t xml:space="preserve">and</w:t>
      </w:r>
      <w:r>
        <w:rPr>
          <w:i/>
          <w:iCs/>
        </w:rPr>
        <w:t xml:space="preserve"> </w:t>
      </w:r>
      <w:r>
        <w:rPr>
          <w:i/>
          <w:iCs/>
        </w:rPr>
        <w:t xml:space="preserve">Harassment</w:t>
      </w:r>
      <w:r>
        <w:rPr>
          <w:i/>
          <w:iCs/>
        </w:rPr>
        <w:t xml:space="preserve"> </w:t>
      </w:r>
      <w:r>
        <w:rPr>
          <w:i/>
          <w:iCs/>
        </w:rPr>
        <w:t xml:space="preserve">Cases)</w:t>
      </w:r>
      <w:r>
        <w:t xml:space="preserve">,</w:t>
      </w:r>
      <w:r>
        <w:t xml:space="preserve"> </w:t>
      </w:r>
      <w:r>
        <w:t xml:space="preserve">45</w:t>
      </w:r>
      <w:r>
        <w:t xml:space="preserve"> </w:t>
      </w:r>
      <w:r>
        <w:t xml:space="preserve">Harv.</w:t>
      </w:r>
      <w:r>
        <w:t xml:space="preserve"> </w:t>
      </w:r>
      <w:r>
        <w:t xml:space="preserve">J.L.</w:t>
      </w:r>
      <w:r>
        <w:t xml:space="preserve"> </w:t>
      </w:r>
      <w:r>
        <w:t xml:space="preserve">&amp;</w:t>
      </w:r>
      <w:r>
        <w:t xml:space="preserve"> </w:t>
      </w:r>
      <w:r>
        <w:t xml:space="preserve">Pub.</w:t>
      </w:r>
      <w:r>
        <w:t xml:space="preserve"> </w:t>
      </w:r>
      <w:r>
        <w:t xml:space="preserve">Pol’y</w:t>
      </w:r>
      <w:r>
        <w:t xml:space="preserve"> </w:t>
      </w:r>
      <w:r>
        <w:t xml:space="preserve">147</w:t>
      </w:r>
      <w:r>
        <w:t xml:space="preserve"> </w:t>
      </w:r>
      <w:r>
        <w:t xml:space="preserve">(2022)</w:t>
      </w:r>
      <w:r>
        <w:t xml:space="preserve">   </w:t>
      </w:r>
      <w:r>
        <w:tab/>
      </w:r>
      <w:r>
        <w:t xml:space="preserve">21</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ISSUES</w:t>
      </w:r>
      <w:r>
        <w:rPr>
          <w:b/>
          <w:bCs/>
        </w:rPr>
        <w:t xml:space="preserve"> </w:t>
      </w:r>
      <w:r>
        <w:rPr>
          <w:b/>
          <w:bCs/>
        </w:rPr>
        <w:t xml:space="preserve">PRESENTED</w:t>
      </w:r>
    </w:p>
    <w:p>
      <w:pPr>
        <w:pStyle w:val="XdList1"/>
      </w:pPr>
      <w:r>
        <w:t xml:space="preserve">1.</w:t>
      </w:r>
      <w:r>
        <w:tab/>
      </w:r>
      <w:r>
        <w:t xml:space="preserve">WAS THE CIVIL NO-CONTACT ORDER ENTERED AGAINST DEFENDANT-APPELLANT IN ACCORD WITH N.C. GEN. STAT. § 50C</w:t>
      </w:r>
      <w:r>
        <w:t xml:space="preserve"> </w:t>
      </w:r>
      <w:r>
        <w:t xml:space="preserve">AND SUPPORTED BY EVIDENCE IN THE RECORD?</w:t>
      </w:r>
    </w:p>
    <w:p>
      <w:pPr>
        <w:pStyle w:val="XdList1"/>
      </w:pPr>
      <w:r>
        <w:t xml:space="preserve">2.</w:t>
      </w:r>
      <w:r>
        <w:tab/>
      </w:r>
      <w:r>
        <w:t xml:space="preserve">DID THE DISTRICT COURT ERR IN CONCLUDING THAT DEFENDANT-APPELLANT STALKED OR HARASSED PLAINTIFF-APPELLEE WITHIN THE MEANING OF N. C. GEN. STAT. § 50C</w:t>
      </w:r>
      <w:r>
        <w:noBreakHyphen/>
      </w:r>
      <w:r>
        <w:t xml:space="preserve">1(6)</w:t>
      </w:r>
      <w:r>
        <w:t xml:space="preserve"> </w:t>
      </w:r>
      <w:r>
        <w:t xml:space="preserve">AND § 14</w:t>
      </w:r>
      <w:r>
        <w:noBreakHyphen/>
      </w:r>
      <w:r>
        <w:t xml:space="preserve">277.3A(B)⁠(2)?</w:t>
      </w:r>
    </w:p>
    <w:p>
      <w:pPr>
        <w:pStyle w:val="XdList1"/>
      </w:pPr>
      <w:r>
        <w:t xml:space="preserve">3.</w:t>
      </w:r>
      <w:r>
        <w:tab/>
      </w:r>
      <w:r>
        <w:t xml:space="preserve">DID THE DISTRICT COURT ERR IN ENTERING A NO-CONTACT ORDER THAT BARRED DEFENDANT-APPELLANT FROM MAKING ANY COMMENTS OR STATEMENTS ABOUT PLAINTIFF-APPELLEE WHERE THERE WAS NO EVIDENCE THAT DEFENDANT-APPELLANT EVER DIRECTED ANY WRITTEN OR OTHER COMMUNICATIONS AT PLAINTIFF-APPELLEE?</w:t>
      </w:r>
    </w:p>
    <w:p>
      <w:pPr>
        <w:pStyle w:val="XdList1"/>
      </w:pPr>
      <w:r>
        <w:t xml:space="preserve">4.</w:t>
      </w:r>
      <w:r>
        <w:tab/>
      </w:r>
      <w:r>
        <w:t xml:space="preserve">DID THE DISTRICT COURT ERR IN FAILING TO RECOGNIZE THAT DEFENDANT-APPELLANT’S SPEECH ABOUT PLAINTIFF-APPELLEE IS PROTECTED BY THE FIRST AMENDMENT TO THE UNITED STATES CONSTITUTION?</w:t>
      </w:r>
    </w:p>
    <w:p>
      <w:pPr>
        <w:pStyle w:val="XdList1"/>
      </w:pPr>
      <w:r>
        <w:t xml:space="preserve">5.</w:t>
      </w:r>
      <w:r>
        <w:tab/>
      </w:r>
      <w:r>
        <w:t xml:space="preserve">DOES THE DISTRICT COURT’S NO-CONTACT ORDER VIOLATE THE FIRST AMENDMENT TO THE UNITED STATES CONSTITUTION AS A CONTENT-BASED RESTRICTION OF SPEECH AND AN IMPERMISSIBLE PRIOR RESTRAINT?</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On 6 March 2025, Plaintiff-Appellee Beverly Coble filed a complaint pursuant to N.C. Gen. Stat. Chapter 50C</w:t>
      </w:r>
      <w:r>
        <w:t xml:space="preserve"> </w:t>
      </w:r>
      <w:r>
        <w:t xml:space="preserve">seeking a no-contact order prohibiting Defendant-Appellant William Clayton Ballentine from criticizing her online. (R p 6). All judges in the 37th District recused themselves from presiding over the matter, (Tp 11:17–18), likely because Coble and the Ballentine family are both active in Republican party politics in Randleman and Randolph County (see Tp 43:25–44:6, 59:21–24; Doc. Ex. 29 – 30). Judge O. Henry Willis, Jr. (ret.) was assigned to the case.</w:t>
      </w:r>
    </w:p>
    <w:p>
      <w:pPr>
        <w:pStyle w:val="BodyText"/>
      </w:pPr>
      <w:r>
        <w:t xml:space="preserve">Judge Willis held a hearing on 10 April 2025. (Tp 1). Coble and Ballentine both appeared pro se. (Tp 1). At the conclusion of the hearing, the Court verbally granted Coble’s request for a no-contact order. (Tp 86:3–10).</w:t>
      </w:r>
    </w:p>
    <w:p>
      <w:pPr>
        <w:pStyle w:val="BodyText"/>
      </w:pPr>
      <w:r>
        <w:t xml:space="preserve">On 21 April 2025, the District Court entered the no-contact order, requiring that Ballentine “not speak or otherwise publish Plaintiff’s name or make inferential references to Plaintiff in person, electronically, by phone, social media or any other publically [sic] available platform” and “not go within 50 yards of Plaintiff.” (R p 10–11) (capitalization removed). The Order’s terms are effective for one year from its date (R p 11), i.e., through 21 April 2026.</w:t>
      </w:r>
    </w:p>
    <w:p>
      <w:pPr>
        <w:pStyle w:val="BodyText"/>
      </w:pPr>
      <w:r>
        <w:t xml:space="preserve">On 19 May 2025, Ballentine noticed his appeal and served the notice on Coble, who had not yet retained counsel. (R p 13–14).</w:t>
      </w:r>
    </w:p>
    <w:p>
      <w:pPr>
        <w:pStyle w:val="BodyTextNote"/>
      </w:pPr>
      <w:r>
        <w:t xml:space="preserve">On 18 July 2025,</w:t>
      </w:r>
      <w:r>
        <w:t xml:space="preserve"> </w:t>
      </w:r>
      <w:r>
        <w:t xml:space="preserve">in response to a motion for contempt filed by Coble, Ballentine petitioned this Court for writ of supersedeas. See Pet. for Writ of Supersedeas and Appl. for Temp. Stay, Coble v. Ballentine, No. P25</w:t>
      </w:r>
      <w:r>
        <w:noBreakHyphen/>
      </w:r>
      <w:r>
        <w:t xml:space="preserve">502 (N.C. Ct. App., 18 July 2025).</w:t>
      </w:r>
      <w:r>
        <w:t xml:space="preserve"> </w:t>
      </w:r>
      <w:r>
        <w:t xml:space="preserve">On 28 July 2025,</w:t>
      </w:r>
      <w:r>
        <w:t xml:space="preserve"> </w:t>
      </w:r>
      <w:r>
        <w:t xml:space="preserve">a three-judge panel of this Court unanimously granted the petition, stating: “The 50C</w:t>
      </w:r>
      <w:r>
        <w:t xml:space="preserve"> </w:t>
      </w:r>
      <w:r>
        <w:t xml:space="preserve">No-Contact Order entered by Judge O. Henry Willis, Jr., on 21 April 2025 and all related proceedings, including any contempt proceedings, are hereby stayed pending disposition of petitioner’s appeal or until further order of this Court.” Order, Coble v. Ballentine, No. P25</w:t>
      </w:r>
      <w:r>
        <w:noBreakHyphen/>
      </w:r>
      <w:r>
        <w:t xml:space="preserve">502 (N.C. Ct. App., 28 July 2025).</w:t>
      </w:r>
      <w:r>
        <w:rPr>
          <w:rStyle w:val="FootnoteReference"/>
        </w:rPr>
        <w:footnoteReference w:id="9"/>
      </w:r>
    </w:p>
    <w:p>
      <w:pPr>
        <w:pStyle w:val="BodyText"/>
      </w:pPr>
      <w:r>
        <w:t xml:space="preserve">The record on appeal for this case was settled on 15 September 2025 and docketed in the Court of Appeals on 30 September 2025. (R p 25).</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GROUNDS</w:t>
      </w:r>
      <w:r>
        <w:rPr>
          <w:b/>
          <w:bCs/>
        </w:rPr>
        <w:t xml:space="preserve"> </w:t>
      </w:r>
      <w:r>
        <w:rPr>
          <w:b/>
          <w:bCs/>
        </w:rPr>
        <w:t xml:space="preserve">FOR</w:t>
      </w:r>
      <w:r>
        <w:rPr>
          <w:b/>
          <w:bCs/>
        </w:rPr>
        <w:t xml:space="preserve"> </w:t>
      </w:r>
      <w:r>
        <w:rPr>
          <w:b/>
          <w:bCs/>
        </w:rPr>
        <w:t xml:space="preserve">APPELLATE</w:t>
      </w:r>
      <w:r>
        <w:rPr>
          <w:b/>
          <w:bCs/>
        </w:rPr>
        <w:t xml:space="preserve"> </w:t>
      </w:r>
      <w:r>
        <w:rPr>
          <w:b/>
          <w:bCs/>
        </w:rPr>
        <w:t xml:space="preserve">REVIEW</w:t>
      </w:r>
    </w:p>
    <w:p>
      <w:pPr>
        <w:pStyle w:val="BodyText"/>
      </w:pPr>
      <w:r>
        <w:t xml:space="preserve">The District Court’s entry of the 21 April 2025 no-contact order against Defendant-Appellant is a final judgment, and thus an appeal lies in this Court pursuant to N.C. Gen. Stat. § 7A</w:t>
      </w:r>
      <w:r>
        <w:noBreakHyphen/>
      </w:r>
      <w:r>
        <w:t xml:space="preserve">27(b)⁠(2).</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This case involves a civil no-contact order premised solely on social media and website posts about former mayoral candidate Beverly Coble — prohibiting Defendant-Appellant William Clayton Ballentine from “speak[ing] or otherwise publish[ing] [her] name or mak[ing] inferential references to [her] in person, electronically, by phone, social media or any other publically [sic] available platform.” (R p 12) (capitalization removed).</w:t>
      </w:r>
    </w:p>
    <w:p>
      <w:pPr>
        <w:keepNext/>
        <w:keepLines/>
        <w:spacing w:before="288" w:after="192" w:line="276" w:lineRule="exact"/>
        <w:ind w:left="720" w:hanging="720"/>
        <w:jc w:val="left"/>
      </w:pPr>
      <w:r>
        <w:rPr>
          <w:b/>
          <w:bCs/>
        </w:rPr>
        <w:t xml:space="preserve">I.</w:t>
      </w:r>
      <w:r>
        <w:rPr>
          <w:b/>
          <w:bCs/>
        </w:rPr>
        <w:t xml:space="preserve"> </w:t>
      </w:r>
      <w:r>
        <w:rPr>
          <w:b/>
          <w:bCs/>
        </w:rPr>
        <w:t xml:space="preserve">Relationship</w:t>
      </w:r>
      <w:r>
        <w:rPr>
          <w:b/>
          <w:bCs/>
        </w:rPr>
        <w:t xml:space="preserve"> </w:t>
      </w:r>
      <w:r>
        <w:rPr>
          <w:b/>
          <w:bCs/>
        </w:rPr>
        <w:t xml:space="preserve">Between</w:t>
      </w:r>
      <w:r>
        <w:rPr>
          <w:b/>
          <w:bCs/>
        </w:rPr>
        <w:t xml:space="preserve"> </w:t>
      </w:r>
      <w:r>
        <w:rPr>
          <w:b/>
          <w:bCs/>
        </w:rPr>
        <w:t xml:space="preserve">Ballentine</w:t>
      </w:r>
      <w:r>
        <w:rPr>
          <w:b/>
          <w:bCs/>
        </w:rPr>
        <w:t xml:space="preserve"> </w:t>
      </w:r>
      <w:r>
        <w:rPr>
          <w:b/>
          <w:bCs/>
        </w:rPr>
        <w:t xml:space="preserve">and</w:t>
      </w:r>
      <w:r>
        <w:rPr>
          <w:b/>
          <w:bCs/>
        </w:rPr>
        <w:t xml:space="preserve"> </w:t>
      </w:r>
      <w:r>
        <w:rPr>
          <w:b/>
          <w:bCs/>
        </w:rPr>
        <w:t xml:space="preserve">Coble</w:t>
      </w:r>
    </w:p>
    <w:p>
      <w:pPr>
        <w:pStyle w:val="BodyText"/>
      </w:pPr>
      <w:r>
        <w:t xml:space="preserve">Ballentine and Coble are both residents of Randleman in Randolph County, North Carolina. (Tp 47:22–23, 51:24–25). They have known each other for many years, and for a time (approximately 2017–2022), Coble became involved with and was a friend of Ballentine’s family. (Tp 14:21–25). However, when Ballentine’s father passed away in 2022, his and his family’s relationship with Coble soured for several reasons. (R p 12; see Doc. Ex. 31–32). Ballentine has not contacted her since March 2022. (Tp 34:17–35:20).</w:t>
      </w:r>
    </w:p>
    <w:p>
      <w:pPr>
        <w:pStyle w:val="BodyText"/>
      </w:pPr>
      <w:r>
        <w:t xml:space="preserve">Ballentine and Coble are also both actively involved in the Republican Party in Randolph County. But Republican Party politics in Randolph County are not monolithic. Coble and the Ballentine family have supported opposing Republican candidates for office over the years, including a particularly hard-fought sheriff’s election in which Coble served as one candidate’s campaign treasurer. (See Tp 43:25–44:6, 59:21–24; Doc. Ex. 29–30). Ballentine and Coble both actively use the Internet and social media to advance their views on political issues, elections, and candidates. (See, e.g., Doc. Ex. 24, 26 (Coble Facebook posts saying others in the community urged her to run for mayor); Doc. Ex. 18–19, 23 (Ballentine’s Facebook posts about Coble’s candidacy for mayor)).</w:t>
      </w:r>
    </w:p>
    <w:p>
      <w:pPr>
        <w:keepNext/>
        <w:keepLines/>
        <w:spacing w:before="288" w:after="192" w:line="276" w:lineRule="exact"/>
        <w:ind w:left="720" w:hanging="720"/>
        <w:jc w:val="left"/>
      </w:pPr>
      <w:r>
        <w:rPr>
          <w:b/>
          <w:bCs/>
        </w:rPr>
        <w:t xml:space="preserve">II.</w:t>
      </w:r>
      <w:r>
        <w:rPr>
          <w:b/>
          <w:bCs/>
        </w:rPr>
        <w:t xml:space="preserve"> </w:t>
      </w:r>
      <w:r>
        <w:rPr>
          <w:b/>
          <w:bCs/>
        </w:rPr>
        <w:t xml:space="preserve">Coble’s</w:t>
      </w:r>
      <w:r>
        <w:rPr>
          <w:b/>
          <w:bCs/>
        </w:rPr>
        <w:t xml:space="preserve"> </w:t>
      </w:r>
      <w:r>
        <w:rPr>
          <w:b/>
          <w:bCs/>
        </w:rPr>
        <w:t xml:space="preserve">Candidacy</w:t>
      </w:r>
      <w:r>
        <w:rPr>
          <w:b/>
          <w:bCs/>
        </w:rPr>
        <w:t xml:space="preserve"> </w:t>
      </w:r>
      <w:r>
        <w:rPr>
          <w:b/>
          <w:bCs/>
        </w:rPr>
        <w:t xml:space="preserve">for</w:t>
      </w:r>
      <w:r>
        <w:rPr>
          <w:b/>
          <w:bCs/>
        </w:rPr>
        <w:t xml:space="preserve"> </w:t>
      </w:r>
      <w:r>
        <w:rPr>
          <w:b/>
          <w:bCs/>
        </w:rPr>
        <w:t xml:space="preserve">Mayor</w:t>
      </w:r>
      <w:r>
        <w:rPr>
          <w:b/>
          <w:bCs/>
        </w:rPr>
        <w:t xml:space="preserve"> </w:t>
      </w:r>
      <w:r>
        <w:rPr>
          <w:b/>
          <w:bCs/>
        </w:rPr>
        <w:t xml:space="preserve">and</w:t>
      </w:r>
      <w:r>
        <w:rPr>
          <w:b/>
          <w:bCs/>
        </w:rPr>
        <w:t xml:space="preserve"> </w:t>
      </w:r>
      <w:r>
        <w:rPr>
          <w:b/>
          <w:bCs/>
        </w:rPr>
        <w:t xml:space="preserve">Ballentine’s</w:t>
      </w:r>
      <w:r>
        <w:rPr>
          <w:b/>
          <w:bCs/>
        </w:rPr>
        <w:t xml:space="preserve"> </w:t>
      </w:r>
      <w:r>
        <w:rPr>
          <w:b/>
          <w:bCs/>
        </w:rPr>
        <w:t xml:space="preserve">Public</w:t>
      </w:r>
      <w:r>
        <w:rPr>
          <w:b/>
          <w:bCs/>
        </w:rPr>
        <w:t xml:space="preserve"> </w:t>
      </w:r>
      <w:r>
        <w:rPr>
          <w:b/>
          <w:bCs/>
        </w:rPr>
        <w:t xml:space="preserve">Criticism</w:t>
      </w:r>
    </w:p>
    <w:p>
      <w:pPr>
        <w:pStyle w:val="BodyText"/>
      </w:pPr>
      <w:r>
        <w:t xml:space="preserve">In March 2024, Coble announced via Facebook that she would run for Mayor of Randleman in the November 2025 election. (Tp 15:11–16). She confirmed her candidacy with social media comments like, “I’m looking forward to running for Mayor of this great town next year,” (Doc. Ex. 25), and “so many citizens in Randleman are asking me to run for Mayor” that “I plan to run.” (Doc. Ex. 24). In her online posts through the end of 2024, Coble continued to say she would be a mayoral candidate. (See, e.g., Doc. Ex. 25–26).</w:t>
      </w:r>
    </w:p>
    <w:p>
      <w:pPr>
        <w:pStyle w:val="BodyTextNote"/>
      </w:pPr>
      <w:r>
        <w:t xml:space="preserve">On 19 December 2024, Ballentine created a Facebook page titled “Anybody But Coble.” (Tp 14:4–6, 24:4–13). He also created a website, www.AnybodyButCoble.org. (Tp 85:4–5).</w:t>
      </w:r>
      <w:r>
        <w:rPr>
          <w:rStyle w:val="FootnoteReference"/>
        </w:rPr>
        <w:footnoteReference w:id="10"/>
      </w:r>
      <w:r>
        <w:t xml:space="preserve"> </w:t>
      </w:r>
      <w:r>
        <w:t xml:space="preserve">On these platforms, Ballentine published articles and opinions opposing Coble’s candidacy. (Tp 85:7–8; see also, e.g., Doc. Ex. 2, 5, 7, 17–23). Ballentine’s posts on “Anybody But Coble” were about Coble, but none were directed at her. (See Doc. Ex. 2, 5, 7, 17–23). The articles and commentary on www.AnybodyButCoble.org, many styled as press releases, were directed to the public, i.e., the people in Randleman who would vote in and decide the upcoming race for mayor. (See, e.g., Doc. Ex. 5, 7, 17, 20–22).</w:t>
      </w:r>
    </w:p>
    <w:p>
      <w:pPr>
        <w:keepNext/>
        <w:keepLines/>
        <w:spacing w:before="288" w:after="192" w:line="276" w:lineRule="exact"/>
        <w:ind w:left="720" w:hanging="720"/>
        <w:jc w:val="left"/>
      </w:pPr>
      <w:r>
        <w:rPr>
          <w:b/>
          <w:bCs/>
        </w:rPr>
        <w:t xml:space="preserve">III.</w:t>
      </w:r>
      <w:r>
        <w:rPr>
          <w:b/>
          <w:bCs/>
        </w:rPr>
        <w:t xml:space="preserve"> </w:t>
      </w:r>
      <w:r>
        <w:rPr>
          <w:b/>
          <w:bCs/>
        </w:rPr>
        <w:t xml:space="preserve">Coble’s</w:t>
      </w:r>
      <w:r>
        <w:rPr>
          <w:b/>
          <w:bCs/>
        </w:rPr>
        <w:t xml:space="preserve"> </w:t>
      </w:r>
      <w:r>
        <w:rPr>
          <w:b/>
          <w:bCs/>
        </w:rPr>
        <w:t xml:space="preserve">First</w:t>
      </w:r>
      <w:r>
        <w:rPr>
          <w:b/>
          <w:bCs/>
        </w:rPr>
        <w:t xml:space="preserve"> </w:t>
      </w:r>
      <w:r>
        <w:rPr>
          <w:b/>
          <w:bCs/>
        </w:rPr>
        <w:t xml:space="preserve">Attempt</w:t>
      </w:r>
      <w:r>
        <w:rPr>
          <w:b/>
          <w:bCs/>
        </w:rPr>
        <w:t xml:space="preserve"> </w:t>
      </w:r>
      <w:r>
        <w:rPr>
          <w:b/>
          <w:bCs/>
        </w:rPr>
        <w:t xml:space="preserve">to</w:t>
      </w:r>
      <w:r>
        <w:rPr>
          <w:b/>
          <w:bCs/>
        </w:rPr>
        <w:t xml:space="preserve"> </w:t>
      </w:r>
      <w:r>
        <w:rPr>
          <w:b/>
          <w:bCs/>
        </w:rPr>
        <w:t xml:space="preserve">Silence</w:t>
      </w:r>
      <w:r>
        <w:rPr>
          <w:b/>
          <w:bCs/>
        </w:rPr>
        <w:t xml:space="preserve"> </w:t>
      </w:r>
      <w:r>
        <w:rPr>
          <w:b/>
          <w:bCs/>
        </w:rPr>
        <w:t xml:space="preserve">Ballentine</w:t>
      </w:r>
      <w:r>
        <w:rPr>
          <w:b/>
          <w:bCs/>
        </w:rPr>
        <w:t xml:space="preserve"> </w:t>
      </w:r>
      <w:r>
        <w:rPr>
          <w:b/>
          <w:bCs/>
        </w:rPr>
        <w:t xml:space="preserve">with</w:t>
      </w:r>
      <w:r>
        <w:rPr>
          <w:b/>
          <w:bCs/>
        </w:rPr>
        <w:t xml:space="preserve"> </w:t>
      </w:r>
      <w:r>
        <w:rPr>
          <w:b/>
          <w:bCs/>
        </w:rPr>
        <w:t xml:space="preserve">a</w:t>
      </w:r>
      <w:r>
        <w:rPr>
          <w:b/>
          <w:bCs/>
        </w:rPr>
        <w:t xml:space="preserve"> </w:t>
      </w:r>
      <w:r>
        <w:rPr>
          <w:b/>
          <w:bCs/>
        </w:rPr>
        <w:t xml:space="preserve">No-Contact</w:t>
      </w:r>
      <w:r>
        <w:rPr>
          <w:b/>
          <w:bCs/>
        </w:rPr>
        <w:t xml:space="preserve"> </w:t>
      </w:r>
      <w:r>
        <w:rPr>
          <w:b/>
          <w:bCs/>
        </w:rPr>
        <w:t xml:space="preserve">Order</w:t>
      </w:r>
    </w:p>
    <w:p>
      <w:pPr>
        <w:pStyle w:val="BodyText"/>
      </w:pPr>
      <w:r>
        <w:t xml:space="preserve">On 27 December 2024, Coble filed — or, more accurately, attempted to file — a complaint pursuant to N.C. Gen. Stat. § 50C</w:t>
      </w:r>
      <w:r>
        <w:t xml:space="preserve"> </w:t>
      </w:r>
      <w:r>
        <w:t xml:space="preserve">seeking a no-contact order against Ballentine on the basis that his publications were “trying to discredit” her. (Tp 36:3–5, 13–24). She voluntarily dismissed that complaint because she “didn’t have enough evidence to get [a no-contact order].” (Tp 41:6–7).</w:t>
      </w:r>
    </w:p>
    <w:p>
      <w:pPr>
        <w:pStyle w:val="BodyText"/>
      </w:pPr>
      <w:r>
        <w:t xml:space="preserve">Shortly after dismissing her first complaint against Ballentine, Coble stated online that she would not run for mayor. (See Doc. Ex. 19 (31 December 2024, “Anybody But Coble” post: “[A]fter repeatedly asserting her candidacy for mayor, [Coble] now denies running.”); see also Tp 70:10–25). However, the deadline for officially filing as a candidate was not until July 2025 (Doc. Ex. 8), and Coble had not provided clarity about her on-again, off-again ambitions. (See, e.g., Doc. Ex. 24). Ballentine doubted the sincerity of Coble’s purported withdrawal, and he did not take down “Anybody But Coble.” (See Tp 52:10–11, 71:1–4).</w:t>
      </w:r>
    </w:p>
    <w:p>
      <w:pPr>
        <w:keepNext/>
        <w:keepLines/>
        <w:spacing w:before="288" w:after="192" w:line="276" w:lineRule="exact"/>
        <w:ind w:left="720" w:hanging="720"/>
        <w:jc w:val="left"/>
      </w:pPr>
      <w:r>
        <w:rPr>
          <w:b/>
          <w:bCs/>
        </w:rPr>
        <w:t xml:space="preserve">IV.</w:t>
      </w:r>
      <w:r>
        <w:rPr>
          <w:b/>
          <w:bCs/>
        </w:rPr>
        <w:t xml:space="preserve"> </w:t>
      </w:r>
      <w:r>
        <w:rPr>
          <w:b/>
          <w:bCs/>
        </w:rPr>
        <w:t xml:space="preserve">Coble’s</w:t>
      </w:r>
      <w:r>
        <w:rPr>
          <w:b/>
          <w:bCs/>
        </w:rPr>
        <w:t xml:space="preserve"> </w:t>
      </w:r>
      <w:r>
        <w:rPr>
          <w:b/>
          <w:bCs/>
        </w:rPr>
        <w:t xml:space="preserve">Second</w:t>
      </w:r>
      <w:r>
        <w:rPr>
          <w:b/>
          <w:bCs/>
        </w:rPr>
        <w:t xml:space="preserve"> </w:t>
      </w:r>
      <w:r>
        <w:rPr>
          <w:b/>
          <w:bCs/>
        </w:rPr>
        <w:t xml:space="preserve">Complaint</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No-Contact</w:t>
      </w:r>
      <w:r>
        <w:rPr>
          <w:b/>
          <w:bCs/>
        </w:rPr>
        <w:t xml:space="preserve"> </w:t>
      </w:r>
      <w:r>
        <w:rPr>
          <w:b/>
          <w:bCs/>
        </w:rPr>
        <w:t xml:space="preserve">Order</w:t>
      </w:r>
    </w:p>
    <w:p>
      <w:pPr>
        <w:pStyle w:val="BodyText"/>
      </w:pPr>
      <w:r>
        <w:t xml:space="preserve">On 6 March 2025, Coble filed another complaint for a § 50C</w:t>
      </w:r>
      <w:r>
        <w:t xml:space="preserve"> </w:t>
      </w:r>
      <w:r>
        <w:t xml:space="preserve">no-contact order against Ballentine. (R p 6–8). The complaint form (AOC-CV</w:t>
      </w:r>
      <w:r>
        <w:noBreakHyphen/>
      </w:r>
      <w:r>
        <w:t xml:space="preserve">520) instructs a plaintiff claiming they are being stalked to provide evidence that:</w:t>
      </w:r>
    </w:p>
    <w:p>
      <w:pPr>
        <w:pStyle w:val="XdQuoteOnly"/>
      </w:pPr>
      <w:r>
        <w:t xml:space="preserve">The defendant has, on more than one occasion and without legal purpose, followed or otherwise tormented, terrorized, or terrified the plaintiff named above with the intent to place the plaintiff in reasonable fear for the plaintiff’s safety or the safety of the plaintiff’s immediate family or close personal associates or with the intent to cause, and which did cause, the plaintiff to suffer substantial emotional distress by placing the plaintiff in fear of death, bodily injury, or continued torment or terror[.]</w:t>
      </w:r>
    </w:p>
    <w:p>
      <w:pPr>
        <w:pStyle w:val="BodyText"/>
      </w:pPr>
      <w:r>
        <w:t xml:space="preserve">(R p 6). The form directs the plaintiff to “[g]ive specific dates and describe in detail what happened and how it placed the plaintiff in fear of safety or how it caused substantial emotional distress.” (R p 6). Coble’s allegations under this direction stated, in full, that:</w:t>
      </w:r>
    </w:p>
    <w:p>
      <w:pPr>
        <w:pStyle w:val="XdQuoteOnly"/>
      </w:pPr>
      <w:r>
        <w:t xml:space="preserve">Mr. Ballentine has continually harassed me on social media beginning in March 2022 thru [sic] present day. He has posted about me daily on FB social media, accussing [sic] me of committing a crime</w:t>
      </w:r>
      <w:r>
        <w:rPr>
          <w:rStyle w:val="FootnoteReference"/>
        </w:rPr>
        <w:footnoteReference w:id="11"/>
      </w:r>
      <w:r>
        <w:t xml:space="preserve"> </w:t>
      </w:r>
      <w:r>
        <w:t xml:space="preserve">and posting lies about me to the community, which is causing me to suffer loss of respect and has kept me from going out in public as much as I normally would because of all the questions [and] comments I am receiving. Mr. Ballentine owns a FB page called Anybody but Coble, claiming I am a political figure, which I am not. I stated last y[ea]r I was going to run for mayor in Randleman, changed my mind and have posted several times on FB that I am not running in any election. His hatred for me is going to cause me harm.</w:t>
      </w:r>
    </w:p>
    <w:p>
      <w:pPr>
        <w:pStyle w:val="BodyText"/>
      </w:pPr>
      <w:r>
        <w:t xml:space="preserve">(R p 6).</w:t>
      </w:r>
    </w:p>
    <w:p>
      <w:pPr>
        <w:keepNext/>
        <w:keepLines/>
        <w:spacing w:before="288" w:after="192" w:line="276" w:lineRule="exact"/>
        <w:ind w:left="720" w:hanging="720"/>
        <w:jc w:val="left"/>
      </w:pPr>
      <w:r>
        <w:rPr>
          <w:b/>
          <w:bCs/>
        </w:rPr>
        <w:t xml:space="preserve">V.</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Hearing</w:t>
      </w:r>
      <w:r>
        <w:rPr>
          <w:b/>
          <w:bCs/>
        </w:rPr>
        <w:t xml:space="preserve"> </w:t>
      </w:r>
      <w:r>
        <w:rPr>
          <w:b/>
          <w:bCs/>
        </w:rPr>
        <w:t xml:space="preserve">and</w:t>
      </w:r>
      <w:r>
        <w:rPr>
          <w:b/>
          <w:bCs/>
        </w:rPr>
        <w:t xml:space="preserve"> </w:t>
      </w:r>
      <w:r>
        <w:rPr>
          <w:b/>
          <w:bCs/>
        </w:rPr>
        <w:t xml:space="preserve">No-Contact</w:t>
      </w:r>
      <w:r>
        <w:rPr>
          <w:b/>
          <w:bCs/>
        </w:rPr>
        <w:t xml:space="preserve"> </w:t>
      </w:r>
      <w:r>
        <w:rPr>
          <w:b/>
          <w:bCs/>
        </w:rPr>
        <w:t xml:space="preserve">Order</w:t>
      </w:r>
    </w:p>
    <w:p>
      <w:pPr>
        <w:pStyle w:val="BodyText"/>
      </w:pPr>
      <w:r>
        <w:t xml:space="preserve">All the District Court judges in the 37th District recused themselves from presiding over this matter. (Tp 11:17–18). The Honorable O. Henry Willis Jr. (ret.) was assigned to the case as an out-of-county conflicts judge. (Tp 11:16–21). On 10 April 2025, Judge Willis held a hearing to determine whether Coble had proved her allegations and whether those allegations constituted grounds for a no-contact order as a matter of law. (Tp 11:16–21, 12:25–13:5). Both parties appeared pro se. (Tp 1).</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Coble’s</w:t>
      </w:r>
      <w:r>
        <w:rPr>
          <w:b/>
          <w:bCs/>
          <w:i/>
          <w:iCs/>
        </w:rPr>
        <w:t xml:space="preserve"> </w:t>
      </w:r>
      <w:r>
        <w:rPr>
          <w:b/>
          <w:bCs/>
          <w:i/>
          <w:iCs/>
        </w:rPr>
        <w:t xml:space="preserve">testimony</w:t>
      </w:r>
      <w:r>
        <w:rPr>
          <w:b/>
          <w:bCs/>
          <w:i/>
          <w:iCs/>
        </w:rPr>
        <w:t xml:space="preserve"> </w:t>
      </w:r>
      <w:r>
        <w:rPr>
          <w:b/>
          <w:bCs/>
          <w:i/>
          <w:iCs/>
        </w:rPr>
        <w:t xml:space="preserve">and</w:t>
      </w:r>
      <w:r>
        <w:rPr>
          <w:b/>
          <w:bCs/>
          <w:i/>
          <w:iCs/>
        </w:rPr>
        <w:t xml:space="preserve"> </w:t>
      </w:r>
      <w:r>
        <w:rPr>
          <w:b/>
          <w:bCs/>
          <w:i/>
          <w:iCs/>
        </w:rPr>
        <w:t xml:space="preserve">evidence</w:t>
      </w:r>
    </w:p>
    <w:p>
      <w:pPr>
        <w:pStyle w:val="BodyText"/>
      </w:pPr>
      <w:r>
        <w:t xml:space="preserve">On direct examination by the Court, Coble said she wanted “a permanent no-contact order” and “that page [“Anybody But Coble”] taken down.” (Tp 32:23–25). She characterized Ballentine’s public criticism as “lies [and] slander … trying to discredit [her] reputation.” (Tp 37:25–38:1). She asserted Ballentine’s posts “humiliated” her. (Tp 27:16, 33:16–18). At the same time, she acknowledged Ballentine’s “page has been about politics. It’s been to discredit me.” (Tp 36:18–19).</w:t>
      </w:r>
    </w:p>
    <w:p>
      <w:pPr>
        <w:pStyle w:val="BodyText"/>
      </w:pPr>
      <w:r>
        <w:t xml:space="preserve">Coble testified she was distressed by Ballentine’s online comments about her, asserting things such as: “I’ve been to the doctor. I’ve had to start a new medicine. I don’t go out in public by myself anymore in Randleman, because I’m in fear of Mr. Ballentine. I’ve had a lot of threats on a Facebook page that he’s also affiliated with. I won’t even go to the grocery store without my husband.” (Tp 28:14–19).</w:t>
      </w:r>
    </w:p>
    <w:p>
      <w:pPr>
        <w:pStyle w:val="BodyText"/>
      </w:pPr>
      <w:r>
        <w:t xml:space="preserve">However, Coble did not provide any competent evidence, or indeed any specifics, in support of her assertions. She gave no explanation why Ballentine’s criticisms of her as being unsuited for public office provided any basis for her supposed fear of going out in public. If Coble’s doctor had prescribed some new medicine, she never said what that was or how it had anything to do with her claims. She alluded to threats on some other Facebook page she contended Ballentine was “affiliated with” but never identified what the page was, much less what was posted, who posted, or why she viewed the unidentified posts as “threats.”</w:t>
      </w:r>
    </w:p>
    <w:p>
      <w:pPr>
        <w:pStyle w:val="BodyText"/>
      </w:pPr>
      <w:r>
        <w:t xml:space="preserve">At the same time, Coble conceded Ballentine had not contacted her or directed any communications at her since March 2022. (Tp 34:17–19). She did not say (nor could she) that Ballentine ever threatened her. (Tp 33:1–2 (“I have never, to this day, had an argument with Mr. Ballentine.”)). Nor did she claim Ballentine ever did anything even remotely akin to stalking. Coble called her husband as a witness, but he testified only that his wife’s “nerves were not good,” they didn’t go on some trips because she “didn’t feel good,” and that his wife said she’d been “verbally attacked” by some woman in Walmart for some unidentified reason. (Tp 49:1–5, 49:24–50:13). Mr. Coble conceded he had not seen anything in Ballentine’s postings that suggested Ballentine might confront his wife in person. (Tp 49:15–23).</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Court’s</w:t>
      </w:r>
      <w:r>
        <w:rPr>
          <w:b/>
          <w:bCs/>
          <w:i/>
          <w:iCs/>
        </w:rPr>
        <w:t xml:space="preserve"> </w:t>
      </w:r>
      <w:r>
        <w:rPr>
          <w:b/>
          <w:bCs/>
          <w:i/>
          <w:iCs/>
        </w:rPr>
        <w:t xml:space="preserve">examination</w:t>
      </w:r>
      <w:r>
        <w:rPr>
          <w:b/>
          <w:bCs/>
          <w:i/>
          <w:iCs/>
        </w:rPr>
        <w:t xml:space="preserve"> </w:t>
      </w:r>
      <w:r>
        <w:rPr>
          <w:b/>
          <w:bCs/>
          <w:i/>
          <w:iCs/>
        </w:rPr>
        <w:t xml:space="preserve">of</w:t>
      </w:r>
      <w:r>
        <w:rPr>
          <w:b/>
          <w:bCs/>
          <w:i/>
          <w:iCs/>
        </w:rPr>
        <w:t xml:space="preserve"> </w:t>
      </w:r>
      <w:r>
        <w:rPr>
          <w:b/>
          <w:bCs/>
          <w:i/>
          <w:iCs/>
        </w:rPr>
        <w:t xml:space="preserve">Ballentine</w:t>
      </w:r>
    </w:p>
    <w:p>
      <w:pPr>
        <w:pStyle w:val="BodyTextNote"/>
      </w:pPr>
      <w:r>
        <w:t xml:space="preserve">After testimony from Ballentine and a brief cross-examination by Coble, the District Court examined Ballentine. The Court seemed especially interested in whether Coble qualified as a public figure under New York Times</w:t>
      </w:r>
      <w:r>
        <w:t xml:space="preserve"> </w:t>
      </w:r>
      <w:r>
        <w:t xml:space="preserve">Co. v. Sullivan, 376 U.S. 254 (1964), saying: “[G]ive me a date, time, and place that she spoke publicly as a public figure that you’re using as a shield for you to keep throwing this stuff at her.” (Tp 75:1–20). But Coble had not asserted a defamation claim,</w:t>
      </w:r>
      <w:r>
        <w:rPr>
          <w:rStyle w:val="FootnoteReference"/>
        </w:rPr>
        <w:footnoteReference w:id="12"/>
      </w:r>
      <w:r>
        <w:t xml:space="preserve"> </w:t>
      </w:r>
      <w:r>
        <w:t xml:space="preserve">and her request for a § 50C</w:t>
      </w:r>
      <w:r>
        <w:t xml:space="preserve"> </w:t>
      </w:r>
      <w:r>
        <w:t xml:space="preserve">no-contact order had nothing to do with whether she was or could be considered a “public figure.”</w:t>
      </w:r>
    </w:p>
    <w:p>
      <w:pPr>
        <w:pStyle w:val="BodyText"/>
      </w:pPr>
      <w:r>
        <w:t xml:space="preserve">The Court seemed to believe that critical comments made online by one person concerning another per se constitutes harassment and stalking under § 50C.</w:t>
      </w:r>
      <w:r>
        <w:t xml:space="preserve"> </w:t>
      </w:r>
      <w:r>
        <w:t xml:space="preserve">The Court asked, “by what means do you think you should be able to just say anything you want to about her on Facebook?” (Tp 76:6–7). Ballentine testified that his posts about Coble were all true, but the Court showed no interest and made no inquiry about the accuracy of Ballentine’s posts. (Tp 76:8–17). The Court seemed concerned that Ballentine styled some of his posts on “Anybody But Coble” as articles and press releases (Tp 82:10–83:4), but never explained how the form of the posts had anything to do with the elements to prove stalking or harassment under § 50C.</w:t>
      </w:r>
      <w:r>
        <w:t xml:space="preserve"> </w:t>
      </w:r>
      <w:r>
        <w:t xml:space="preserve">As noted, it was undisputed Ballentine had not approached Coble or directed any communication at her for over three years. (Tp 34:17–19).</w:t>
      </w:r>
    </w:p>
    <w:p>
      <w:pPr>
        <w:pStyle w:val="BodyText"/>
      </w:pPr>
      <w:r>
        <w:t xml:space="preserve">After the Court finished questioning Ballentine, it stated to Coble, “No argument necessary from you. No argument necessary.” (Tp 84:18–19).</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Court’s</w:t>
      </w:r>
      <w:r>
        <w:rPr>
          <w:b/>
          <w:bCs/>
          <w:i/>
          <w:iCs/>
        </w:rPr>
        <w:t xml:space="preserve"> </w:t>
      </w:r>
      <w:r>
        <w:rPr>
          <w:b/>
          <w:bCs/>
          <w:i/>
          <w:iCs/>
        </w:rPr>
        <w:t xml:space="preserve">findings</w:t>
      </w:r>
    </w:p>
    <w:p>
      <w:pPr>
        <w:pStyle w:val="BodyText"/>
      </w:pPr>
      <w:r>
        <w:t xml:space="preserve">At the conclusion of the 10 April 2025 hearing, the Court announced its findings and ruling. (Tp 84:21–85:23). It acknowledged Ballentine “had the absolute right to” begin “publishing articles and opinions in opposition to Ms. Coble’s candidacy” “as long as it was not malicious and untruthful,” citing New York Times</w:t>
      </w:r>
      <w:r>
        <w:t xml:space="preserve"> </w:t>
      </w:r>
      <w:r>
        <w:t xml:space="preserve">Co. v. Sullivan. (Tp 85:4–10). The Court did not explain why or how elements of defamation law pertained to a complaint for a civil no-contact order governed by § 50C,</w:t>
      </w:r>
      <w:r>
        <w:t xml:space="preserve"> </w:t>
      </w:r>
      <w:r>
        <w:t xml:space="preserve">particularly in a case where the plaintiff had not asserted any defamation claim.</w:t>
      </w:r>
    </w:p>
    <w:p>
      <w:pPr>
        <w:pStyle w:val="BodyText"/>
      </w:pPr>
      <w:r>
        <w:t xml:space="preserve">The Court stated that after Coble “withdrew her candidacy,” Ballentine:</w:t>
      </w:r>
    </w:p>
    <w:p>
      <w:pPr>
        <w:pStyle w:val="XdQuoteOnly"/>
      </w:pPr>
      <w:r>
        <w:t xml:space="preserve">has continued to attack [her] politically and personally even bringing up facts from years ago that have nothing to do with this, other than to cause the Court to have a strong inference that he still holds a personal grudge against her. That he has turned this grudge into an attack and has tried to hide behind New York Times</w:t>
      </w:r>
      <w:r>
        <w:t xml:space="preserve"> </w:t>
      </w:r>
      <w:r>
        <w:t xml:space="preserve">versus Sullivan and other cases.</w:t>
      </w:r>
    </w:p>
    <w:p>
      <w:pPr>
        <w:pStyle w:val="BodyText"/>
      </w:pPr>
      <w:r>
        <w:t xml:space="preserve">(Tp 85:12–23). The Court then stated it could not find that Coble was a “public figure” as a matter of law. (Tp 85:24–86:5).</w:t>
      </w:r>
    </w:p>
    <w:p>
      <w:pPr>
        <w:pStyle w:val="BodyText"/>
      </w:pPr>
      <w:r>
        <w:t xml:space="preserve">In the end, the Court concluded Ballentine’s public statements about Coble “do amount to unlawful conduct as contemplated under the provisions of G.S. § 50C</w:t>
      </w:r>
      <w:r>
        <w:t xml:space="preserve"> </w:t>
      </w:r>
      <w:r>
        <w:t xml:space="preserve">of the General Statutes,” (Tp 86:3–5), but did not explain why or how Ballentine’s public statements about Coble constituted harassment or stalking as defined in the statute. Nevertheless, the Court verbally ordered that Ballentine “shall not publicly write, print, or speak the name of [Coble] in any form or content and shall not go within 50 yards of [Coble] at any time.” (Tp 86:6–10).</w:t>
      </w:r>
    </w:p>
    <w:p>
      <w:pPr>
        <w:keepNext/>
        <w:keepLines/>
        <w:spacing w:before="240" w:after="192" w:line="276" w:lineRule="exact"/>
        <w:ind w:left="720" w:hanging="720"/>
        <w:jc w:val="left"/>
      </w:pPr>
      <w:r>
        <w:rPr>
          <w:b/>
          <w:bCs/>
          <w:i/>
          <w:iCs/>
        </w:rPr>
        <w:t xml:space="preserve">D.</w:t>
      </w:r>
      <w:r>
        <w:rPr>
          <w:b/>
          <w:bCs/>
          <w:i/>
          <w:iCs/>
        </w:rPr>
        <w:t xml:space="preserve"> </w:t>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Court’s</w:t>
      </w:r>
      <w:r>
        <w:rPr>
          <w:b/>
          <w:bCs/>
          <w:i/>
          <w:iCs/>
        </w:rPr>
        <w:t xml:space="preserve"> </w:t>
      </w:r>
      <w:r>
        <w:rPr>
          <w:b/>
          <w:bCs/>
          <w:i/>
          <w:iCs/>
        </w:rPr>
        <w:t xml:space="preserve">written</w:t>
      </w:r>
      <w:r>
        <w:rPr>
          <w:b/>
          <w:bCs/>
          <w:i/>
          <w:iCs/>
        </w:rPr>
        <w:t xml:space="preserve"> </w:t>
      </w:r>
      <w:r>
        <w:rPr>
          <w:b/>
          <w:bCs/>
          <w:i/>
          <w:iCs/>
        </w:rPr>
        <w:t xml:space="preserve">no-contact</w:t>
      </w:r>
      <w:r>
        <w:rPr>
          <w:b/>
          <w:bCs/>
          <w:i/>
          <w:iCs/>
        </w:rPr>
        <w:t xml:space="preserve"> </w:t>
      </w:r>
      <w:r>
        <w:rPr>
          <w:b/>
          <w:bCs/>
          <w:i/>
          <w:iCs/>
        </w:rPr>
        <w:t xml:space="preserve">order</w:t>
      </w:r>
    </w:p>
    <w:p>
      <w:pPr>
        <w:pStyle w:val="BodyTextNote"/>
      </w:pPr>
      <w:r>
        <w:t xml:space="preserve">On 21 April 2025, the Court entered the written no-contact order. (R p 10–12). Again the Court focused on its views about whether Coble could be regarded as a “public figure” after she announced she would run for mayor and continued to comment publicly about her interest for many months. While acknowledging that “the filing period for Mayor of Randleman is still open,” the Court seemed to think it dispositive that “[Coble] has not formed a political committee, has not filed for any political office, nor done anything else such that she could be lawfully classified as a ‘public figure.’” (R p 12). Nevertheless, the Court found, Ballentine “continued to post on ‘Anybody But Coble’ and on his personal Facebook page numerous personal attacks against” Coble, including “unsubstantiated allegations of criminal or other unlawful conduct.” (R p 12).</w:t>
      </w:r>
      <w:r>
        <w:rPr>
          <w:rStyle w:val="FootnoteReference"/>
        </w:rPr>
        <w:footnoteReference w:id="13"/>
      </w:r>
      <w:r>
        <w:t xml:space="preserve"> </w:t>
      </w:r>
      <w:r>
        <w:t xml:space="preserve">The Court also found Ballentine had “continued to publish, as recently as three (3) days ago, posts concerning [Coble], under the guise of ‘news reporting,’ quoting himself and predicting the result of this action.” (R p 12). The Court stated Ballentine’s “conduct has caused [Coble] grief, anxiety, humiliation and extreme emotional distress.” (R p 12).</w:t>
      </w:r>
    </w:p>
    <w:p>
      <w:pPr>
        <w:pStyle w:val="BodyText"/>
      </w:pPr>
      <w:r>
        <w:t xml:space="preserve">The Court did not find that Ballentine had ever directed any communication at Coble or made any threats to her. The Court made no findings that Ballentine made any online post or any communication to Coble to “torment, terrorize, or terrify” her, or anything to cause her “reasonable fear” for her safety or that he had any intent to do so. (See N.C. Gen. Stat. §§ 50C</w:t>
      </w:r>
      <w:r>
        <w:noBreakHyphen/>
      </w:r>
      <w:r>
        <w:t xml:space="preserve">1(6),</w:t>
      </w:r>
      <w:r>
        <w:t xml:space="preserve"> </w:t>
      </w:r>
      <w:r>
        <w:t xml:space="preserve">14</w:t>
      </w:r>
      <w:r>
        <w:noBreakHyphen/>
      </w:r>
      <w:r>
        <w:t xml:space="preserve">277.3A(b)⁠(2),</w:t>
      </w:r>
      <w:r>
        <w:t xml:space="preserve"> </w:t>
      </w:r>
      <w:r>
        <w:t xml:space="preserve">(c)).</w:t>
      </w:r>
    </w:p>
    <w:p>
      <w:pPr>
        <w:pStyle w:val="BodyTextNote"/>
      </w:pPr>
      <w:r>
        <w:t xml:space="preserve">Thus, based solely on Ballentine’s online posts about Coble, the Court ordered that Ballentine “not speak or otherwise publish [Coble]’s name or make inferential references to [Coble] in person, electronically, by phone, social media or any other publically [sic] available platform.” (R p 11) (capitalization removed).</w:t>
      </w:r>
      <w:r>
        <w:rPr>
          <w:rStyle w:val="FootnoteReference"/>
        </w:rPr>
        <w:footnoteReference w:id="14"/>
      </w:r>
      <w:r>
        <w:t xml:space="preserve"> </w:t>
      </w:r>
      <w:r>
        <w:t xml:space="preserve">Additionally, in the section of the form order to “List Other Places Where Defendant Ordered Not To Be,” the Court wrote “not go within 50 yards of plaintiff,” which apparently covers any setting anywhere. (R p 11) (capitalization removed). The order is by its terms effective through 21 April 2026. (R p 10–11).</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720" w:hanging="720"/>
        <w:jc w:val="left"/>
      </w:pPr>
      <w:r>
        <w:rPr>
          <w:b/>
          <w:bCs/>
        </w:rPr>
        <w:t xml:space="preserve">I.</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standard of review on appeal from a judgment entered after a non-jury trial is whether there is competent evidence to support the trial court’s findings of fact and whether the findings support the conclusions of law and ensuing judgment.” Myers v. Broome-Edwards,</w:t>
      </w:r>
      <w:r>
        <w:t xml:space="preserve"> </w:t>
      </w:r>
      <w:r>
        <w:t xml:space="preserve">294 N.C. App. 364, 366 (2024) (quoting Cartin</w:t>
      </w:r>
      <w:r>
        <w:t xml:space="preserve"> </w:t>
      </w:r>
      <w:r>
        <w:t xml:space="preserve">v. Harrison, 151 N.C. App. 697, 699 (2002)).</w:t>
      </w:r>
    </w:p>
    <w:p>
      <w:pPr>
        <w:pStyle w:val="BodyText"/>
      </w:pPr>
      <w:r>
        <w:t xml:space="preserve">In a case presenting First Amendment issues, “an appellate court has an obligation to make an independent examination of the whole record in order to make sure that the judgment does not constitute a forbidden intrusion on the field of free expression.” State v. Taylor,</w:t>
      </w:r>
      <w:r>
        <w:t xml:space="preserve"> </w:t>
      </w:r>
      <w:r>
        <w:t xml:space="preserve">379 N.C. 589, 608 (2021) (quoting Bose Corp. v.</w:t>
      </w:r>
      <w:r>
        <w:t xml:space="preserve"> </w:t>
      </w:r>
      <w:r>
        <w:t xml:space="preserve">Consumers Union of U.S., Inc. 466 U.S. 485, 499 (1984)).</w:t>
      </w:r>
    </w:p>
    <w:p>
      <w:pPr>
        <w:pStyle w:val="BodyText"/>
      </w:pPr>
      <w:r>
        <w:t xml:space="preserve">“The standard of review for alleged violations of constitutional rights is de novo.” Shackelford,</w:t>
      </w:r>
      <w:r>
        <w:t xml:space="preserve"> </w:t>
      </w:r>
      <w:r>
        <w:t xml:space="preserve">264 N.C. App. at 551 (citation omitted); accord State v. Roberts,</w:t>
      </w:r>
      <w:r>
        <w:t xml:space="preserve"> </w:t>
      </w:r>
      <w:r>
        <w:t xml:space="preserve">237 N.C. App. 551, 556 (2014). Under this de novo standard, the Court “considers the matter anew and freely substitutes its own judgment for that of the lower tribunal.” Shackleford, 264 N.C. App. at 551 (quoting State v. Williams, 362 N.C. 628,</w:t>
      </w:r>
      <w:r>
        <w:t xml:space="preserve"> </w:t>
      </w:r>
      <w:r>
        <w:t xml:space="preserve">632</w:t>
      </w:r>
      <w:r>
        <w:noBreakHyphen/>
      </w:r>
      <w:r>
        <w:t xml:space="preserve">33 (2008)).</w:t>
      </w:r>
    </w:p>
    <w:p>
      <w:pPr>
        <w:keepNext/>
        <w:keepLines/>
        <w:spacing w:before="288"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ORDER</w:t>
      </w:r>
      <w:r>
        <w:rPr>
          <w:b/>
          <w:bCs/>
        </w:rPr>
        <w:t xml:space="preserve"> </w:t>
      </w:r>
      <w:r>
        <w:rPr>
          <w:b/>
          <w:bCs/>
        </w:rPr>
        <w:t xml:space="preserve">IS</w:t>
      </w:r>
      <w:r>
        <w:rPr>
          <w:b/>
          <w:bCs/>
        </w:rPr>
        <w:t xml:space="preserve"> </w:t>
      </w:r>
      <w:r>
        <w:rPr>
          <w:b/>
          <w:bCs/>
        </w:rPr>
        <w:t xml:space="preserve">IMPROPER</w:t>
      </w:r>
      <w:r>
        <w:rPr>
          <w:b/>
          <w:bCs/>
        </w:rPr>
        <w:t xml:space="preserve"> </w:t>
      </w:r>
      <w:r>
        <w:rPr>
          <w:b/>
          <w:bCs/>
        </w:rPr>
        <w:t xml:space="preserve">UNDER</w:t>
      </w:r>
      <w:r>
        <w:rPr>
          <w:b/>
          <w:bCs/>
        </w:rPr>
        <w:t xml:space="preserve"> </w:t>
      </w:r>
      <w:r>
        <w:rPr>
          <w:b/>
          <w:bCs/>
        </w:rPr>
        <w:t xml:space="preserve">N.C.</w:t>
      </w:r>
      <w:r>
        <w:rPr>
          <w:b/>
          <w:bCs/>
        </w:rPr>
        <w:t xml:space="preserve"> </w:t>
      </w:r>
      <w:r>
        <w:rPr>
          <w:b/>
          <w:bCs/>
        </w:rPr>
        <w:t xml:space="preserve">GEN.</w:t>
      </w:r>
      <w:r>
        <w:rPr>
          <w:b/>
          <w:bCs/>
        </w:rPr>
        <w:t xml:space="preserve"> </w:t>
      </w:r>
      <w:r>
        <w:rPr>
          <w:b/>
          <w:bCs/>
        </w:rPr>
        <w:t xml:space="preserve">STAT.</w:t>
      </w:r>
      <w:r>
        <w:rPr>
          <w:b/>
          <w:bCs/>
        </w:rPr>
        <w:t xml:space="preserve"> </w:t>
      </w:r>
      <w:r>
        <w:rPr>
          <w:b/>
          <w:bCs/>
        </w:rPr>
        <w:t xml:space="preserve">§</w:t>
      </w:r>
      <w:r>
        <w:rPr>
          <w:b/>
          <w:bCs/>
        </w:rPr>
        <w:t xml:space="preserve"> </w:t>
      </w:r>
      <w:r>
        <w:rPr>
          <w:b/>
          <w:bCs/>
        </w:rPr>
        <w:t xml:space="preserve">50C</w:t>
      </w:r>
    </w:p>
    <w:p>
      <w:pPr>
        <w:pStyle w:val="BodyText"/>
      </w:pPr>
      <w:r>
        <w:t xml:space="preserve">Under N.C. Gen. Stat. § 50C,</w:t>
      </w:r>
      <w:r>
        <w:t xml:space="preserve"> </w:t>
      </w:r>
      <w:r>
        <w:t xml:space="preserve">a civil no-contact order may issue only upon finding that the complainant has suffered “an act of unlawful conduct committed by the respondent,” N.C. Gen. Stat. § 50C</w:t>
      </w:r>
      <w:r>
        <w:noBreakHyphen/>
      </w:r>
      <w:r>
        <w:t xml:space="preserve">7,</w:t>
      </w:r>
      <w:r>
        <w:t xml:space="preserve"> </w:t>
      </w:r>
      <w:r>
        <w:t xml:space="preserve">but this must be among specifically proscribed conduct that constitutes “stalking” and “harassment” as defined by the statute. Under Section 50C</w:t>
      </w:r>
      <w:r>
        <w:noBreakHyphen/>
      </w:r>
      <w:r>
        <w:t xml:space="preserve">1,</w:t>
      </w:r>
      <w:r>
        <w:t xml:space="preserve"> </w:t>
      </w:r>
      <w:r>
        <w:t xml:space="preserve">“stalking” is defined as “[o]n more than one occasion, following or otherwise harassing, as defined in G.S. 14</w:t>
      </w:r>
      <w:r>
        <w:noBreakHyphen/>
      </w:r>
      <w:r>
        <w:t xml:space="preserve">277.3A(b)⁠(2),</w:t>
      </w:r>
      <w:r>
        <w:t xml:space="preserve"> </w:t>
      </w:r>
      <w:r>
        <w:t xml:space="preserve">another person without legal purpose with the intent to … [p]lace the person in reasonable fear either for the person’s safety or the safety of the person’s immediate family or close personal associates” or “[c]ause that person to suffer substantial emotional distress.” N.C. Gen. Stat. § 50C</w:t>
      </w:r>
      <w:r>
        <w:noBreakHyphen/>
      </w:r>
      <w:r>
        <w:t xml:space="preserve">1(6).</w:t>
      </w:r>
      <w:r>
        <w:t xml:space="preserve"> </w:t>
      </w:r>
      <w:r>
        <w:t xml:space="preserve">This definition incorporates North Carolina’s criminal harassment statute, which defines harassment as “[k]nowing conduct, including written or printed communication or transmission … directed at a specific person that torments, terrorizes, or terrifies that person and that serves no legitimate purpose.” N.C. Gen Stat. § 14</w:t>
      </w:r>
      <w:r>
        <w:noBreakHyphen/>
      </w:r>
      <w:r>
        <w:t xml:space="preserve">277.3A(b)⁠(2).</w:t>
      </w:r>
    </w:p>
    <w:p>
      <w:pPr>
        <w:pStyle w:val="BodyText"/>
      </w:pPr>
      <w:r>
        <w:t xml:space="preserve">The District Court found Ballentine committed unlawful conduct by “stalking” and “harass[ing]” Coble. (Tp 86:3–5; R p 11). But the evidence upon which the court premised its no-contact order established none of the elements required by § 50C.</w:t>
      </w:r>
    </w:p>
    <w:p>
      <w:pPr>
        <w:pStyle w:val="BodyText"/>
      </w:pPr>
      <w:r>
        <w:t xml:space="preserve">First, a civil no-contact order based on harassment by written communication must be premised on communication “directed at a specific person that torments, terrorizes, or terrifies that person and that serves no legitimate purpose.” N.C. Gen. Stat. § 14</w:t>
      </w:r>
      <w:r>
        <w:noBreakHyphen/>
      </w:r>
      <w:r>
        <w:t xml:space="preserve">277.3A(b)⁠(2)</w:t>
      </w:r>
      <w:r>
        <w:t xml:space="preserve"> </w:t>
      </w:r>
      <w:r>
        <w:t xml:space="preserve">(emphasis added). The District Court erred in applying §§ 50C</w:t>
      </w:r>
      <w:r>
        <w:noBreakHyphen/>
      </w:r>
      <w:r>
        <w:t xml:space="preserve">1(6)</w:t>
      </w:r>
      <w:r>
        <w:t xml:space="preserve"> </w:t>
      </w:r>
      <w:r>
        <w:t xml:space="preserve">and 14</w:t>
      </w:r>
      <w:r>
        <w:noBreakHyphen/>
      </w:r>
      <w:r>
        <w:t xml:space="preserve">277.3A</w:t>
      </w:r>
      <w:r>
        <w:t xml:space="preserve"> </w:t>
      </w:r>
      <w:r>
        <w:t xml:space="preserve">because every one of Ballentine’s posts was about Coble; Ballentine never made any posts or any communications directed at her.</w:t>
      </w:r>
    </w:p>
    <w:p>
      <w:pPr>
        <w:pStyle w:val="BodyText"/>
      </w:pPr>
      <w:r>
        <w:t xml:space="preserve">This Court has underscored the importance of this distinction in the social media context twice before. In both cases, the Court invalidated trial courts’ determinations that social media posts about but not directed at another person constituted harassment under § 14</w:t>
      </w:r>
      <w:r>
        <w:noBreakHyphen/>
      </w:r>
      <w:r>
        <w:t xml:space="preserve">277.3A(b)⁠(2).</w:t>
      </w:r>
    </w:p>
    <w:p>
      <w:pPr>
        <w:pStyle w:val="BodyText"/>
      </w:pPr>
      <w:r>
        <w:t xml:space="preserve">In Weller</w:t>
      </w:r>
      <w:r>
        <w:t xml:space="preserve"> </w:t>
      </w:r>
      <w:r>
        <w:t xml:space="preserve">v. Jackson, 279 N.C. App. 260, 2021 WL 4059970 (2021) (unpublished), this Court reversed a trial court’s § 50C</w:t>
      </w:r>
      <w:r>
        <w:t xml:space="preserve"> </w:t>
      </w:r>
      <w:r>
        <w:t xml:space="preserve">civil no-contact order based on posts about the plaintiff that an online reporter made on Facebook. The reporter posted an article alleging the plaintiff had created several Facebook groups ostensibly to help families of missing persons in the state but then used the groups to spread misinformation about the families. Id. at ¶ 2. At a hearing on plaintiff’s § 50C</w:t>
      </w:r>
      <w:r>
        <w:t xml:space="preserve"> </w:t>
      </w:r>
      <w:r>
        <w:t xml:space="preserve">complaint, the trial court acknowledged the defendant made no “direct threat” to plaintiff but expressed concern that his posts might “be planting bad thoughts in people’s heads.” Id. at ¶ 8. The court found the defendant’s posts reporting about plaintiff had “caused and incited individuals … to make threatening statements towards Plaintiff,” and on this basis held that the defendant had “harassed Plaintiff.” Id. at ¶ 11. The court issued a no-contact order prohibiting the defendant from “posting anything further about” the plaintiff for six months. Id.</w:t>
      </w:r>
    </w:p>
    <w:p>
      <w:pPr>
        <w:pStyle w:val="BodyTextNote"/>
      </w:pPr>
      <w:r>
        <w:t xml:space="preserve">This Court reversed because, while the defendant had “posted a news blog article and a video that discussed plaintiff, … there is no evidence that defendant directed any written or printed communication at plaintiff.” Id. at ¶ 18. “The social media posts and articles were ‘about’ plaintiff, but were not ‘directed at’ her, similar[]to the social media posts made in Shackelford.”</w:t>
      </w:r>
      <w:r>
        <w:t xml:space="preserve"> </w:t>
      </w:r>
      <w:r>
        <w:t xml:space="preserve">Id. Therefore, the Court held, “there was no evidence to support a finding that defendant stalked or harassed plaintiff within the definitions of N.C. Gen. Stat. § 50C.”</w:t>
      </w:r>
      <w:r>
        <w:t xml:space="preserve"> </w:t>
      </w:r>
      <w:r>
        <w:t xml:space="preserve">Id.</w:t>
      </w:r>
      <w:r>
        <w:rPr>
          <w:rStyle w:val="FootnoteReference"/>
        </w:rPr>
        <w:footnoteReference w:id="15"/>
      </w:r>
    </w:p>
    <w:p>
      <w:pPr>
        <w:pStyle w:val="BodyText"/>
      </w:pPr>
      <w:r>
        <w:t xml:space="preserve">Shackelford,</w:t>
      </w:r>
      <w:r>
        <w:t xml:space="preserve"> </w:t>
      </w:r>
      <w:r>
        <w:t xml:space="preserve">which concerned N.C. Gen. Stat. § 14</w:t>
      </w:r>
      <w:r>
        <w:noBreakHyphen/>
      </w:r>
      <w:r>
        <w:t xml:space="preserve">277.3A,</w:t>
      </w:r>
      <w:r>
        <w:t xml:space="preserve"> </w:t>
      </w:r>
      <w:r>
        <w:t xml:space="preserve">the criminal harassment law incorporated into § 50C,</w:t>
      </w:r>
      <w:r>
        <w:t xml:space="preserve"> </w:t>
      </w:r>
      <w:r>
        <w:t xml:space="preserve">reached a similar conclusion. In Shackelford,</w:t>
      </w:r>
      <w:r>
        <w:t xml:space="preserve"> </w:t>
      </w:r>
      <w:r>
        <w:t xml:space="preserve">this Court held that § 14</w:t>
      </w:r>
      <w:r>
        <w:noBreakHyphen/>
      </w:r>
      <w:r>
        <w:t xml:space="preserve">277.3A</w:t>
      </w:r>
      <w:r>
        <w:t xml:space="preserve"> </w:t>
      </w:r>
      <w:r>
        <w:t xml:space="preserve">violated the First Amendment when applied to social media posts the defendant “wrote about [the plaintiff] but did not send directly to her.” Shackelford,</w:t>
      </w:r>
      <w:r>
        <w:t xml:space="preserve"> </w:t>
      </w:r>
      <w:r>
        <w:t xml:space="preserve">264 N.C. App. at 556. Noting that “[c]ourse of conduct” is defined in the statute as “[t]wo or more acts” including merely “communicat[ing] to or about a person,” the Court held “the First Amendment is directly implicated by Defendant’s prosecution under § 14</w:t>
      </w:r>
      <w:r>
        <w:noBreakHyphen/>
      </w:r>
      <w:r>
        <w:t xml:space="preserve">277.3A,”</w:t>
      </w:r>
      <w:r>
        <w:t xml:space="preserve"> </w:t>
      </w:r>
      <w:r>
        <w:t xml:space="preserve">because “his speech itself was the crime.” Id. (emphasis in original). (Shackelford</w:t>
      </w:r>
      <w:r>
        <w:t xml:space="preserve"> </w:t>
      </w:r>
      <w:r>
        <w:t xml:space="preserve">is discussed further below.)</w:t>
      </w:r>
    </w:p>
    <w:p>
      <w:pPr>
        <w:pStyle w:val="BodyText"/>
      </w:pPr>
      <w:r>
        <w:t xml:space="preserve">There is no evidence in the record to support a finding that Ballentine’s posts satisfy the statutory definition of stalking or harassment. The posts on “Anybody But Coble” were about Coble. They were admittedly critical of her and her announced candidacy for mayor. But none of the posts or commentary were “directed at a specific person,” as § 50C</w:t>
      </w:r>
      <w:r>
        <w:t xml:space="preserve"> </w:t>
      </w:r>
      <w:r>
        <w:t xml:space="preserve">requires. As is clear from even a cursory reading, the posts were aimed at residents of Randleman.</w:t>
      </w:r>
    </w:p>
    <w:p>
      <w:pPr>
        <w:pStyle w:val="BodyText"/>
      </w:pPr>
      <w:r>
        <w:t xml:space="preserve">The District Court also erred in finding that Ballentine acted without legal or legitimate purpose. See Teague v. Meredith,</w:t>
      </w:r>
      <w:r>
        <w:t xml:space="preserve"> </w:t>
      </w:r>
      <w:r>
        <w:t xml:space="preserve">No. 5:10-CV</w:t>
      </w:r>
      <w:r>
        <w:noBreakHyphen/>
      </w:r>
      <w:r>
        <w:t xml:space="preserve">39-RLV, 2011 WL 2791253 (W.D.N.C., July 14, 2011) (explaining that a claim of “unlawful conduct” under § 50C,</w:t>
      </w:r>
      <w:r>
        <w:t xml:space="preserve"> </w:t>
      </w:r>
      <w:r>
        <w:t xml:space="preserve">“based on stalking by way of harassment, will be defeated by a legal purpose or a legitimate purpose”). Ballentine’s purpose in creating and running “Anybody But Coble” was political, i.e., to “make sure voters in Randleman knew the full story.” (Doc. Ex. 3; see also Doc. Ex. 5 (“Anybody But Coble will continue to shine a light on Coble’s record, her hypocrisy, and her troubling willingness to use the legal system as a political weapon.”)).</w:t>
      </w:r>
    </w:p>
    <w:p>
      <w:pPr>
        <w:pStyle w:val="BodyText"/>
      </w:pPr>
      <w:r>
        <w:t xml:space="preserve">The Supreme Court has “recognized repeatedly that debate on the qualifications of candidates is integral to the operation of the system of government established by our Constitution.” Eu v. San Francisco</w:t>
      </w:r>
      <w:r>
        <w:t xml:space="preserve"> </w:t>
      </w:r>
      <w:r>
        <w:t xml:space="preserve">Cnty. Democratic Cent. Comm., 489 U.S. 214, 223 (1989) (cleaned up); see also Citizens United</w:t>
      </w:r>
      <w:r>
        <w:t xml:space="preserve"> </w:t>
      </w:r>
      <w:r>
        <w:t xml:space="preserve">v. Fed. Election Comm’n, 558 U.S. 310, 339–40 (2010) (political discussion “is a precondition to enlightened self-government” and “[t]he First Amendment has its fullest and most urgent application to speech uttered during a campaign for political office.”) (quoting Eu, 489 U.S. at 223; Snyder v. Phelps,</w:t>
      </w:r>
      <w:r>
        <w:t xml:space="preserve"> </w:t>
      </w:r>
      <w:r>
        <w:t xml:space="preserve">562 U.S. 443, 452 (2011) (“speech on public issues occupies the highest rung of the hierarchy of First Amendment values and is entitled to special protection.”) (citation omitted)). Even if Ballentine was motivated to speak publicly about Coble because of a past grudge (see Tp 85:15–23), that does not make his online comments and criticisms illegal or subject to prohibition. Cf. United States v. Alvarez,</w:t>
      </w:r>
      <w:r>
        <w:t xml:space="preserve"> </w:t>
      </w:r>
      <w:r>
        <w:t xml:space="preserve">567 U.S. 709, 729–30 (2012) (even the “right to make [false] statements is protected by the Constitution’s guarantee of freedom of speech and expression”). Ballentine had a legal and legitimate purpose for launching “Anybody But Coble” and expressing his views about Coble and her unsuitability for office. The First Amendment does not allow the government to penalize a person for publicly criticizing another simply because the target of the criticism doesn’t like it.</w:t>
      </w:r>
    </w:p>
    <w:p>
      <w:pPr>
        <w:pStyle w:val="BodyText"/>
      </w:pPr>
      <w:r>
        <w:t xml:space="preserve">The no-contact order is also invalid and impermissible under § 50C</w:t>
      </w:r>
      <w:r>
        <w:t xml:space="preserve"> </w:t>
      </w:r>
      <w:r>
        <w:t xml:space="preserve">because the District Court had no evidence (and made no findings) that Ballentine intended his public online commentary about Coble to “torment[], terrorize[], or terrif[y]” her, much less that anything he posted could have put her “in reasonable fear for [her] safety” or caused her “to suffer substantial emotional distress.” N.C. Gen. Stat. §§ 50C</w:t>
      </w:r>
      <w:r>
        <w:noBreakHyphen/>
      </w:r>
      <w:r>
        <w:t xml:space="preserve">1(6),</w:t>
      </w:r>
      <w:r>
        <w:t xml:space="preserve"> </w:t>
      </w:r>
      <w:r>
        <w:t xml:space="preserve">14</w:t>
      </w:r>
      <w:r>
        <w:noBreakHyphen/>
      </w:r>
      <w:r>
        <w:t xml:space="preserve">277.3A(b)⁠(2),</w:t>
      </w:r>
      <w:r>
        <w:t xml:space="preserve"> </w:t>
      </w:r>
      <w:r>
        <w:t xml:space="preserve">(c). Ballentine intended “Anybody But Coble” to inform the public. He did nothing to threaten or confront Coble, and there is no evidence in the record to suggest otherwise.</w:t>
      </w:r>
    </w:p>
    <w:p>
      <w:pPr>
        <w:keepNext/>
        <w:keepLines/>
        <w:spacing w:before="288" w:after="192" w:line="276"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NO-CONTACT</w:t>
      </w:r>
      <w:r>
        <w:rPr>
          <w:b/>
          <w:bCs/>
        </w:rPr>
        <w:t xml:space="preserve"> </w:t>
      </w:r>
      <w:r>
        <w:rPr>
          <w:b/>
          <w:bCs/>
        </w:rPr>
        <w:t xml:space="preserve">ORDER</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p>
    <w:p>
      <w:pPr>
        <w:pStyle w:val="BodyText"/>
      </w:pPr>
      <w:r>
        <w:t xml:space="preserve">The District Court’s no-contact order violates the First Amendment under longstanding principles and this Court’s precedents. The order is a content-based restriction that prohibits Ballentine from writing, publishing, or saying anything about Coble for one year, and it fails First Amendment strict scrutiny. Worse still, the order imposes a prior restraint (Ballentine is prohibited from saying anything, whatever it might be, before he says anything), which is among the most intolerable infringements on First Amendment rights. In other words, the no-contact order is unconstitutional twice over, as it is based on past protected speech and prohibits future speech.</w:t>
      </w:r>
    </w:p>
    <w:p>
      <w:pPr>
        <w:pStyle w:val="BodyText"/>
      </w:pPr>
      <w:r>
        <w:t xml:space="preserve">This Court’s decision in Shackelford</w:t>
      </w:r>
      <w:r>
        <w:t xml:space="preserve"> </w:t>
      </w:r>
      <w:r>
        <w:t xml:space="preserve">makes the point clear. There, the defendant published numerous posts about his unrequited feelings for the plaintiff, a woman in his church. 264 N.C. App. at 545–49. He wrote that she was “turning [him] bat crazy,” “strongly believe[d] that she [was his] soul mate,” and repeatedly referred to her as his “future wife.” Id. However, like Ballentine’s posts on “Anybody But Coble,” the “posts on [Shackelford]’s</w:t>
      </w:r>
      <w:r>
        <w:t xml:space="preserve"> </w:t>
      </w:r>
      <w:r>
        <w:t xml:space="preserve">Google Plus account were not specifically directed to [the plaintiff] but were shared publicly on his account where any user of the service could read them.” Id. at 545. This Court held that, as applied to Shackelford,</w:t>
      </w:r>
      <w:r>
        <w:t xml:space="preserve"> </w:t>
      </w:r>
      <w:r>
        <w:t xml:space="preserve">§ 14</w:t>
      </w:r>
      <w:r>
        <w:noBreakHyphen/>
      </w:r>
      <w:r>
        <w:t xml:space="preserve">277.3A</w:t>
      </w:r>
      <w:r>
        <w:t xml:space="preserve"> </w:t>
      </w:r>
      <w:r>
        <w:t xml:space="preserve">failed First Amendment strict scrutiny.</w:t>
      </w:r>
    </w:p>
    <w:p>
      <w:pPr>
        <w:pStyle w:val="BodyText"/>
      </w:pPr>
      <w:r>
        <w:t xml:space="preserve">The Shackelford</w:t>
      </w:r>
      <w:r>
        <w:t xml:space="preserve"> </w:t>
      </w:r>
      <w:r>
        <w:t xml:space="preserve">Court noted, first of all, that “[p]osting information on the Internet — whatever the subject matter — can constitute speech as surely as stapling flyers to bulletin boards or distributing pamphlets to passersby — activities long protected by the First Amendment.” Id. at 552 (quoting State v. Bishop,</w:t>
      </w:r>
      <w:r>
        <w:t xml:space="preserve"> </w:t>
      </w:r>
      <w:r>
        <w:t xml:space="preserve">368 N.C. 869, 873 (2016)). “[T]he protections of the First Amendment extend in full not just to the Internet, but to all new media and forms of communication ….” Id. (quoting Bishop,</w:t>
      </w:r>
      <w:r>
        <w:t xml:space="preserve"> </w:t>
      </w:r>
      <w:r>
        <w:t xml:space="preserve">368 N.C. at 874).</w:t>
      </w:r>
    </w:p>
    <w:p>
      <w:pPr>
        <w:pStyle w:val="BodyText"/>
      </w:pPr>
      <w:r>
        <w:t xml:space="preserve">Shackelford</w:t>
      </w:r>
      <w:r>
        <w:t xml:space="preserve"> </w:t>
      </w:r>
      <w:r>
        <w:t xml:space="preserve">went on to consider whether § 14</w:t>
      </w:r>
      <w:r>
        <w:noBreakHyphen/>
      </w:r>
      <w:r>
        <w:t xml:space="preserve">277.3A,</w:t>
      </w:r>
      <w:r>
        <w:t xml:space="preserve"> </w:t>
      </w:r>
      <w:r>
        <w:t xml:space="preserve">as applied to the defendant (which resulted in his conviction) was content based, because, as the Supreme Court has stated: “[A]bove all else, the First Amendment means that government has no power to restrict expression because of its message, its ideas, its subject matter, or its content.” Id. (quoting Police Dept. of City of Chicago v. Mosley,</w:t>
      </w:r>
      <w:r>
        <w:t xml:space="preserve"> </w:t>
      </w:r>
      <w:r>
        <w:t xml:space="preserve">408 U.S. 92, 95 (1972)). The Court recognized, as is well-established, that “[c]ontent-based laws … are presumptively unconstitutional and may be justified only if the government proves that they are narrowly tailored to serve compelling state interests.” Id. (quoting Reed</w:t>
      </w:r>
      <w:r>
        <w:t xml:space="preserve"> </w:t>
      </w:r>
      <w:r>
        <w:t xml:space="preserve">v. Town of Gilbert, 576 U.S. 155, 163 (2015)). “[A] speech regulation is content based if the law applies to particular speech because of the topic discussed or the idea or message expressed.” Reed,</w:t>
      </w:r>
      <w:r>
        <w:t xml:space="preserve"> </w:t>
      </w:r>
      <w:r>
        <w:t xml:space="preserve">576 U.S. at 171. The Shackelford</w:t>
      </w:r>
      <w:r>
        <w:t xml:space="preserve"> </w:t>
      </w:r>
      <w:r>
        <w:t xml:space="preserve">Court concluded that § 14</w:t>
      </w:r>
      <w:r>
        <w:noBreakHyphen/>
      </w:r>
      <w:r>
        <w:t xml:space="preserve">277.3A</w:t>
      </w:r>
      <w:r>
        <w:t xml:space="preserve"> </w:t>
      </w:r>
      <w:r>
        <w:t xml:space="preserve">(the criminal harassment statute incorporated into § 50C)</w:t>
      </w:r>
      <w:r>
        <w:t xml:space="preserve"> </w:t>
      </w:r>
      <w:r>
        <w:t xml:space="preserve">“constituted a content-based restriction on speech” because one could not determine whether the statute applied to a speaker “without reference to the content of his posts.” Shackelford,</w:t>
      </w:r>
      <w:r>
        <w:t xml:space="preserve"> </w:t>
      </w:r>
      <w:r>
        <w:t xml:space="preserve">264 N.C. App. at 558. The Court held that, as applied to Shackelford,</w:t>
      </w:r>
      <w:r>
        <w:t xml:space="preserve"> </w:t>
      </w:r>
      <w:r>
        <w:t xml:space="preserve">§ 14</w:t>
      </w:r>
      <w:r>
        <w:noBreakHyphen/>
      </w:r>
      <w:r>
        <w:t xml:space="preserve">277.3A</w:t>
      </w:r>
      <w:r>
        <w:t xml:space="preserve"> </w:t>
      </w:r>
      <w:r>
        <w:t xml:space="preserve">failed strict scrutiny because, even assuming arguendo a compelling government interest, the government failed to utilize least restrictive means by which it could pursue its interest. Id. at 559–60.</w:t>
      </w:r>
    </w:p>
    <w:p>
      <w:pPr>
        <w:pStyle w:val="BodyText"/>
      </w:pPr>
      <w:r>
        <w:t xml:space="preserve">Here, the District Court’s findings purportedly supporting the no-contact order leave no doubt that it is a content-based prohibition of speech. (See R p 12). The order prohibits Ballentine from speaking or communicating online, in person, or in any other way about Coble. The order is based exclusively on Ballentine’s past protected speech, and it turns entirely on the content of what he says or might want to say.</w:t>
      </w:r>
    </w:p>
    <w:p>
      <w:pPr>
        <w:pStyle w:val="BodyText"/>
      </w:pPr>
      <w:r>
        <w:t xml:space="preserve">Because the no-contact order is a content-based prohibition on speech, it must satisfy strict scrutiny. Shackelford,</w:t>
      </w:r>
      <w:r>
        <w:t xml:space="preserve"> </w:t>
      </w:r>
      <w:r>
        <w:t xml:space="preserve">264 N.C. App. at 552. That means the order must be “narrowly tailored to serve compelling state interests.” Reed,</w:t>
      </w:r>
      <w:r>
        <w:t xml:space="preserve"> </w:t>
      </w:r>
      <w:r>
        <w:t xml:space="preserve">576 U.S. at 163. Thus, in Shackelford</w:t>
      </w:r>
      <w:r>
        <w:t xml:space="preserve"> </w:t>
      </w:r>
      <w:r>
        <w:t xml:space="preserve">the Court found that § 14</w:t>
      </w:r>
      <w:r>
        <w:noBreakHyphen/>
      </w:r>
      <w:r>
        <w:t xml:space="preserve">277.3A,</w:t>
      </w:r>
      <w:r>
        <w:t xml:space="preserve"> </w:t>
      </w:r>
      <w:r>
        <w:t xml:space="preserve">as it was applied by the trial court to the defendant’s conduct, was not narrowly tailored or the least restrictive means to further the state’s interests. Shackelford,</w:t>
      </w:r>
      <w:r>
        <w:t xml:space="preserve"> </w:t>
      </w:r>
      <w:r>
        <w:t xml:space="preserve">264 N.C. App. at 558. Noting that the trial court’s interpretation would allow punishment if the defendant said anything about the woman from his church online, the Court opined that this would make the statute “a criminal prohibition of alarming breadth.” Id. at 560 (quoting Bishop,</w:t>
      </w:r>
      <w:r>
        <w:t xml:space="preserve"> </w:t>
      </w:r>
      <w:r>
        <w:t xml:space="preserve">368 N.C. at 879). Such a “broad sweep” would “reach[] a host of social interactions that a person would find distressing but are clearly understood to fall within the protections of the first amendment.” Id. at 559 (quoting People v. Releford,</w:t>
      </w:r>
      <w:r>
        <w:t xml:space="preserve"> </w:t>
      </w:r>
      <w:r>
        <w:t xml:space="preserve">104 N.E.3d 341, 353–54 (Ill. 2017)).</w:t>
      </w:r>
    </w:p>
    <w:p>
      <w:pPr>
        <w:pStyle w:val="BodyText"/>
      </w:pPr>
      <w:r>
        <w:t xml:space="preserve">There is no compelling governmental interest in granting a restraining order precluding one person from commenting about another with speech that is not threatening or harassing. A blanket prohibition on all speech concerning a specific topic or person is the antithesis of narrow tailoring. The First Amendment does not permit court orders broadly prohibiting speech about some other person. See Eugene Volokh,</w:t>
      </w:r>
      <w:r>
        <w:t xml:space="preserve"> </w:t>
      </w:r>
      <w:r>
        <w:t xml:space="preserve">Overbroad Injunctions Against Speech (Especially in Libel and Harassment Cases), 45 Harv. J.L. &amp; Pub. Pol’y 147, 178–81 (2022) (collecting cases reflecting that “[i]njunctions against speech about a person are unconstitutional if they bar speech about people (and not just to them) and go beyond constitutionally unprotected categories of speech”)). Indeed, if that were not the case, many thousands of daily online posts critical of some person would be subject to injunction.</w:t>
      </w:r>
    </w:p>
    <w:p>
      <w:pPr>
        <w:pStyle w:val="BodyText"/>
      </w:pPr>
      <w:r>
        <w:t xml:space="preserve">The District Court’s no-contact order is also unconstitutional because it is a blatant prior restraint. Supreme Court precedent has long held that “prior restraints on speech and publication are the most serious and the least tolerable infringement on First Amendment rights.” Nebraska Press</w:t>
      </w:r>
      <w:r>
        <w:t xml:space="preserve"> </w:t>
      </w:r>
      <w:r>
        <w:t xml:space="preserve">Ass’n, 427 U.S. at 559. The First Amendment’s protections reflect that it is preferable “to punish the few who abuse rights of speech after they break the law than to throttle them and all others beforehand.” Se. Promotions,</w:t>
      </w:r>
      <w:r>
        <w:t xml:space="preserve"> </w:t>
      </w:r>
      <w:r>
        <w:t xml:space="preserve">Ltd. v. Conrad, 420 U.S. 546, 559 (1975). Accordingly, “any prior restraint on expression comes to the courts with a heavy presumption against its constitutional validity.” State v. Williams, 304 N.C. 394,</w:t>
      </w:r>
      <w:r>
        <w:t xml:space="preserve"> </w:t>
      </w:r>
      <w:r>
        <w:t xml:space="preserve">403 (1981); see also, e.g., Bantam Books,</w:t>
      </w:r>
      <w:r>
        <w:t xml:space="preserve"> </w:t>
      </w:r>
      <w:r>
        <w:t xml:space="preserve">Inc. v. Sullivan, 372 U.S. 58, 70 (1963); Near v. Minnesota</w:t>
      </w:r>
      <w:r>
        <w:t xml:space="preserve"> </w:t>
      </w:r>
      <w:r>
        <w:t xml:space="preserve">ex rel. Olson, 283 U.S. 697, 716 (1931) (prior restraints can survive constitutional review “only in exceptional cases”).</w:t>
      </w:r>
    </w:p>
    <w:p>
      <w:pPr>
        <w:pStyle w:val="BodyText"/>
      </w:pPr>
      <w:r>
        <w:t xml:space="preserve">The Court has never upheld a broad prohibition on speech or public criticism of a person merely on the basis that it upsets them. Coble cannot point to any reasonable basis on which this Court should uphold the District Court’s prior restraint on Ballentine’s lawful, constitutionally protected speech about her.</w:t>
      </w:r>
    </w:p>
    <w:p>
      <w:pPr>
        <w:keepNext/>
        <w:keepLines/>
        <w:spacing w:before="288" w:after="240" w:line="276" w:lineRule="exact"/>
        <w:ind w:left="0" w:firstLine="0"/>
        <w:jc w:val="center"/>
      </w:pPr>
      <w:r>
        <w:rPr>
          <w:b/>
          <w:bCs/>
        </w:rPr>
        <w:t xml:space="preserve">CONCLUSION</w:t>
      </w:r>
    </w:p>
    <w:p>
      <w:pPr>
        <w:pStyle w:val="BodyText"/>
      </w:pPr>
      <w:r>
        <w:t xml:space="preserve">Clayton Ballentine took to the Internet to share with people in Randleman his concerns about Beverly Coble and her announced run for mayor of the city. Nothing he wrote or published was directed at Coble. In fact, Ballentine had not contacted or attempted to contact Coble at all for three years. Nothing he posted was threatening or harassing toward her in any way.</w:t>
      </w:r>
    </w:p>
    <w:p>
      <w:pPr>
        <w:pStyle w:val="BodyText"/>
      </w:pPr>
      <w:r>
        <w:t xml:space="preserve">Yet Coble succeeded in bringing a § 50C</w:t>
      </w:r>
      <w:r>
        <w:t xml:space="preserve"> </w:t>
      </w:r>
      <w:r>
        <w:t xml:space="preserve">complaint and obtaining a no-contact order from the District Court below. That court’s determination that Ballentine’s online public comments about Coble and her candidacy constituted stalking and harassment under § 50C</w:t>
      </w:r>
      <w:r>
        <w:t xml:space="preserve"> </w:t>
      </w:r>
      <w:r>
        <w:t xml:space="preserve">not only misapplied the statute but reflected a fundamental misunderstanding and misapplication of First Amendment law.</w:t>
      </w:r>
    </w:p>
    <w:p>
      <w:pPr>
        <w:pStyle w:val="BodyText"/>
      </w:pPr>
      <w:r>
        <w:t xml:space="preserve">This Court should accordingly reverse the District Court’s no-contact order and ensure it is understood § 50C</w:t>
      </w:r>
      <w:r>
        <w:t xml:space="preserve"> </w:t>
      </w:r>
      <w:r>
        <w:t xml:space="preserve">and other North Carolina law is limited and cabined by First Amendment principles.</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720"/>
              <w:jc w:val="left"/>
            </w:pPr>
            <w:r>
              <w:t xml:space="preserve">Respectfully</w:t>
            </w:r>
            <w:r>
              <w:t xml:space="preserve"> </w:t>
            </w:r>
            <w:r>
              <w:t xml:space="preserve">submitted,</w:t>
            </w:r>
            <w:r>
              <w:t xml:space="preserve"> </w:t>
            </w:r>
            <w:r>
              <w:t xml:space="preserve">this</w:t>
            </w:r>
            <w:r>
              <w:t xml:space="preserve"> </w:t>
            </w:r>
            <w:r>
              <w:t xml:space="preserve">the</w:t>
            </w:r>
            <w:r>
              <w:t xml:space="preserve"> </w:t>
            </w:r>
            <w:r>
              <w:t xml:space="preserve">30th</w:t>
            </w:r>
            <w:r>
              <w:t xml:space="preserve"> </w:t>
            </w:r>
            <w:r>
              <w:t xml:space="preserve">day</w:t>
            </w:r>
            <w:r>
              <w:t xml:space="preserve"> </w:t>
            </w:r>
            <w:r>
              <w:t xml:space="preserve">of</w:t>
            </w:r>
            <w:r>
              <w:t xml:space="preserve"> </w:t>
            </w:r>
            <w:r>
              <w:t xml:space="preserve">October,</w:t>
            </w:r>
            <w:r>
              <w:t xml:space="preserve"> </w:t>
            </w:r>
            <w:r>
              <w:t xml:space="preserve">2025.</w:t>
            </w:r>
          </w:p>
          <w:p>
            <w:pPr>
              <w:spacing w:before="192" w:after="0" w:line="276" w:lineRule="exact"/>
              <w:ind w:left="4608" w:firstLine="0"/>
              <w:jc w:val="left"/>
            </w:pPr>
            <w:r>
              <w:rPr>
                <w:b/>
                <w:bCs/>
              </w:rPr>
              <w:t xml:space="preserve">BROOKS,</w:t>
            </w:r>
            <w:r>
              <w:rPr>
                <w:b/>
                <w:bCs/>
              </w:rPr>
              <w:t xml:space="preserve"> </w:t>
            </w:r>
            <w:r>
              <w:rPr>
                <w:b/>
                <w:bCs/>
              </w:rPr>
              <w:t xml:space="preserve">PIERCE,</w:t>
            </w:r>
            <w:r>
              <w:rPr>
                <w:b/>
                <w:bCs/>
              </w:rPr>
              <w:t xml:space="preserve"> </w:t>
            </w:r>
            <w:r>
              <w:rPr>
                <w:b/>
                <w:bCs/>
              </w:rPr>
              <w:t xml:space="preserve">McLENDON,</w:t>
            </w:r>
            <w:r>
              <w:rPr>
                <w:b/>
                <w:bCs/>
              </w:rPr>
              <w:t xml:space="preserve"> </w:t>
            </w:r>
            <w:r>
              <w:rPr>
                <w:b/>
                <w:bCs/>
              </w:rPr>
              <w:t xml:space="preserve">HUMPHREY</w:t>
            </w:r>
            <w:r>
              <w:rPr>
                <w:b/>
                <w:bCs/>
              </w:rPr>
              <w:t xml:space="preserve"> </w:t>
            </w:r>
            <w:r>
              <w:rPr>
                <w:b/>
                <w:bCs/>
              </w:rPr>
              <w:t xml:space="preserve">&amp;</w:t>
            </w:r>
            <w:r>
              <w:rPr>
                <w:b/>
                <w:bCs/>
              </w:rPr>
              <w:t xml:space="preserve"> </w:t>
            </w:r>
            <w:r>
              <w:rPr>
                <w:b/>
                <w:bCs/>
              </w:rPr>
              <w:t xml:space="preserve">LEONARD,</w:t>
            </w:r>
            <w:r>
              <w:rPr>
                <w:b/>
                <w:bCs/>
              </w:rPr>
              <w:t xml:space="preserve"> </w:t>
            </w:r>
            <w:r>
              <w:rPr>
                <w:b/>
                <w:bCs/>
              </w:rPr>
              <w:t xml:space="preserve">LLP</w:t>
            </w:r>
          </w:p>
          <w:p>
            <w:pPr>
              <w:spacing w:before="192" w:after="0" w:line="276" w:lineRule="exact"/>
              <w:ind w:left="4608" w:firstLine="0"/>
              <w:jc w:val="left"/>
            </w:pPr>
            <w:r>
              <w:rPr>
                <w:u w:val="single"/>
              </w:rPr>
              <w:t xml:space="preserve">/s/</w:t>
            </w:r>
            <w:r>
              <w:rPr>
                <w:u w:val="single"/>
              </w:rPr>
              <w:t xml:space="preserve"> </w:t>
            </w:r>
            <w:r>
              <w:rPr>
                <w:i/>
                <w:iCs/>
                <w:u w:val="single"/>
              </w:rPr>
              <w:t xml:space="preserve">Greg</w:t>
            </w:r>
            <w:r>
              <w:rPr>
                <w:i/>
                <w:iCs/>
                <w:u w:val="single"/>
              </w:rPr>
              <w:t xml:space="preserve"> </w:t>
            </w:r>
            <w:r>
              <w:rPr>
                <w:i/>
                <w:iCs/>
                <w:u w:val="single"/>
              </w:rPr>
              <w:t xml:space="preserve">Gaught</w:t>
            </w:r>
          </w:p>
          <w:p>
            <w:pPr>
              <w:spacing w:before="0" w:after="0" w:line="276" w:lineRule="exact"/>
              <w:ind w:left="4608" w:firstLine="0"/>
              <w:jc w:val="left"/>
            </w:pPr>
            <w:r>
              <w:t xml:space="preserve">Greg</w:t>
            </w:r>
            <w:r>
              <w:t xml:space="preserve"> </w:t>
            </w:r>
            <w:r>
              <w:t xml:space="preserve">Gaught</w:t>
            </w:r>
          </w:p>
          <w:p>
            <w:pPr>
              <w:spacing w:before="0" w:after="0" w:line="276" w:lineRule="exact"/>
              <w:ind w:left="4608" w:firstLine="0"/>
              <w:jc w:val="left"/>
            </w:pPr>
            <w:r>
              <w:t xml:space="preserve">N.C.</w:t>
            </w:r>
            <w:r>
              <w:t xml:space="preserve"> </w:t>
            </w:r>
            <w:r>
              <w:t xml:space="preserve">Bar</w:t>
            </w:r>
            <w:r>
              <w:t xml:space="preserve"> </w:t>
            </w:r>
            <w:r>
              <w:t xml:space="preserve">No.</w:t>
            </w:r>
            <w:r>
              <w:t xml:space="preserve"> </w:t>
            </w:r>
            <w:r>
              <w:t xml:space="preserve">57616</w:t>
            </w:r>
          </w:p>
          <w:p>
            <w:pPr>
              <w:spacing w:before="0" w:after="0" w:line="276" w:lineRule="exact"/>
              <w:ind w:left="4608" w:firstLine="0"/>
              <w:jc w:val="left"/>
            </w:pPr>
            <w:r>
              <w:t xml:space="preserve">ggaught@brookspierce.com</w:t>
            </w:r>
          </w:p>
          <w:p>
            <w:pPr>
              <w:spacing w:before="0" w:after="0" w:line="276" w:lineRule="exact"/>
              <w:ind w:left="4608" w:firstLine="0"/>
              <w:jc w:val="left"/>
            </w:pPr>
            <w:r>
              <w:t xml:space="preserve">150</w:t>
            </w:r>
            <w:r>
              <w:t xml:space="preserve"> </w:t>
            </w:r>
            <w:r>
              <w:t xml:space="preserve">Fayetteville</w:t>
            </w:r>
            <w:r>
              <w:t xml:space="preserve"> </w:t>
            </w:r>
            <w:r>
              <w:t xml:space="preserve">Street,</w:t>
            </w:r>
            <w:r>
              <w:t xml:space="preserve"> </w:t>
            </w:r>
            <w:r>
              <w:t xml:space="preserve">Suite</w:t>
            </w:r>
            <w:r>
              <w:t xml:space="preserve"> </w:t>
            </w:r>
            <w:r>
              <w:t xml:space="preserve">1700</w:t>
            </w:r>
          </w:p>
          <w:p>
            <w:pPr>
              <w:spacing w:before="0" w:after="0" w:line="276" w:lineRule="exact"/>
              <w:ind w:left="4608" w:firstLine="0"/>
              <w:jc w:val="left"/>
            </w:pPr>
            <w:r>
              <w:t xml:space="preserve">Raleigh,</w:t>
            </w:r>
            <w:r>
              <w:t xml:space="preserve"> </w:t>
            </w:r>
            <w:r>
              <w:t xml:space="preserve">NC</w:t>
            </w:r>
            <w:r>
              <w:t xml:space="preserve"> </w:t>
            </w:r>
            <w:r>
              <w:t xml:space="preserve">27601</w:t>
            </w:r>
          </w:p>
          <w:p>
            <w:pPr>
              <w:spacing w:before="0" w:after="0" w:line="276" w:lineRule="exact"/>
              <w:ind w:left="4608" w:firstLine="0"/>
              <w:jc w:val="left"/>
            </w:pPr>
            <w:r>
              <w:t xml:space="preserve">T:</w:t>
            </w:r>
            <w:r>
              <w:t xml:space="preserve"> </w:t>
            </w:r>
            <w:r>
              <w:t xml:space="preserve">(919)</w:t>
            </w:r>
            <w:r>
              <w:t xml:space="preserve"> </w:t>
            </w:r>
            <w:r>
              <w:t xml:space="preserve">882</w:t>
              <w:noBreakHyphen/>
              <w:t xml:space="preserve">2528</w:t>
            </w:r>
          </w:p>
          <w:p>
            <w:pPr>
              <w:spacing w:before="0" w:after="0" w:line="276" w:lineRule="exact"/>
              <w:ind w:left="4608" w:firstLine="0"/>
              <w:jc w:val="left"/>
            </w:pPr>
            <w:r>
              <w:t xml:space="preserve">F:</w:t>
            </w:r>
            <w:r>
              <w:t xml:space="preserve"> </w:t>
            </w:r>
            <w:r>
              <w:t xml:space="preserve">(336)</w:t>
            </w:r>
            <w:r>
              <w:t xml:space="preserve"> </w:t>
            </w:r>
            <w:r>
              <w:t xml:space="preserve">232</w:t>
              <w:noBreakHyphen/>
              <w:t xml:space="preserve">9108</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144" w:after="0" w:line="552" w:lineRule="exact"/>
        <w:ind w:left="0" w:firstLine="720"/>
        <w:jc w:val="left"/>
      </w:pPr>
      <w:r>
        <w:t xml:space="preserve">Pursuant</w:t>
      </w:r>
      <w:r>
        <w:t xml:space="preserve"> </w:t>
      </w:r>
      <w:r>
        <w:t xml:space="preserve">to</w:t>
      </w:r>
      <w:r>
        <w:t xml:space="preserve"> </w:t>
      </w:r>
      <w:r>
        <w:t xml:space="preserve">Rule</w:t>
      </w:r>
      <w:r>
        <w:t xml:space="preserve"> </w:t>
      </w:r>
      <w:r>
        <w:t xml:space="preserve">28(j)</w:t>
      </w:r>
      <w:r>
        <w:t xml:space="preserve"> </w:t>
      </w:r>
      <w:r>
        <w:t xml:space="preserve">of</w:t>
      </w:r>
      <w:r>
        <w:t xml:space="preserve"> </w:t>
      </w:r>
      <w:r>
        <w:t xml:space="preserve">the</w:t>
      </w:r>
      <w:r>
        <w:t xml:space="preserve"> </w:t>
      </w:r>
      <w:r>
        <w:t xml:space="preserve">North</w:t>
      </w:r>
      <w:r>
        <w:t xml:space="preserve"> </w:t>
      </w:r>
      <w:r>
        <w:t xml:space="preserve">Carolina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the</w:t>
      </w:r>
      <w:r>
        <w:t xml:space="preserve"> </w:t>
      </w:r>
      <w:r>
        <w:t xml:space="preserve">undersigned</w:t>
      </w:r>
      <w:r>
        <w:t xml:space="preserve"> </w:t>
      </w:r>
      <w:r>
        <w:t xml:space="preserve">counsel</w:t>
      </w:r>
      <w:r>
        <w:t xml:space="preserve"> </w:t>
      </w:r>
      <w:r>
        <w:t xml:space="preserve">for</w:t>
      </w:r>
      <w:r>
        <w:t xml:space="preserve"> </w:t>
      </w:r>
      <w:r>
        <w:t xml:space="preserve">Defendant-Appellant</w:t>
      </w:r>
      <w:r>
        <w:t xml:space="preserve"> </w:t>
      </w:r>
      <w:r>
        <w:t xml:space="preserve">certifies</w:t>
      </w:r>
      <w:r>
        <w:t xml:space="preserve"> </w:t>
      </w:r>
      <w:r>
        <w:t xml:space="preserve">that</w:t>
      </w:r>
      <w:r>
        <w:t xml:space="preserve"> </w:t>
      </w:r>
      <w:r>
        <w:t xml:space="preserve">the</w:t>
      </w:r>
      <w:r>
        <w:t xml:space="preserve"> </w:t>
      </w:r>
      <w:r>
        <w:t xml:space="preserve">foregoing</w:t>
      </w:r>
      <w:r>
        <w:t xml:space="preserve"> </w:t>
      </w:r>
      <w:r>
        <w:t xml:space="preserve">brief,</w:t>
      </w:r>
      <w:r>
        <w:t xml:space="preserve"> </w:t>
      </w:r>
      <w:r>
        <w:t xml:space="preserve">which</w:t>
      </w:r>
      <w:r>
        <w:t xml:space="preserve"> </w:t>
      </w:r>
      <w:r>
        <w:t xml:space="preserve">is</w:t>
      </w:r>
      <w:r>
        <w:t xml:space="preserve"> </w:t>
      </w:r>
      <w:r>
        <w:t xml:space="preserve">prepared</w:t>
      </w:r>
      <w:r>
        <w:t xml:space="preserve"> </w:t>
      </w:r>
      <w:r>
        <w:t xml:space="preserve">using</w:t>
      </w:r>
      <w:r>
        <w:t xml:space="preserve"> </w:t>
      </w:r>
      <w:r>
        <w:t xml:space="preserve">a</w:t>
      </w:r>
      <w:r>
        <w:t xml:space="preserve"> </w:t>
      </w:r>
      <w:r>
        <w:t xml:space="preserve">12-point</w:t>
      </w:r>
      <w:r>
        <w:t xml:space="preserve"> </w:t>
      </w:r>
      <w:r>
        <w:t xml:space="preserve">proportionally</w:t>
      </w:r>
      <w:r>
        <w:t xml:space="preserve"> </w:t>
      </w:r>
      <w:r>
        <w:t xml:space="preserve">spaced</w:t>
      </w:r>
      <w:r>
        <w:t xml:space="preserve"> </w:t>
      </w:r>
      <w:r>
        <w:t xml:space="preserve">font</w:t>
      </w:r>
      <w:r>
        <w:t xml:space="preserve"> </w:t>
      </w:r>
      <w:r>
        <w:t xml:space="preserve">with</w:t>
      </w:r>
      <w:r>
        <w:t xml:space="preserve"> </w:t>
      </w:r>
      <w:r>
        <w:t xml:space="preserve">serifs,</w:t>
      </w:r>
      <w:r>
        <w:t xml:space="preserve"> </w:t>
      </w:r>
      <w:r>
        <w:t xml:space="preserve">is</w:t>
      </w:r>
      <w:r>
        <w:t xml:space="preserve"> </w:t>
      </w:r>
      <w:r>
        <w:t xml:space="preserve">fewer</w:t>
      </w:r>
      <w:r>
        <w:t xml:space="preserve"> </w:t>
      </w:r>
      <w:r>
        <w:t xml:space="preserve">than</w:t>
      </w:r>
      <w:r>
        <w:t xml:space="preserve"> </w:t>
      </w:r>
      <w:r>
        <w:t xml:space="preserve">8,750</w:t>
      </w:r>
      <w:r>
        <w:t xml:space="preserve"> </w:t>
      </w:r>
      <w:r>
        <w:t xml:space="preserve">words</w:t>
      </w:r>
      <w:r>
        <w:t xml:space="preserve"> </w:t>
      </w:r>
      <w:r>
        <w:t xml:space="preserve">(excluding</w:t>
      </w:r>
      <w:r>
        <w:t xml:space="preserve"> </w:t>
      </w:r>
      <w:r>
        <w:t xml:space="preserve">cover,</w:t>
      </w:r>
      <w:r>
        <w:t xml:space="preserve"> </w:t>
      </w:r>
      <w:r>
        <w:t xml:space="preserve">index,</w:t>
      </w:r>
      <w:r>
        <w:t xml:space="preserve"> </w:t>
      </w:r>
      <w:r>
        <w:t xml:space="preserve">table</w:t>
      </w:r>
      <w:r>
        <w:t xml:space="preserve"> </w:t>
      </w:r>
      <w:r>
        <w:t xml:space="preserve">of</w:t>
      </w:r>
      <w:r>
        <w:t xml:space="preserve"> </w:t>
      </w:r>
      <w:r>
        <w:t xml:space="preserve">authorities,</w:t>
      </w:r>
      <w:r>
        <w:t xml:space="preserve"> </w:t>
      </w:r>
      <w:r>
        <w:t xml:space="preserve">caption,</w:t>
      </w:r>
      <w:r>
        <w:t xml:space="preserve"> </w:t>
      </w:r>
      <w:r>
        <w:t xml:space="preserve">signature</w:t>
      </w:r>
      <w:r>
        <w:t xml:space="preserve"> </w:t>
      </w:r>
      <w:r>
        <w:t xml:space="preserve">blocks,</w:t>
      </w:r>
      <w:r>
        <w:t xml:space="preserve"> </w:t>
      </w:r>
      <w:r>
        <w:t xml:space="preserve">certificate</w:t>
      </w:r>
      <w:r>
        <w:t xml:space="preserve"> </w:t>
      </w:r>
      <w:r>
        <w:t xml:space="preserve">of</w:t>
      </w:r>
      <w:r>
        <w:t xml:space="preserve"> </w:t>
      </w:r>
      <w:r>
        <w:t xml:space="preserve">service,</w:t>
      </w:r>
      <w:r>
        <w:t xml:space="preserve"> </w:t>
      </w:r>
      <w:r>
        <w:t xml:space="preserve">and</w:t>
      </w:r>
      <w:r>
        <w:t xml:space="preserve"> </w:t>
      </w:r>
      <w:r>
        <w:t xml:space="preserve">this</w:t>
      </w:r>
      <w:r>
        <w:t xml:space="preserve"> </w:t>
      </w:r>
      <w:r>
        <w:t xml:space="preserve">certificate</w:t>
      </w:r>
      <w:r>
        <w:t xml:space="preserve"> </w:t>
      </w:r>
      <w:r>
        <w:t xml:space="preserve">of</w:t>
      </w:r>
      <w:r>
        <w:t xml:space="preserve"> </w:t>
      </w:r>
      <w:r>
        <w:t xml:space="preserve">compliance)</w:t>
      </w:r>
      <w:r>
        <w:t xml:space="preserve"> </w:t>
      </w:r>
      <w:r>
        <w:t xml:space="preserve">as</w:t>
      </w:r>
      <w:r>
        <w:t xml:space="preserve"> </w:t>
      </w:r>
      <w:r>
        <w:t xml:space="preserve">reported</w:t>
      </w:r>
      <w:r>
        <w:t xml:space="preserve"> </w:t>
      </w:r>
      <w:r>
        <w:t xml:space="preserve">by</w:t>
      </w:r>
      <w:r>
        <w:t xml:space="preserve"> </w:t>
      </w:r>
      <w:r>
        <w:t xml:space="preserve">the</w:t>
      </w:r>
      <w:r>
        <w:t xml:space="preserve"> </w:t>
      </w:r>
      <w:r>
        <w:t xml:space="preserve">word-processing</w:t>
      </w:r>
      <w:r>
        <w:t xml:space="preserve"> </w:t>
      </w:r>
      <w:r>
        <w:t xml:space="preserve">software</w:t>
      </w:r>
      <w:r>
        <w:t xml:space="preserve"> </w:t>
      </w:r>
      <w:r>
        <w:t xml:space="preserve">used</w:t>
      </w:r>
      <w:r>
        <w:t xml:space="preserve"> </w:t>
      </w:r>
      <w:r>
        <w:t xml:space="preserve">to</w:t>
      </w:r>
      <w:r>
        <w:t xml:space="preserve"> </w:t>
      </w:r>
      <w:r>
        <w:t xml:space="preserve">prepare</w:t>
      </w:r>
      <w:r>
        <w:t xml:space="preserve"> </w:t>
      </w:r>
      <w:r>
        <w:t xml:space="preserve">this</w:t>
      </w:r>
      <w:r>
        <w:t xml:space="preserve"> </w:t>
      </w:r>
      <w:r>
        <w:t xml:space="preserve">brief.</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rPr>
                <w:b/>
                <w:bCs/>
              </w:rPr>
              <w:t xml:space="preserve">BROOKS,</w:t>
            </w:r>
            <w:r>
              <w:rPr>
                <w:b/>
                <w:bCs/>
              </w:rPr>
              <w:t xml:space="preserve"> </w:t>
            </w:r>
            <w:r>
              <w:rPr>
                <w:b/>
                <w:bCs/>
              </w:rPr>
              <w:t xml:space="preserve">PIERCE,</w:t>
            </w:r>
            <w:r>
              <w:rPr>
                <w:b/>
                <w:bCs/>
              </w:rPr>
              <w:t xml:space="preserve"> </w:t>
            </w:r>
            <w:r>
              <w:rPr>
                <w:b/>
                <w:bCs/>
              </w:rPr>
              <w:t xml:space="preserve">McLENDON,</w:t>
            </w:r>
            <w:r>
              <w:rPr>
                <w:b/>
                <w:bCs/>
              </w:rPr>
              <w:t xml:space="preserve"> </w:t>
            </w:r>
            <w:r>
              <w:rPr>
                <w:b/>
                <w:bCs/>
              </w:rPr>
              <w:t xml:space="preserve">HUMPHREY</w:t>
            </w:r>
            <w:r>
              <w:rPr>
                <w:b/>
                <w:bCs/>
              </w:rPr>
              <w:t xml:space="preserve"> </w:t>
            </w:r>
            <w:r>
              <w:rPr>
                <w:b/>
                <w:bCs/>
              </w:rPr>
              <w:t xml:space="preserve">&amp;</w:t>
            </w:r>
            <w:r>
              <w:rPr>
                <w:b/>
                <w:bCs/>
              </w:rPr>
              <w:t xml:space="preserve"> </w:t>
            </w:r>
            <w:r>
              <w:rPr>
                <w:b/>
                <w:bCs/>
              </w:rPr>
              <w:t xml:space="preserve">LEONARD,</w:t>
            </w:r>
            <w:r>
              <w:rPr>
                <w:b/>
                <w:bCs/>
              </w:rPr>
              <w:t xml:space="preserve"> </w:t>
            </w:r>
            <w:r>
              <w:rPr>
                <w:b/>
                <w:bCs/>
              </w:rPr>
              <w:t xml:space="preserve">LLP</w:t>
            </w:r>
          </w:p>
          <w:p>
            <w:pPr>
              <w:spacing w:before="192" w:after="0" w:line="276" w:lineRule="exact"/>
              <w:ind w:left="4608" w:firstLine="0"/>
              <w:jc w:val="left"/>
            </w:pPr>
            <w:r>
              <w:rPr>
                <w:u w:val="single"/>
              </w:rPr>
              <w:t xml:space="preserve">/s/</w:t>
            </w:r>
            <w:r>
              <w:rPr>
                <w:u w:val="single"/>
              </w:rPr>
              <w:t xml:space="preserve"> </w:t>
            </w:r>
            <w:r>
              <w:rPr>
                <w:i/>
                <w:iCs/>
                <w:u w:val="single"/>
              </w:rPr>
              <w:t xml:space="preserve">Greg</w:t>
            </w:r>
            <w:r>
              <w:rPr>
                <w:i/>
                <w:iCs/>
                <w:u w:val="single"/>
              </w:rPr>
              <w:t xml:space="preserve"> </w:t>
            </w:r>
            <w:r>
              <w:rPr>
                <w:i/>
                <w:iCs/>
                <w:u w:val="single"/>
              </w:rPr>
              <w:t xml:space="preserve">Gaught</w:t>
            </w:r>
          </w:p>
          <w:p>
            <w:pPr>
              <w:spacing w:before="0" w:after="0" w:line="276" w:lineRule="exact"/>
              <w:ind w:left="4608" w:firstLine="0"/>
              <w:jc w:val="left"/>
            </w:pPr>
            <w:r>
              <w:t xml:space="preserve">Greg</w:t>
            </w:r>
            <w:r>
              <w:t xml:space="preserve"> </w:t>
            </w:r>
            <w:r>
              <w:t xml:space="preserve">Gaught</w:t>
            </w:r>
          </w:p>
          <w:p>
            <w:pPr>
              <w:spacing w:before="0" w:after="0" w:line="276" w:lineRule="exact"/>
              <w:ind w:left="4608" w:firstLine="0"/>
              <w:jc w:val="left"/>
            </w:pPr>
            <w:r>
              <w:t xml:space="preserve">N.C.</w:t>
            </w:r>
            <w:r>
              <w:t xml:space="preserve"> </w:t>
            </w:r>
            <w:r>
              <w:t xml:space="preserve">Bar</w:t>
            </w:r>
            <w:r>
              <w:t xml:space="preserve"> </w:t>
            </w:r>
            <w:r>
              <w:t xml:space="preserve">No.</w:t>
            </w:r>
            <w:r>
              <w:t xml:space="preserve"> </w:t>
            </w:r>
            <w:r>
              <w:t xml:space="preserve">57616</w:t>
            </w:r>
          </w:p>
          <w:p>
            <w:pPr>
              <w:spacing w:before="0" w:after="0" w:line="276" w:lineRule="exact"/>
              <w:ind w:left="4608" w:firstLine="0"/>
              <w:jc w:val="left"/>
            </w:pPr>
            <w:r>
              <w:t xml:space="preserve">ggaught@brookspierce.com</w:t>
            </w:r>
          </w:p>
          <w:p>
            <w:pPr>
              <w:spacing w:before="0" w:after="0" w:line="276" w:lineRule="exact"/>
              <w:ind w:left="4608" w:firstLine="0"/>
              <w:jc w:val="left"/>
            </w:pPr>
            <w:r>
              <w:t xml:space="preserve">150</w:t>
            </w:r>
            <w:r>
              <w:t xml:space="preserve"> </w:t>
            </w:r>
            <w:r>
              <w:t xml:space="preserve">Fayetteville</w:t>
            </w:r>
            <w:r>
              <w:t xml:space="preserve"> </w:t>
            </w:r>
            <w:r>
              <w:t xml:space="preserve">Street,</w:t>
            </w:r>
            <w:r>
              <w:t xml:space="preserve"> </w:t>
            </w:r>
            <w:r>
              <w:t xml:space="preserve">Suite</w:t>
            </w:r>
            <w:r>
              <w:t xml:space="preserve"> </w:t>
            </w:r>
            <w:r>
              <w:t xml:space="preserve">1700</w:t>
            </w:r>
          </w:p>
          <w:p>
            <w:pPr>
              <w:spacing w:before="0" w:after="0" w:line="276" w:lineRule="exact"/>
              <w:ind w:left="4608" w:firstLine="0"/>
              <w:jc w:val="left"/>
            </w:pPr>
            <w:r>
              <w:t xml:space="preserve">Raleigh,</w:t>
            </w:r>
            <w:r>
              <w:t xml:space="preserve"> </w:t>
            </w:r>
            <w:r>
              <w:t xml:space="preserve">NC</w:t>
            </w:r>
            <w:r>
              <w:t xml:space="preserve"> </w:t>
            </w:r>
            <w:r>
              <w:t xml:space="preserve">27601</w:t>
            </w:r>
          </w:p>
          <w:p>
            <w:pPr>
              <w:spacing w:before="0" w:after="0" w:line="276" w:lineRule="exact"/>
              <w:ind w:left="4608" w:firstLine="0"/>
              <w:jc w:val="left"/>
            </w:pPr>
            <w:r>
              <w:t xml:space="preserve">T:</w:t>
            </w:r>
            <w:r>
              <w:t xml:space="preserve"> </w:t>
            </w:r>
            <w:r>
              <w:t xml:space="preserve">(919)</w:t>
            </w:r>
            <w:r>
              <w:t xml:space="preserve"> </w:t>
            </w:r>
            <w:r>
              <w:t xml:space="preserve">882</w:t>
              <w:noBreakHyphen/>
              <w:t xml:space="preserve">2528</w:t>
            </w:r>
          </w:p>
          <w:p>
            <w:pPr>
              <w:spacing w:before="0" w:after="0" w:line="276" w:lineRule="exact"/>
              <w:ind w:left="4608" w:firstLine="0"/>
              <w:jc w:val="left"/>
            </w:pPr>
            <w:r>
              <w:t xml:space="preserve">F:</w:t>
            </w:r>
            <w:r>
              <w:t xml:space="preserve"> </w:t>
            </w:r>
            <w:r>
              <w:t xml:space="preserve">(336)</w:t>
            </w:r>
            <w:r>
              <w:t xml:space="preserve"> </w:t>
            </w:r>
            <w:r>
              <w:t xml:space="preserve">232</w:t>
              <w:noBreakHyphen/>
              <w:t xml:space="preserve">9108</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144"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day</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served</w:t>
      </w:r>
      <w:r>
        <w:t xml:space="preserve"> </w:t>
      </w:r>
      <w:r>
        <w:t xml:space="preserve">on</w:t>
      </w:r>
      <w:r>
        <w:t xml:space="preserve"> </w:t>
      </w:r>
      <w:r>
        <w:t xml:space="preserve">the</w:t>
      </w:r>
      <w:r>
        <w:t xml:space="preserve"> </w:t>
      </w:r>
      <w:r>
        <w:t xml:space="preserve">persons</w:t>
      </w:r>
      <w:r>
        <w:t xml:space="preserve"> </w:t>
      </w:r>
      <w:r>
        <w:t xml:space="preserve">indicated</w:t>
      </w:r>
      <w:r>
        <w:t xml:space="preserve"> </w:t>
      </w:r>
      <w:r>
        <w:t xml:space="preserve">below</w:t>
      </w:r>
      <w:r>
        <w:t xml:space="preserve"> </w:t>
      </w:r>
      <w:r>
        <w:t xml:space="preserve">by</w:t>
      </w:r>
      <w:r>
        <w:t xml:space="preserve"> </w:t>
      </w:r>
      <w:r>
        <w:t xml:space="preserve">via</w:t>
      </w:r>
      <w:r>
        <w:t xml:space="preserve"> </w:t>
      </w:r>
      <w:r>
        <w:t xml:space="preserve">email,</w:t>
      </w:r>
      <w:r>
        <w:t xml:space="preserve"> </w:t>
      </w:r>
      <w:r>
        <w:t xml:space="preserve">addressed</w:t>
      </w:r>
      <w:r>
        <w:t xml:space="preserve"> </w:t>
      </w:r>
      <w:r>
        <w:t xml:space="preserve">as</w:t>
      </w:r>
      <w:r>
        <w:t xml:space="preserve"> </w:t>
      </w:r>
      <w:r>
        <w:t xml:space="preserve">follows:</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Gary</w:t>
            </w:r>
            <w:r>
              <w:t xml:space="preserve"> </w:t>
            </w:r>
            <w:r>
              <w:t xml:space="preserve">K.</w:t>
            </w:r>
            <w:r>
              <w:t xml:space="preserve"> </w:t>
            </w:r>
            <w:r>
              <w:t xml:space="preserve">Sue</w:t>
            </w:r>
          </w:p>
          <w:p>
            <w:pPr>
              <w:spacing w:before="0" w:after="0" w:line="276" w:lineRule="exact"/>
              <w:ind w:left="1440" w:firstLine="0"/>
              <w:jc w:val="left"/>
            </w:pPr>
            <w:r>
              <w:t xml:space="preserve">Sue,</w:t>
            </w:r>
            <w:r>
              <w:t xml:space="preserve"> </w:t>
            </w:r>
            <w:r>
              <w:t xml:space="preserve">Anderson</w:t>
            </w:r>
            <w:r>
              <w:t xml:space="preserve"> </w:t>
            </w:r>
            <w:r>
              <w:t xml:space="preserve">&amp;</w:t>
            </w:r>
            <w:r>
              <w:t xml:space="preserve"> </w:t>
            </w:r>
            <w:r>
              <w:t xml:space="preserve">Bordman,</w:t>
            </w:r>
            <w:r>
              <w:t xml:space="preserve"> </w:t>
            </w:r>
            <w:r>
              <w:t xml:space="preserve">L.L.P.</w:t>
            </w:r>
          </w:p>
          <w:p>
            <w:pPr>
              <w:spacing w:before="0" w:after="0" w:line="276" w:lineRule="exact"/>
              <w:ind w:left="1440" w:firstLine="0"/>
              <w:jc w:val="left"/>
            </w:pPr>
            <w:r>
              <w:t xml:space="preserve">Post</w:t>
            </w:r>
            <w:r>
              <w:t xml:space="preserve"> </w:t>
            </w:r>
            <w:r>
              <w:t xml:space="preserve">Office</w:t>
            </w:r>
            <w:r>
              <w:t xml:space="preserve"> </w:t>
            </w:r>
            <w:r>
              <w:t xml:space="preserve">Box</w:t>
            </w:r>
            <w:r>
              <w:t xml:space="preserve"> </w:t>
            </w:r>
            <w:r>
              <w:t xml:space="preserve">20083</w:t>
            </w:r>
          </w:p>
          <w:p>
            <w:pPr>
              <w:spacing w:before="0" w:after="0" w:line="276" w:lineRule="exact"/>
              <w:ind w:left="1440" w:firstLine="0"/>
              <w:jc w:val="left"/>
            </w:pPr>
            <w:r>
              <w:t xml:space="preserve">Greensboro,</w:t>
            </w:r>
            <w:r>
              <w:t xml:space="preserve"> </w:t>
            </w:r>
            <w:r>
              <w:t xml:space="preserve">NC</w:t>
            </w:r>
            <w:r>
              <w:t xml:space="preserve"> </w:t>
            </w:r>
            <w:r>
              <w:t xml:space="preserve">27420</w:t>
            </w:r>
          </w:p>
          <w:p>
            <w:pPr>
              <w:spacing w:before="0" w:after="0" w:line="276" w:lineRule="exact"/>
              <w:ind w:left="1440" w:firstLine="0"/>
              <w:jc w:val="left"/>
            </w:pPr>
            <w:r>
              <w:t xml:space="preserve">gks@sa-nclaw.com</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Andrew</w:t>
            </w:r>
            <w:r>
              <w:t xml:space="preserve"> </w:t>
            </w:r>
            <w:r>
              <w:t xml:space="preserve">T.</w:t>
            </w:r>
            <w:r>
              <w:t xml:space="preserve"> </w:t>
            </w:r>
            <w:r>
              <w:t xml:space="preserve">Smith</w:t>
            </w:r>
          </w:p>
          <w:p>
            <w:pPr>
              <w:spacing w:before="0" w:after="0" w:line="276" w:lineRule="exact"/>
              <w:ind w:left="1440" w:firstLine="0"/>
              <w:jc w:val="left"/>
            </w:pPr>
            <w:r>
              <w:t xml:space="preserve">Sue,</w:t>
            </w:r>
            <w:r>
              <w:t xml:space="preserve"> </w:t>
            </w:r>
            <w:r>
              <w:t xml:space="preserve">Anderson</w:t>
            </w:r>
            <w:r>
              <w:t xml:space="preserve"> </w:t>
            </w:r>
            <w:r>
              <w:t xml:space="preserve">&amp;</w:t>
            </w:r>
            <w:r>
              <w:t xml:space="preserve"> </w:t>
            </w:r>
            <w:r>
              <w:t xml:space="preserve">Bordman,</w:t>
            </w:r>
            <w:r>
              <w:t xml:space="preserve"> </w:t>
            </w:r>
            <w:r>
              <w:t xml:space="preserve">L.L.P.</w:t>
            </w:r>
          </w:p>
          <w:p>
            <w:pPr>
              <w:spacing w:before="0" w:after="0" w:line="276" w:lineRule="exact"/>
              <w:ind w:left="1440" w:firstLine="0"/>
              <w:jc w:val="left"/>
            </w:pPr>
            <w:r>
              <w:t xml:space="preserve">Post</w:t>
            </w:r>
            <w:r>
              <w:t xml:space="preserve"> </w:t>
            </w:r>
            <w:r>
              <w:t xml:space="preserve">Office</w:t>
            </w:r>
            <w:r>
              <w:t xml:space="preserve"> </w:t>
            </w:r>
            <w:r>
              <w:t xml:space="preserve">Box</w:t>
            </w:r>
            <w:r>
              <w:t xml:space="preserve"> </w:t>
            </w:r>
            <w:r>
              <w:t xml:space="preserve">20083</w:t>
            </w:r>
          </w:p>
          <w:p>
            <w:pPr>
              <w:spacing w:before="0" w:after="0" w:line="276" w:lineRule="exact"/>
              <w:ind w:left="1440" w:firstLine="0"/>
              <w:jc w:val="left"/>
            </w:pPr>
            <w:r>
              <w:t xml:space="preserve">Greensboro,</w:t>
            </w:r>
            <w:r>
              <w:t xml:space="preserve"> </w:t>
            </w:r>
            <w:r>
              <w:t xml:space="preserve">NC</w:t>
            </w:r>
            <w:r>
              <w:t xml:space="preserve"> </w:t>
            </w:r>
            <w:r>
              <w:t xml:space="preserve">27420</w:t>
            </w:r>
          </w:p>
          <w:p>
            <w:pPr>
              <w:spacing w:before="0" w:after="0" w:line="276" w:lineRule="exact"/>
              <w:ind w:left="1440" w:firstLine="0"/>
              <w:jc w:val="left"/>
            </w:pPr>
            <w:r>
              <w:t xml:space="preserve">ats@sa-nclaw.com</w:t>
            </w:r>
          </w:p>
        </w:tc>
      </w:tr>
    </w:tbl>
    <w:p>
      <w:pPr>
        <w:spacing w:before="240" w:after="0" w:line="552" w:lineRule="exact"/>
        <w:ind w:left="0" w:firstLine="720"/>
        <w:jc w:val="left"/>
      </w:pPr>
      <w:r>
        <w:t xml:space="preserve">This</w:t>
      </w:r>
      <w:r>
        <w:t xml:space="preserve"> </w:t>
      </w:r>
      <w:r>
        <w:t xml:space="preserve">the</w:t>
      </w:r>
      <w:r>
        <w:t xml:space="preserve"> </w:t>
      </w:r>
      <w:r>
        <w:t xml:space="preserve">30th</w:t>
      </w:r>
      <w:r>
        <w:t xml:space="preserve"> </w:t>
      </w:r>
      <w:r>
        <w:t xml:space="preserve">day</w:t>
      </w:r>
      <w:r>
        <w:t xml:space="preserve"> </w:t>
      </w:r>
      <w:r>
        <w:t xml:space="preserve">of</w:t>
      </w:r>
      <w:r>
        <w:t xml:space="preserve"> </w:t>
      </w:r>
      <w:r>
        <w:t xml:space="preserve">October,</w:t>
      </w:r>
      <w:r>
        <w:t xml:space="preserve"> </w:t>
      </w:r>
      <w:r>
        <w:t xml:space="preserve">2025.</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rPr>
                <w:b/>
                <w:bCs/>
              </w:rPr>
              <w:t xml:space="preserve">BROOKS,</w:t>
            </w:r>
            <w:r>
              <w:rPr>
                <w:b/>
                <w:bCs/>
              </w:rPr>
              <w:t xml:space="preserve"> </w:t>
            </w:r>
            <w:r>
              <w:rPr>
                <w:b/>
                <w:bCs/>
              </w:rPr>
              <w:t xml:space="preserve">PIERCE,</w:t>
            </w:r>
            <w:r>
              <w:rPr>
                <w:b/>
                <w:bCs/>
              </w:rPr>
              <w:t xml:space="preserve"> </w:t>
            </w:r>
            <w:r>
              <w:rPr>
                <w:b/>
                <w:bCs/>
              </w:rPr>
              <w:t xml:space="preserve">McLENDON,</w:t>
            </w:r>
            <w:r>
              <w:rPr>
                <w:b/>
                <w:bCs/>
              </w:rPr>
              <w:t xml:space="preserve"> </w:t>
            </w:r>
            <w:r>
              <w:rPr>
                <w:b/>
                <w:bCs/>
              </w:rPr>
              <w:t xml:space="preserve">HUMPHREY</w:t>
            </w:r>
            <w:r>
              <w:rPr>
                <w:b/>
                <w:bCs/>
              </w:rPr>
              <w:t xml:space="preserve"> </w:t>
            </w:r>
            <w:r>
              <w:rPr>
                <w:b/>
                <w:bCs/>
              </w:rPr>
              <w:t xml:space="preserve">&amp;</w:t>
            </w:r>
            <w:r>
              <w:rPr>
                <w:b/>
                <w:bCs/>
              </w:rPr>
              <w:t xml:space="preserve"> </w:t>
            </w:r>
            <w:r>
              <w:rPr>
                <w:b/>
                <w:bCs/>
              </w:rPr>
              <w:t xml:space="preserve">LEONARD,</w:t>
            </w:r>
            <w:r>
              <w:rPr>
                <w:b/>
                <w:bCs/>
              </w:rPr>
              <w:t xml:space="preserve"> </w:t>
            </w:r>
            <w:r>
              <w:rPr>
                <w:b/>
                <w:bCs/>
              </w:rPr>
              <w:t xml:space="preserve">LLP</w:t>
            </w:r>
          </w:p>
          <w:p>
            <w:pPr>
              <w:spacing w:before="192" w:after="0" w:line="276" w:lineRule="exact"/>
              <w:ind w:left="4608" w:firstLine="0"/>
              <w:jc w:val="left"/>
            </w:pPr>
            <w:r>
              <w:rPr>
                <w:u w:val="single"/>
              </w:rPr>
              <w:t xml:space="preserve">/s/</w:t>
            </w:r>
            <w:r>
              <w:rPr>
                <w:u w:val="single"/>
              </w:rPr>
              <w:t xml:space="preserve"> </w:t>
            </w:r>
            <w:r>
              <w:rPr>
                <w:i/>
                <w:iCs/>
                <w:u w:val="single"/>
              </w:rPr>
              <w:t xml:space="preserve">Greg</w:t>
            </w:r>
            <w:r>
              <w:rPr>
                <w:i/>
                <w:iCs/>
                <w:u w:val="single"/>
              </w:rPr>
              <w:t xml:space="preserve"> </w:t>
            </w:r>
            <w:r>
              <w:rPr>
                <w:i/>
                <w:iCs/>
                <w:u w:val="single"/>
              </w:rPr>
              <w:t xml:space="preserve">Gaught</w:t>
            </w:r>
          </w:p>
          <w:p>
            <w:pPr>
              <w:spacing w:before="0" w:after="0" w:line="276" w:lineRule="exact"/>
              <w:ind w:left="4608" w:firstLine="0"/>
              <w:jc w:val="left"/>
            </w:pPr>
            <w:r>
              <w:t xml:space="preserve">Greg</w:t>
            </w:r>
            <w:r>
              <w:t xml:space="preserve"> </w:t>
            </w:r>
            <w:r>
              <w:t xml:space="preserve">Gaught</w:t>
            </w:r>
          </w:p>
          <w:p>
            <w:pPr>
              <w:spacing w:before="0" w:after="0" w:line="276" w:lineRule="exact"/>
              <w:ind w:left="4608" w:firstLine="0"/>
              <w:jc w:val="left"/>
            </w:pPr>
            <w:r>
              <w:t xml:space="preserve">N.C.</w:t>
            </w:r>
            <w:r>
              <w:t xml:space="preserve"> </w:t>
            </w:r>
            <w:r>
              <w:t xml:space="preserve">Bar</w:t>
            </w:r>
            <w:r>
              <w:t xml:space="preserve"> </w:t>
            </w:r>
            <w:r>
              <w:t xml:space="preserve">No.</w:t>
            </w:r>
            <w:r>
              <w:t xml:space="preserve"> </w:t>
            </w:r>
            <w:r>
              <w:t xml:space="preserve">57616</w:t>
            </w:r>
          </w:p>
          <w:p>
            <w:pPr>
              <w:spacing w:before="0" w:after="0" w:line="276" w:lineRule="exact"/>
              <w:ind w:left="4608" w:firstLine="0"/>
              <w:jc w:val="left"/>
            </w:pPr>
            <w:r>
              <w:t xml:space="preserve">ggaught@brookspierce.com</w:t>
            </w:r>
          </w:p>
          <w:p>
            <w:pPr>
              <w:spacing w:before="0" w:after="0" w:line="276" w:lineRule="exact"/>
              <w:ind w:left="4608" w:firstLine="0"/>
              <w:jc w:val="left"/>
            </w:pPr>
            <w:r>
              <w:t xml:space="preserve">150</w:t>
            </w:r>
            <w:r>
              <w:t xml:space="preserve"> </w:t>
            </w:r>
            <w:r>
              <w:t xml:space="preserve">Fayetteville</w:t>
            </w:r>
            <w:r>
              <w:t xml:space="preserve"> </w:t>
            </w:r>
            <w:r>
              <w:t xml:space="preserve">Street,</w:t>
            </w:r>
            <w:r>
              <w:t xml:space="preserve"> </w:t>
            </w:r>
            <w:r>
              <w:t xml:space="preserve">Suite</w:t>
            </w:r>
            <w:r>
              <w:t xml:space="preserve"> </w:t>
            </w:r>
            <w:r>
              <w:t xml:space="preserve">1700</w:t>
            </w:r>
          </w:p>
          <w:p>
            <w:pPr>
              <w:spacing w:before="0" w:after="0" w:line="276" w:lineRule="exact"/>
              <w:ind w:left="4608" w:firstLine="0"/>
              <w:jc w:val="left"/>
            </w:pPr>
            <w:r>
              <w:t xml:space="preserve">Raleigh,</w:t>
            </w:r>
            <w:r>
              <w:t xml:space="preserve"> </w:t>
            </w:r>
            <w:r>
              <w:t xml:space="preserve">NC</w:t>
            </w:r>
            <w:r>
              <w:t xml:space="preserve"> </w:t>
            </w:r>
            <w:r>
              <w:t xml:space="preserve">27601</w:t>
            </w:r>
          </w:p>
          <w:p>
            <w:pPr>
              <w:spacing w:before="0" w:after="0" w:line="276" w:lineRule="exact"/>
              <w:ind w:left="4608" w:firstLine="0"/>
              <w:jc w:val="left"/>
            </w:pPr>
            <w:r>
              <w:t xml:space="preserve">T:</w:t>
            </w:r>
            <w:r>
              <w:t xml:space="preserve"> </w:t>
            </w:r>
            <w:r>
              <w:t xml:space="preserve">(919)</w:t>
            </w:r>
            <w:r>
              <w:t xml:space="preserve"> </w:t>
            </w:r>
            <w:r>
              <w:t xml:space="preserve">882</w:t>
              <w:noBreakHyphen/>
              <w:t xml:space="preserve">2528</w:t>
            </w:r>
          </w:p>
          <w:p>
            <w:pPr>
              <w:spacing w:before="0" w:after="0" w:line="276" w:lineRule="exact"/>
              <w:ind w:left="4608" w:firstLine="0"/>
              <w:jc w:val="left"/>
            </w:pPr>
            <w:r>
              <w:t xml:space="preserve">F:</w:t>
            </w:r>
            <w:r>
              <w:t xml:space="preserve"> </w:t>
            </w:r>
            <w:r>
              <w:t xml:space="preserve">(336)</w:t>
            </w:r>
            <w:r>
              <w:t xml:space="preserve"> </w:t>
            </w:r>
            <w:r>
              <w:t xml:space="preserve">232</w:t>
              <w:noBreakHyphen/>
              <w:t xml:space="preserve">9108</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Though the no-contact order is stayed pending this appeal and expires by its own terms on 21 April 2026, its expiration will not moot this case. See Williams v. Vonderau,</w:t>
      </w:r>
      <w:r>
        <w:t xml:space="preserve"> </w:t>
      </w:r>
      <w:r>
        <w:t xml:space="preserve">362 N.C. 76, 77 (2007) (reversing decision “that an appeal related to a civil no-contact order is moot once the order expires”).</w:t>
      </w:r>
    </w:p>
  </w:footnote>
  <w:footnote w:id="10">
    <w:p>
      <w:pPr>
        <w:pStyle w:val="FootnoteText"/>
      </w:pPr>
      <w:r>
        <w:rPr>
          <w:rStyle w:val="FootnoteReference"/>
        </w:rPr>
        <w:footnoteRef/>
      </w:r>
      <w:r>
        <w:t xml:space="preserve"> </w:t>
      </w:r>
      <w:r>
        <w:t xml:space="preserve">For simplicity, the Facebook page and the website are referred to here collectively as “Anybody But Coble.”</w:t>
      </w:r>
    </w:p>
  </w:footnote>
  <w:footnote w:id="11">
    <w:p>
      <w:pPr>
        <w:pStyle w:val="FootnoteText"/>
      </w:pPr>
      <w:r>
        <w:rPr>
          <w:rStyle w:val="FootnoteReference"/>
        </w:rPr>
        <w:footnoteRef/>
      </w:r>
      <w:r>
        <w:t xml:space="preserve"> </w:t>
      </w:r>
      <w:r>
        <w:t xml:space="preserve">Ballentine recounted allegations in some posts that Coble had misreported campaign expenses as treasurer for the sheriff’s election campaign. Doc. Ex. 17.</w:t>
      </w:r>
    </w:p>
  </w:footnote>
  <w:footnote w:id="12">
    <w:p>
      <w:pPr>
        <w:pStyle w:val="FootnoteText"/>
      </w:pPr>
      <w:r>
        <w:rPr>
          <w:rStyle w:val="FootnoteReference"/>
        </w:rPr>
        <w:footnoteRef/>
      </w:r>
      <w:r>
        <w:t xml:space="preserve"> </w:t>
      </w:r>
      <w:r>
        <w:t xml:space="preserve">As is no doubt familiar to this Court, New York Times</w:t>
      </w:r>
      <w:r>
        <w:t xml:space="preserve"> </w:t>
      </w:r>
      <w:r>
        <w:t xml:space="preserve">Co. v. Sullivan holds that, under the First Amendment, a plaintiff asserting defamation claims against a public figure must prove a publication’s statements were knowingly false or made with reckless disregard for the truth. 376 U.S. 254, 280 (1964).</w:t>
      </w:r>
    </w:p>
  </w:footnote>
  <w:footnote w:id="13">
    <w:p>
      <w:pPr>
        <w:pStyle w:val="FootnoteText"/>
      </w:pPr>
      <w:r>
        <w:rPr>
          <w:rStyle w:val="FootnoteReference"/>
        </w:rPr>
        <w:footnoteRef/>
      </w:r>
      <w:r>
        <w:t xml:space="preserve"> </w:t>
      </w:r>
      <w:r>
        <w:t xml:space="preserve">At the hearing, Ballentine testified that his posts on “Anybody But Coble” were “all true” and “everything is sourced.” (Tp 76:6–12).</w:t>
      </w:r>
    </w:p>
  </w:footnote>
  <w:footnote w:id="14">
    <w:p>
      <w:pPr>
        <w:pStyle w:val="FootnoteText"/>
      </w:pPr>
      <w:r>
        <w:rPr>
          <w:rStyle w:val="FootnoteReference"/>
        </w:rPr>
        <w:footnoteRef/>
      </w:r>
      <w:r>
        <w:t xml:space="preserve"> </w:t>
      </w:r>
      <w:r>
        <w:t xml:space="preserve">The District Court did not order Ballentine to take down the “Anybody But Coble” website or delete any online content that had already been posted. (Tp 87:18–88:12 (“But the order [is,] if you’re going to say anything that’s about her, you’re going to be violating this order ….”)).</w:t>
      </w:r>
    </w:p>
  </w:footnote>
  <w:footnote w:id="15">
    <w:p>
      <w:pPr>
        <w:pStyle w:val="FootnoteText"/>
      </w:pPr>
      <w:r>
        <w:rPr>
          <w:rStyle w:val="FootnoteReference"/>
        </w:rPr>
        <w:footnoteRef/>
      </w:r>
      <w:r>
        <w:t xml:space="preserve"> </w:t>
      </w:r>
      <w:r>
        <w:t xml:space="preserve">The defendant in Weller</w:t>
      </w:r>
      <w:r>
        <w:t xml:space="preserve"> </w:t>
      </w:r>
      <w:r>
        <w:t xml:space="preserve">also asserted the no-contact order violated his free speech rights under the First Amendment, but the Court found it was unnecessary to reach this argument because the trial court’s order misapplied § 50C.</w:t>
      </w:r>
      <w:r>
        <w:t xml:space="preserve"> </w:t>
      </w:r>
      <w:r>
        <w:t xml:space="preserve">Id. at ¶ 19.</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