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THIRD</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432" w:lineRule="exact"/>
      </w:pPr>
    </w:p>
    <w:tbl>
      <w:tblPr>
        <w:tblW w:w="9216" w:type="dxa"/>
        <w:tblLayout w:type="fixed"/>
        <w:tblCellMar>
          <w:top w:w="0" w:type="dxa"/>
          <w:left w:w="0" w:type="dxa"/>
          <w:bottom w:w="0" w:type="dxa"/>
          <w:right w:w="0" w:type="dxa"/>
        </w:tblCellMar>
        <w:tblLook w:val="0000" w:firstRow="0" w:lastRow="0" w:firstColumn="0" w:lastColumn="0" w:noHBand="0" w:noVBand="0"/>
      </w:tblPr>
      <w:tblGrid>
        <w:gridCol w:w="5040"/>
        <w:gridCol w:w="4176"/>
      </w:tblGrid>
      <w:tr>
        <w:trPr>
          <w:cantSplit/>
        </w:trPr>
        <w:tc>
          <w:tcPr>
            <w:tcW w:w="5040" w:type="dxa"/>
          </w:tcPr>
          <w:p>
            <w:pPr>
              <w:spacing w:before="0" w:after="0" w:line="322" w:lineRule="exact"/>
              <w:ind w:left="0" w:firstLine="0"/>
              <w:jc w:val="left"/>
            </w:pPr>
            <w:r>
              <w:t xml:space="preserve">Dieter</w:t>
            </w:r>
            <w:r>
              <w:t xml:space="preserve"> </w:t>
            </w:r>
            <w:r>
              <w:t xml:space="preserve">Muller,</w:t>
            </w:r>
          </w:p>
          <w:p>
            <w:pPr>
              <w:spacing w:before="140" w:after="288" w:line="322" w:lineRule="exact"/>
              <w:ind w:left="1728" w:firstLine="0"/>
              <w:jc w:val="left"/>
            </w:pPr>
            <w:r>
              <w:rPr>
                <w:i/>
                <w:iCs/>
              </w:rPr>
              <w:t xml:space="preserve">Appellant,</w:t>
            </w:r>
          </w:p>
          <w:p>
            <w:pPr>
              <w:spacing w:before="0" w:after="0" w:line="322" w:lineRule="exact"/>
              <w:ind w:left="0" w:firstLine="0"/>
              <w:jc w:val="left"/>
            </w:pPr>
            <w:r>
              <w:t xml:space="preserve">v.</w:t>
            </w:r>
          </w:p>
          <w:p>
            <w:pPr>
              <w:spacing w:before="140" w:after="288" w:line="322" w:lineRule="exact"/>
              <w:ind w:left="1728" w:firstLine="0"/>
              <w:jc w:val="left"/>
            </w:pPr>
          </w:p>
          <w:p>
            <w:pPr>
              <w:spacing w:before="0" w:after="0" w:line="322" w:lineRule="exact"/>
              <w:ind w:left="0" w:firstLine="0"/>
              <w:jc w:val="left"/>
            </w:pPr>
            <w:r>
              <w:t xml:space="preserve">Roxana</w:t>
            </w:r>
            <w:r>
              <w:t xml:space="preserve"> </w:t>
            </w:r>
            <w:r>
              <w:t xml:space="preserve">Colmenares,</w:t>
            </w:r>
          </w:p>
          <w:p>
            <w:pPr>
              <w:spacing w:before="140" w:after="288" w:line="322" w:lineRule="exact"/>
              <w:ind w:left="1728" w:firstLine="0"/>
              <w:jc w:val="left"/>
            </w:pPr>
            <w:r>
              <w:rPr>
                <w:i/>
                <w:iCs/>
              </w:rPr>
              <w:t xml:space="preserve">Appellee.</w:t>
            </w:r>
          </w:p>
          <w:p>
            <w:pPr>
              <w:pBdr>
                <w:top w:val="single" w:sz="4" w:space="0" w:color="000000"/>
              </w:pBdr>
              <w:spacing w:before="288" w:after="0" w:line="1" w:lineRule="exact"/>
            </w:pPr>
          </w:p>
        </w:tc>
        <w:tc>
          <w:tcPr>
            <w:tcW w:w="4176" w:type="dxa"/>
            <w:tcMar>
              <w:left w:w="288" w:type="dxa"/>
            </w:tcMar>
          </w:tcPr>
          <w:p>
            <w:pPr>
              <w:spacing w:before="864" w:after="0" w:line="322" w:lineRule="exact"/>
              <w:ind w:left="0" w:firstLine="0"/>
              <w:jc w:val="left"/>
            </w:pPr>
            <w:r>
              <w:t xml:space="preserve">Case</w:t>
            </w:r>
            <w:r>
              <w:t xml:space="preserve"> </w:t>
            </w:r>
            <w:r>
              <w:t xml:space="preserve">No.</w:t>
            </w:r>
            <w:r>
              <w:t xml:space="preserve"> </w:t>
            </w:r>
            <w:r>
              <w:t xml:space="preserve">3D2026</w:t>
              <w:noBreakHyphen/>
              <w:t xml:space="preserve">0037</w:t>
            </w:r>
          </w:p>
          <w:p>
            <w:pPr>
              <w:spacing w:before="0" w:after="0" w:line="322" w:lineRule="exact"/>
              <w:ind w:left="0" w:firstLine="0"/>
              <w:jc w:val="left"/>
            </w:pPr>
            <w:r>
              <w:t xml:space="preserve">L.T.</w:t>
            </w:r>
            <w:r>
              <w:t xml:space="preserve"> </w:t>
            </w:r>
            <w:r>
              <w:t xml:space="preserve">Case</w:t>
            </w:r>
            <w:r>
              <w:t xml:space="preserve"> </w:t>
            </w:r>
            <w:r>
              <w:t xml:space="preserve">No.</w:t>
            </w:r>
            <w:r>
              <w:t xml:space="preserve"> </w:t>
            </w:r>
            <w:r>
              <w:t xml:space="preserve">25</w:t>
              <w:noBreakHyphen/>
              <w:t xml:space="preserve">7102-CA</w:t>
              <w:noBreakHyphen/>
              <w:t xml:space="preserve">01</w:t>
            </w:r>
          </w:p>
        </w:tc>
      </w:tr>
    </w:tbl>
    <w:p>
      <w:pPr>
        <w:spacing w:before="576" w:after="576" w:line="322" w:lineRule="exact"/>
        <w:ind w:left="0" w:firstLine="0"/>
        <w:jc w:val="center"/>
      </w:pPr>
      <w:r>
        <w:rPr>
          <w:b/>
          <w:bCs/>
        </w:rPr>
        <w:t xml:space="preserve">APPELLEE’S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APPEAL</w:t>
      </w:r>
      <w:r>
        <w:rPr>
          <w:b/>
          <w:bCs/>
        </w:rPr>
        <w:t xml:space="preserve"> </w:t>
      </w:r>
      <w:r>
        <w:rPr>
          <w:b/>
          <w:bCs/>
        </w:rPr>
        <w:t xml:space="preserve">AND</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STRIKE</w:t>
      </w:r>
      <w:r>
        <w:rPr>
          <w:b/>
          <w:bCs/>
        </w:rPr>
        <w:t xml:space="preserve"> </w:t>
      </w:r>
      <w:r>
        <w:rPr>
          <w:b/>
          <w:bCs/>
        </w:rPr>
        <w:t xml:space="preserve">APPELLANT’S</w:t>
      </w:r>
      <w:r>
        <w:rPr>
          <w:b/>
          <w:bCs/>
        </w:rPr>
        <w:t xml:space="preserve"> </w:t>
      </w:r>
      <w:r>
        <w:rPr>
          <w:b/>
          <w:bCs/>
        </w:rPr>
        <w:t xml:space="preserve">INITIAL</w:t>
      </w:r>
      <w:r>
        <w:rPr>
          <w:b/>
          <w:bCs/>
        </w:rPr>
        <w:t xml:space="preserve"> </w:t>
      </w:r>
      <w:r>
        <w:rPr>
          <w:b/>
          <w:bCs/>
        </w:rPr>
        <w:t xml:space="preserve">BRIEF</w:t>
      </w:r>
    </w:p>
    <w:p>
      <w:pPr>
        <w:pStyle w:val="BodyText"/>
      </w:pPr>
      <w:r>
        <w:t xml:space="preserve">Appellee, Roxana Colmenares, by and through undersigned counsel, file this Motion to Dismiss Appeal and Motion to Strike Appellant’s Initial Brief, and in support, states as follows:</w:t>
      </w:r>
    </w:p>
    <w:p>
      <w:pPr>
        <w:pStyle w:val="BodyText"/>
      </w:pPr>
      <w:r>
        <w:t xml:space="preserve">The Appendix provided by the Appellant’s Counsel demonstrates that his purported counsel, Edgardo Ferreyra and Luks, Santaniello, Petrillo Sohen &amp; Peterfriend, have never been in contact with Appellant Dieter Muller. See App’x 191 (</w:t>
      </w:r>
      <w:r>
        <w:t xml:space="preserve">“There’s no contact right now between ourselves and the defendant.”</w:t>
      </w:r>
      <w:r>
        <w:t xml:space="preserve">). Indeed, there is no evidence that opposing counsel has authority to represent Mr. Muller at all.</w:t>
      </w:r>
    </w:p>
    <w:p>
      <w:pPr>
        <w:pStyle w:val="BodyText"/>
      </w:pPr>
      <w:r>
        <w:t xml:space="preserve">It is well established that an attorney cannot act without a client’s consent. See St. Lucie Estates v. Palm Beach Plumbing Supply Co., 133 So. 841, 844 (Fla. 1980) (</w:t>
      </w:r>
      <w:r>
        <w:t xml:space="preserve">“The defendant not having been served, the appearance was at best only a voluntary appearance, and it could not be voluntary without the knowledge or authority of the defendant.”</w:t>
      </w:r>
      <w:r>
        <w:t xml:space="preserve">); Gonzalez v. Totalbank, 472 So. 2d 816, 864–65 (Fla. 3d DCA 1985) (</w:t>
      </w:r>
      <w:r>
        <w:t xml:space="preserve">“[A]n attorney is not authorized to represent any person without the consent of that person or something with authority to represent that person.”</w:t>
      </w:r>
      <w:r>
        <w:t xml:space="preserve">); Colonial Press of Miami, Inc. v. Sanders, 264 So. 2d 92, 93 (Fla. 3d DCA 1972) (</w:t>
      </w:r>
      <w:r>
        <w:t xml:space="preserve">“An attorney has no power to act for another as legal representative or counsel by virtue of his license alone. He must have a contract of employment, express or implied, with the party for whom he purports to act or someone authorized to represent that party.”</w:t>
      </w:r>
      <w:r>
        <w:t xml:space="preserve">); see also Florida Bar v. Brumbaugh, 355 So. 2d 1186, 1190 (Fla. 1978) (</w:t>
      </w:r>
      <w:r>
        <w:t xml:space="preserve">“A person should not be forced to have an attorney represent his legal interests if he does not consent to such representation.”</w:t>
      </w:r>
      <w:r>
        <w:t xml:space="preserve">).</w:t>
      </w:r>
    </w:p>
    <w:p>
      <w:pPr>
        <w:pStyle w:val="BodyText"/>
      </w:pPr>
      <w:r>
        <w:t xml:space="preserve">This proposition has been emphasized by this Court:</w:t>
      </w:r>
    </w:p>
    <w:p>
      <w:pPr>
        <w:pStyle w:val="XdQuoteOnly"/>
      </w:pPr>
      <w:r>
        <w:t xml:space="preserve">We wish to emphasize for the benefit of the bar that representing someone without their consent is clearly improper. It deprives the</w:t>
      </w:r>
      <w:r>
        <w:t xml:space="preserve"> </w:t>
      </w:r>
      <w:r>
        <w:t xml:space="preserve">“client,”</w:t>
      </w:r>
      <w:r>
        <w:t xml:space="preserve"> </w:t>
      </w:r>
      <w:r>
        <w:t xml:space="preserve">at least initially, of the freedom to choose counsel. In cases like the present one, it makes it virtually impossible for counsel to determine if there is some conflict between the multiple clients he purports to represent which might necessitate some action on his part. In situations like the one at bar, where the attorney has no contact with the client whatsoever, it makes it difficult to adhere to ethical considerations designed to allow a client to make informed choices. And, finally, it may expose counsel to liability for any damage caused the</w:t>
      </w:r>
      <w:r>
        <w:t xml:space="preserve"> </w:t>
      </w:r>
      <w:r>
        <w:t xml:space="preserve">“client”</w:t>
      </w:r>
      <w:r>
        <w:t xml:space="preserve"> </w:t>
      </w:r>
      <w:r>
        <w:t xml:space="preserve">by his or her unauthorized acts.</w:t>
      </w:r>
    </w:p>
    <w:p>
      <w:pPr>
        <w:pStyle w:val="BodyText"/>
      </w:pPr>
      <w:r>
        <w:t xml:space="preserve">Gonzalez, 472 So. 2d at 865 n.2 (internal citations omitted); Jensen v. Sierra Grill, Inc. 876 So. 2d 1264, 1266 (Fla. 3d DCA 2004) (relying on Gonalez).</w:t>
      </w:r>
    </w:p>
    <w:p>
      <w:pPr>
        <w:pStyle w:val="BodyText"/>
      </w:pPr>
      <w:r>
        <w:t xml:space="preserve">The prohibition against acting on a party’s behalf without their knowledge extends to insurance cases. See Cont’l Ins. Co. v. City of Miami Beach, 521 So. 2d 232, 233 (Fla. 3d DCA 1988) (affirming summary judgment where insurer failed to ask the insured for approval of independent counsel and the insured was not apprised of the progress of the case).</w:t>
      </w:r>
    </w:p>
    <w:p>
      <w:pPr>
        <w:pStyle w:val="BodyText"/>
      </w:pPr>
      <w:r>
        <w:t xml:space="preserve">It is undisputed that no one involved in this case has had contact with Mr. Muller. Accordingly, it is evident that he has not acquiesced to counsel’s representation of him. See Cont’l Ins. Co, 521 So. 2d at 233 (holding that</w:t>
      </w:r>
      <w:r>
        <w:t xml:space="preserve"> </w:t>
      </w:r>
      <w:r>
        <w:t xml:space="preserve">“[t]here can be no acquiescence [in the handling of a lawsuit] without knowledge”</w:t>
      </w:r>
      <w:r>
        <w:t xml:space="preserve"> </w:t>
      </w:r>
      <w:r>
        <w:t xml:space="preserve">of the</w:t>
      </w:r>
      <w:r>
        <w:t xml:space="preserve"> </w:t>
      </w:r>
      <w:r>
        <w:t xml:space="preserve">“client”</w:t>
      </w:r>
      <w:r>
        <w:t xml:space="preserve">).</w:t>
      </w:r>
    </w:p>
    <w:p>
      <w:pPr>
        <w:pStyle w:val="BodyText"/>
      </w:pPr>
      <w:r>
        <w:t xml:space="preserve">Absent Mr. Muller’s authority, the Notice of Appeal and Initial Brief filed by Mr. Muller’s purported counsel must be stricken and this case must be dismissed. See Cacho v. Bank of New York Mellon, 124 So. 3d 943, 945–46 (Fla. 3d DCA 2013).</w:t>
      </w:r>
    </w:p>
    <w:p>
      <w:pPr>
        <w:spacing w:before="0" w:after="0" w:line="432" w:lineRule="exact"/>
      </w:pPr>
    </w:p>
    <w:tbl>
      <w:tblPr>
        <w:tblW w:w="9216" w:type="dxa"/>
        <w:tblLayout w:type="fixed"/>
        <w:tblCellMar>
          <w:top w:w="0" w:type="dxa"/>
          <w:left w:w="0" w:type="dxa"/>
          <w:bottom w:w="0" w:type="dxa"/>
          <w:right w:w="0" w:type="dxa"/>
        </w:tblCellMar>
        <w:tblLook w:val="0000" w:firstRow="0" w:lastRow="0" w:firstColumn="0" w:lastColumn="0" w:noHBand="0" w:noVBand="0"/>
      </w:tblPr>
      <w:tblGrid>
        <w:gridCol w:w="9216"/>
      </w:tblGrid>
      <w:tr>
        <w:trPr>
          <w:cantSplit/>
        </w:trPr>
        <w:tc>
          <w:tcPr>
            <w:tcW w:w="9216" w:type="dxa"/>
          </w:tcPr>
          <w:p>
            <w:pPr>
              <w:spacing w:before="0" w:after="0" w:line="322" w:lineRule="exact"/>
              <w:ind w:left="4608" w:firstLine="0"/>
              <w:jc w:val="left"/>
            </w:pPr>
            <w:r>
              <w:t xml:space="preserve">Respectfully</w:t>
            </w:r>
            <w:r>
              <w:t xml:space="preserve"> </w:t>
            </w:r>
            <w:r>
              <w:t xml:space="preserve">submitted,</w:t>
            </w:r>
          </w:p>
          <w:p>
            <w:pPr>
              <w:spacing w:before="112" w:after="0" w:line="322" w:lineRule="exact"/>
              <w:ind w:left="4608" w:firstLine="0"/>
              <w:jc w:val="left"/>
            </w:pPr>
            <w:r>
              <w:t xml:space="preserve">/s/</w:t>
            </w:r>
            <w:r>
              <w:t xml:space="preserve"> </w:t>
            </w:r>
            <w:r>
              <w:t xml:space="preserve">Casey</w:t>
            </w:r>
            <w:r>
              <w:t xml:space="preserve"> </w:t>
            </w:r>
            <w:r>
              <w:t xml:space="preserve">E</w:t>
            </w:r>
            <w:r>
              <w:t xml:space="preserve"> </w:t>
            </w:r>
            <w:r>
              <w:t xml:space="preserve">Waldeck</w:t>
            </w:r>
          </w:p>
          <w:p>
            <w:pPr>
              <w:spacing w:before="0" w:after="0" w:line="322" w:lineRule="exact"/>
              <w:ind w:left="4608" w:firstLine="0"/>
              <w:jc w:val="left"/>
            </w:pPr>
            <w:r>
              <w:t xml:space="preserve">Casey</w:t>
            </w:r>
            <w:r>
              <w:t xml:space="preserve"> </w:t>
            </w:r>
            <w:r>
              <w:t xml:space="preserve">E</w:t>
            </w:r>
            <w:r>
              <w:t xml:space="preserve"> </w:t>
            </w:r>
            <w:r>
              <w:t xml:space="preserve">Waldeck</w:t>
            </w:r>
          </w:p>
          <w:p>
            <w:pPr>
              <w:spacing w:before="0" w:after="0" w:line="322" w:lineRule="exact"/>
              <w:ind w:left="4608" w:firstLine="0"/>
              <w:jc w:val="left"/>
            </w:pPr>
            <w:r>
              <w:t xml:space="preserve">Fla.</w:t>
            </w:r>
            <w:r>
              <w:t xml:space="preserve"> </w:t>
            </w:r>
            <w:r>
              <w:t xml:space="preserve">Bar</w:t>
            </w:r>
            <w:r>
              <w:t xml:space="preserve"> </w:t>
            </w:r>
            <w:r>
              <w:t xml:space="preserve">No.</w:t>
            </w:r>
            <w:r>
              <w:t xml:space="preserve"> </w:t>
            </w:r>
            <w:r>
              <w:t xml:space="preserve">1026097</w:t>
            </w:r>
          </w:p>
          <w:p>
            <w:pPr>
              <w:spacing w:before="0" w:after="0" w:line="322" w:lineRule="exact"/>
              <w:ind w:left="4608" w:firstLine="0"/>
              <w:jc w:val="left"/>
            </w:pPr>
            <w:r>
              <w:t xml:space="preserve">Samuel</w:t>
            </w:r>
            <w:r>
              <w:t xml:space="preserve"> </w:t>
            </w:r>
            <w:r>
              <w:t xml:space="preserve">Alexander,</w:t>
            </w:r>
            <w:r>
              <w:t xml:space="preserve"> </w:t>
            </w:r>
            <w:r>
              <w:t xml:space="preserve">B.C.S.</w:t>
            </w:r>
          </w:p>
          <w:p>
            <w:pPr>
              <w:spacing w:before="0" w:after="0" w:line="322" w:lineRule="exact"/>
              <w:ind w:left="4608" w:firstLine="0"/>
              <w:jc w:val="left"/>
            </w:pPr>
            <w:r>
              <w:t xml:space="preserve">Fla.</w:t>
            </w:r>
            <w:r>
              <w:t xml:space="preserve"> </w:t>
            </w:r>
            <w:r>
              <w:t xml:space="preserve">Bar</w:t>
            </w:r>
            <w:r>
              <w:t xml:space="preserve"> </w:t>
            </w:r>
            <w:r>
              <w:t xml:space="preserve">No.</w:t>
            </w:r>
            <w:r>
              <w:t xml:space="preserve"> </w:t>
            </w:r>
            <w:r>
              <w:t xml:space="preserve">1007757</w:t>
            </w:r>
          </w:p>
          <w:p>
            <w:pPr>
              <w:spacing w:before="0" w:after="0" w:line="322" w:lineRule="exact"/>
              <w:ind w:left="4608" w:firstLine="0"/>
              <w:jc w:val="left"/>
            </w:pPr>
            <w:r>
              <w:t xml:space="preserve">Michael</w:t>
            </w:r>
            <w:r>
              <w:t xml:space="preserve"> </w:t>
            </w:r>
            <w:r>
              <w:t xml:space="preserve">J</w:t>
            </w:r>
            <w:r>
              <w:t xml:space="preserve"> </w:t>
            </w:r>
            <w:r>
              <w:t xml:space="preserve">Ellis,</w:t>
            </w:r>
            <w:r>
              <w:t xml:space="preserve"> </w:t>
            </w:r>
            <w:r>
              <w:t xml:space="preserve">B.C.S.</w:t>
            </w:r>
          </w:p>
          <w:p>
            <w:pPr>
              <w:spacing w:before="0" w:after="0" w:line="322" w:lineRule="exact"/>
              <w:ind w:left="4608" w:firstLine="0"/>
              <w:jc w:val="left"/>
            </w:pPr>
            <w:r>
              <w:t xml:space="preserve">Fla.</w:t>
            </w:r>
            <w:r>
              <w:t xml:space="preserve"> </w:t>
            </w:r>
            <w:r>
              <w:t xml:space="preserve">Bar</w:t>
            </w:r>
            <w:r>
              <w:t xml:space="preserve"> </w:t>
            </w:r>
            <w:r>
              <w:t xml:space="preserve">No.</w:t>
            </w:r>
            <w:r>
              <w:t xml:space="preserve"> </w:t>
            </w:r>
            <w:r>
              <w:t xml:space="preserve">1025056</w:t>
            </w:r>
          </w:p>
          <w:p>
            <w:pPr>
              <w:spacing w:before="0" w:after="0" w:line="322" w:lineRule="exact"/>
              <w:ind w:left="4608" w:firstLine="0"/>
              <w:jc w:val="left"/>
            </w:pPr>
            <w:r>
              <w:t xml:space="preserve">Alexander</w:t>
            </w:r>
            <w:r>
              <w:t xml:space="preserve"> </w:t>
            </w:r>
            <w:r>
              <w:t xml:space="preserve">Appellate</w:t>
            </w:r>
            <w:r>
              <w:t xml:space="preserve"> </w:t>
            </w:r>
            <w:r>
              <w:t xml:space="preserve">Law</w:t>
            </w:r>
            <w:r>
              <w:t xml:space="preserve"> </w:t>
            </w:r>
            <w:r>
              <w:t xml:space="preserve">P.A.</w:t>
            </w:r>
          </w:p>
          <w:p>
            <w:pPr>
              <w:spacing w:before="0" w:after="0" w:line="322" w:lineRule="exact"/>
              <w:ind w:left="4608" w:firstLine="0"/>
              <w:jc w:val="left"/>
            </w:pPr>
            <w:r>
              <w:t xml:space="preserve">1022</w:t>
            </w:r>
            <w:r>
              <w:t xml:space="preserve"> </w:t>
            </w:r>
            <w:r>
              <w:t xml:space="preserve">Park</w:t>
            </w:r>
            <w:r>
              <w:t xml:space="preserve"> </w:t>
            </w:r>
            <w:r>
              <w:t xml:space="preserve">Street,</w:t>
            </w:r>
            <w:r>
              <w:t xml:space="preserve"> </w:t>
            </w:r>
            <w:r>
              <w:t xml:space="preserve">Suite</w:t>
            </w:r>
            <w:r>
              <w:t xml:space="preserve"> </w:t>
            </w:r>
            <w:r>
              <w:t xml:space="preserve">206</w:t>
            </w:r>
          </w:p>
          <w:p>
            <w:pPr>
              <w:spacing w:before="0" w:after="0" w:line="322" w:lineRule="exact"/>
              <w:ind w:left="4608" w:firstLine="0"/>
              <w:jc w:val="left"/>
            </w:pPr>
            <w:r>
              <w:t xml:space="preserve">Jacksonville,</w:t>
            </w:r>
            <w:r>
              <w:t xml:space="preserve"> </w:t>
            </w:r>
            <w:r>
              <w:t xml:space="preserve">FL</w:t>
            </w:r>
            <w:r>
              <w:t xml:space="preserve"> </w:t>
            </w:r>
            <w:r>
              <w:t xml:space="preserve">32204</w:t>
            </w:r>
          </w:p>
          <w:p>
            <w:pPr>
              <w:spacing w:before="0" w:after="0" w:line="322" w:lineRule="exact"/>
              <w:ind w:left="4608" w:firstLine="0"/>
              <w:jc w:val="left"/>
            </w:pPr>
            <w:r>
              <w:t xml:space="preserve">(689)</w:t>
            </w:r>
            <w:r>
              <w:t xml:space="preserve"> </w:t>
            </w:r>
            <w:r>
              <w:t xml:space="preserve">259</w:t>
              <w:noBreakHyphen/>
              <w:t xml:space="preserve">5010</w:t>
            </w:r>
          </w:p>
          <w:p>
            <w:pPr>
              <w:spacing w:before="0" w:after="0" w:line="322" w:lineRule="exact"/>
              <w:ind w:left="4608" w:firstLine="0"/>
              <w:jc w:val="left"/>
            </w:pPr>
            <w:r>
              <w:t xml:space="preserve">casey@alexanderappeals.com</w:t>
            </w:r>
          </w:p>
          <w:p>
            <w:pPr>
              <w:spacing w:before="0" w:after="0" w:line="322" w:lineRule="exact"/>
              <w:ind w:left="4608" w:firstLine="0"/>
              <w:jc w:val="left"/>
            </w:pPr>
            <w:r>
              <w:t xml:space="preserve">samuel@alexanderappeals.com</w:t>
            </w:r>
          </w:p>
          <w:p>
            <w:pPr>
              <w:spacing w:before="0" w:after="0" w:line="322" w:lineRule="exact"/>
              <w:ind w:left="4608" w:firstLine="0"/>
              <w:jc w:val="left"/>
            </w:pPr>
            <w:r>
              <w:t xml:space="preserve">michael@alexanderappeals.com</w:t>
            </w:r>
          </w:p>
          <w:p>
            <w:pPr>
              <w:spacing w:before="0" w:after="0" w:line="322" w:lineRule="exact"/>
              <w:ind w:left="4608" w:firstLine="0"/>
              <w:jc w:val="left"/>
            </w:pPr>
            <w:r>
              <w:t xml:space="preserve">service@alexanderappeals.com</w:t>
            </w:r>
          </w:p>
          <w:p>
            <w:pPr>
              <w:spacing w:before="0" w:after="0" w:line="322" w:lineRule="exact"/>
              <w:ind w:left="4608" w:firstLine="0"/>
              <w:jc w:val="left"/>
            </w:pPr>
            <w:r>
              <w:rPr>
                <w:i/>
                <w:iCs/>
              </w:rPr>
              <w:t xml:space="preserve">Co-Counsel</w:t>
            </w:r>
            <w:r>
              <w:rPr>
                <w:i/>
                <w:iCs/>
              </w:rPr>
              <w:t xml:space="preserve"> </w:t>
            </w:r>
            <w:r>
              <w:rPr>
                <w:i/>
                <w:iCs/>
              </w:rPr>
              <w:t xml:space="preserve">for</w:t>
            </w:r>
            <w:r>
              <w:rPr>
                <w:i/>
                <w:iCs/>
              </w:rPr>
              <w:t xml:space="preserve"> </w:t>
            </w:r>
            <w:r>
              <w:rPr>
                <w:i/>
                <w:iCs/>
              </w:rPr>
              <w:t xml:space="preserve">Appellee</w:t>
            </w:r>
          </w:p>
          <w:p>
            <w:pPr>
              <w:spacing w:before="0" w:after="0" w:line="322" w:lineRule="exact"/>
              <w:ind w:left="4608" w:firstLine="0"/>
              <w:jc w:val="left"/>
            </w:pPr>
          </w:p>
          <w:p>
            <w:pPr>
              <w:spacing w:before="0" w:after="0" w:line="322" w:lineRule="exact"/>
              <w:ind w:left="4608" w:firstLine="0"/>
              <w:jc w:val="left"/>
            </w:pPr>
            <w:r>
              <w:t xml:space="preserve">Simeon</w:t>
            </w:r>
            <w:r>
              <w:t xml:space="preserve"> </w:t>
            </w:r>
            <w:r>
              <w:t xml:space="preserve">Genadiev,</w:t>
            </w:r>
            <w:r>
              <w:t xml:space="preserve"> </w:t>
            </w:r>
            <w:r>
              <w:t xml:space="preserve">Esq.</w:t>
            </w:r>
          </w:p>
          <w:p>
            <w:pPr>
              <w:spacing w:before="0" w:after="0" w:line="322" w:lineRule="exact"/>
              <w:ind w:left="4608" w:firstLine="0"/>
              <w:jc w:val="left"/>
            </w:pPr>
            <w:r>
              <w:t xml:space="preserve">Fla.</w:t>
            </w:r>
            <w:r>
              <w:t xml:space="preserve"> </w:t>
            </w:r>
            <w:r>
              <w:t xml:space="preserve">Bar</w:t>
            </w:r>
            <w:r>
              <w:t xml:space="preserve"> </w:t>
            </w:r>
            <w:r>
              <w:t xml:space="preserve">No.</w:t>
            </w:r>
            <w:r>
              <w:t xml:space="preserve"> </w:t>
            </w:r>
            <w:r>
              <w:t xml:space="preserve">100918</w:t>
            </w:r>
          </w:p>
          <w:p>
            <w:pPr>
              <w:spacing w:before="0" w:after="0" w:line="322" w:lineRule="exact"/>
              <w:ind w:left="4608" w:firstLine="0"/>
              <w:jc w:val="left"/>
            </w:pPr>
            <w:r>
              <w:t xml:space="preserve">1501</w:t>
            </w:r>
            <w:r>
              <w:t xml:space="preserve"> </w:t>
            </w:r>
            <w:r>
              <w:t xml:space="preserve">Biscayne</w:t>
            </w:r>
            <w:r>
              <w:t xml:space="preserve"> </w:t>
            </w:r>
            <w:r>
              <w:t xml:space="preserve">Blvd.,</w:t>
            </w:r>
            <w:r>
              <w:t xml:space="preserve"> </w:t>
            </w:r>
            <w:r>
              <w:t xml:space="preserve">Suite</w:t>
            </w:r>
            <w:r>
              <w:t xml:space="preserve"> </w:t>
            </w:r>
            <w:r>
              <w:t xml:space="preserve">501</w:t>
            </w:r>
          </w:p>
          <w:p>
            <w:pPr>
              <w:spacing w:before="0" w:after="0" w:line="322" w:lineRule="exact"/>
              <w:ind w:left="4608" w:firstLine="0"/>
              <w:jc w:val="left"/>
            </w:pPr>
            <w:r>
              <w:t xml:space="preserve">Miami,</w:t>
            </w:r>
            <w:r>
              <w:t xml:space="preserve"> </w:t>
            </w:r>
            <w:r>
              <w:t xml:space="preserve">FL</w:t>
            </w:r>
            <w:r>
              <w:t xml:space="preserve"> </w:t>
            </w:r>
            <w:r>
              <w:t xml:space="preserve">33132</w:t>
            </w:r>
          </w:p>
          <w:p>
            <w:pPr>
              <w:spacing w:before="0" w:after="0" w:line="322" w:lineRule="exact"/>
              <w:ind w:left="4608" w:firstLine="0"/>
              <w:jc w:val="left"/>
            </w:pPr>
            <w:r>
              <w:t xml:space="preserve">Tel:</w:t>
            </w:r>
            <w:r>
              <w:t xml:space="preserve"> </w:t>
            </w:r>
            <w:r>
              <w:t xml:space="preserve">(305)</w:t>
            </w:r>
            <w:r>
              <w:t xml:space="preserve"> </w:t>
            </w:r>
            <w:r>
              <w:t xml:space="preserve">709</w:t>
              <w:noBreakHyphen/>
              <w:t xml:space="preserve">8877</w:t>
            </w:r>
          </w:p>
          <w:p>
            <w:pPr>
              <w:spacing w:before="0" w:after="0" w:line="322" w:lineRule="exact"/>
              <w:ind w:left="4608" w:firstLine="0"/>
              <w:jc w:val="left"/>
            </w:pPr>
            <w:r>
              <w:t xml:space="preserve">Fax:</w:t>
            </w:r>
            <w:r>
              <w:t xml:space="preserve"> </w:t>
            </w:r>
            <w:r>
              <w:t xml:space="preserve">(786)</w:t>
            </w:r>
            <w:r>
              <w:t xml:space="preserve"> </w:t>
            </w:r>
            <w:r>
              <w:t xml:space="preserve">460</w:t>
              <w:noBreakHyphen/>
              <w:t xml:space="preserve">8333</w:t>
            </w:r>
          </w:p>
          <w:p>
            <w:pPr>
              <w:spacing w:before="0" w:after="0" w:line="322" w:lineRule="exact"/>
              <w:ind w:left="4608" w:firstLine="0"/>
              <w:jc w:val="left"/>
            </w:pPr>
            <w:r>
              <w:t xml:space="preserve">sgenadiev@theglawgroup.com</w:t>
            </w:r>
          </w:p>
          <w:p>
            <w:pPr>
              <w:spacing w:before="0" w:after="0" w:line="322" w:lineRule="exact"/>
              <w:ind w:left="4608" w:firstLine="0"/>
              <w:jc w:val="left"/>
            </w:pPr>
            <w:r>
              <w:rPr>
                <w:i/>
                <w:iCs/>
              </w:rPr>
              <w:t xml:space="preserve">Co-Counsel</w:t>
            </w:r>
            <w:r>
              <w:rPr>
                <w:i/>
                <w:iCs/>
              </w:rPr>
              <w:t xml:space="preserve"> </w:t>
            </w:r>
            <w:r>
              <w:rPr>
                <w:i/>
                <w:iCs/>
              </w:rPr>
              <w:t xml:space="preserve">for</w:t>
            </w:r>
            <w:r>
              <w:rPr>
                <w:i/>
                <w:iCs/>
              </w:rPr>
              <w:t xml:space="preserve"> </w:t>
            </w:r>
            <w:r>
              <w:rPr>
                <w:i/>
                <w:iCs/>
              </w:rPr>
              <w:t xml:space="preserve">Appellee</w:t>
            </w:r>
          </w:p>
        </w:tc>
      </w:tr>
    </w:tbl>
    <w:p>
      <w:pPr>
        <w:spacing w:before="0" w:after="0" w:line="336" w:lineRule="exact"/>
      </w:pPr>
    </w:p>
    <w:tbl>
      <w:tblPr>
        <w:tblW w:w="9216" w:type="dxa"/>
        <w:tblLayout w:type="fixed"/>
        <w:tblCellMar>
          <w:top w:w="0" w:type="dxa"/>
          <w:left w:w="0" w:type="dxa"/>
          <w:bottom w:w="0" w:type="dxa"/>
          <w:right w:w="0" w:type="dxa"/>
        </w:tblCellMar>
        <w:tblLook w:val="0000" w:firstRow="0" w:lastRow="0" w:firstColumn="0" w:lastColumn="0" w:noHBand="0" w:noVBand="0"/>
      </w:tblPr>
      <w:tblGrid>
        <w:gridCol w:w="9216"/>
      </w:tblGrid>
      <w:tr>
        <w:trPr>
          <w:cantSplit/>
        </w:trPr>
        <w:tc>
          <w:tcPr>
            <w:tcW w:w="9216" w:type="dxa"/>
          </w:tcPr>
          <w:p>
            <w:pPr>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October</w:t>
            </w:r>
            <w:r>
              <w:t xml:space="preserve"> </w:t>
            </w:r>
            <w:r>
              <w:t xml:space="preserve">16,</w:t>
            </w:r>
            <w:r>
              <w:t xml:space="preserve"> </w:t>
            </w:r>
            <w:r>
              <w:t xml:space="preserve">2026,</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document</w:t>
            </w:r>
            <w:r>
              <w:t xml:space="preserve"> </w:t>
            </w:r>
            <w:r>
              <w:t xml:space="preserve">was</w:t>
            </w:r>
            <w:r>
              <w:t xml:space="preserve"> </w:t>
            </w:r>
            <w:r>
              <w:t xml:space="preserve">furnished</w:t>
            </w:r>
            <w:r>
              <w:t xml:space="preserve"> </w:t>
            </w:r>
            <w:r>
              <w:t xml:space="preserve">via</w:t>
            </w:r>
            <w:r>
              <w:t xml:space="preserve"> </w:t>
            </w:r>
            <w:r>
              <w:t xml:space="preserve">e-mail</w:t>
            </w:r>
            <w:r>
              <w:t xml:space="preserve"> </w:t>
            </w:r>
            <w:r>
              <w:t xml:space="preserve">service</w:t>
            </w:r>
            <w:r>
              <w:t xml:space="preserve"> </w:t>
            </w:r>
            <w:r>
              <w:t xml:space="preserve">to:</w:t>
            </w:r>
            <w:r>
              <w:t xml:space="preserve"> </w:t>
            </w:r>
            <w:r>
              <w:t xml:space="preserve">Edgardo</w:t>
            </w:r>
            <w:r>
              <w:t xml:space="preserve"> </w:t>
            </w:r>
            <w:r>
              <w:t xml:space="preserve">Ferreyra,</w:t>
            </w:r>
            <w:r>
              <w:t xml:space="preserve"> </w:t>
            </w:r>
            <w:r>
              <w:t xml:space="preserve">Fla.</w:t>
            </w:r>
            <w:r>
              <w:t xml:space="preserve"> </w:t>
            </w:r>
            <w:r>
              <w:t xml:space="preserve">Bar</w:t>
            </w:r>
            <w:r>
              <w:t xml:space="preserve"> </w:t>
            </w:r>
            <w:r>
              <w:t xml:space="preserve">No.</w:t>
            </w:r>
            <w:r>
              <w:t xml:space="preserve"> </w:t>
            </w:r>
            <w:r>
              <w:t xml:space="preserve">685623,</w:t>
            </w:r>
            <w:r>
              <w:t xml:space="preserve"> </w:t>
            </w:r>
            <w:r>
              <w:t xml:space="preserve">Luks,</w:t>
            </w:r>
            <w:r>
              <w:t xml:space="preserve"> </w:t>
            </w:r>
            <w:r>
              <w:t xml:space="preserve">Santaniello,</w:t>
            </w:r>
            <w:r>
              <w:t xml:space="preserve"> </w:t>
            </w:r>
            <w:r>
              <w:t xml:space="preserve">Petrillo,</w:t>
            </w:r>
            <w:r>
              <w:t xml:space="preserve"> </w:t>
            </w:r>
            <w:r>
              <w:t xml:space="preserve">Cohen</w:t>
            </w:r>
            <w:r>
              <w:t xml:space="preserve"> </w:t>
            </w:r>
            <w:r>
              <w:t xml:space="preserve">&amp;</w:t>
            </w:r>
            <w:r>
              <w:t xml:space="preserve"> </w:t>
            </w:r>
            <w:r>
              <w:t xml:space="preserve">Peterfriend,</w:t>
            </w:r>
            <w:r>
              <w:t xml:space="preserve"> </w:t>
            </w:r>
            <w:r>
              <w:t xml:space="preserve">150</w:t>
            </w:r>
            <w:r>
              <w:t xml:space="preserve"> </w:t>
            </w:r>
            <w:r>
              <w:t xml:space="preserve">W</w:t>
            </w:r>
            <w:r>
              <w:t xml:space="preserve"> </w:t>
            </w:r>
            <w:r>
              <w:t xml:space="preserve">Flagler</w:t>
            </w:r>
            <w:r>
              <w:t xml:space="preserve"> </w:t>
            </w:r>
            <w:r>
              <w:t xml:space="preserve">Street,</w:t>
            </w:r>
            <w:r>
              <w:t xml:space="preserve"> </w:t>
            </w:r>
            <w:r>
              <w:t xml:space="preserve">Suite</w:t>
            </w:r>
            <w:r>
              <w:t xml:space="preserve"> </w:t>
            </w:r>
            <w:r>
              <w:t xml:space="preserve">2600,</w:t>
            </w:r>
            <w:r>
              <w:t xml:space="preserve"> </w:t>
            </w:r>
            <w:r>
              <w:t xml:space="preserve">Miami,</w:t>
            </w:r>
            <w:r>
              <w:t xml:space="preserve"> </w:t>
            </w:r>
            <w:r>
              <w:t xml:space="preserve">FL</w:t>
            </w:r>
            <w:r>
              <w:t xml:space="preserve"> </w:t>
            </w:r>
            <w:r>
              <w:t xml:space="preserve">33130,</w:t>
            </w:r>
            <w:r>
              <w:t xml:space="preserve"> </w:t>
            </w:r>
            <w:r>
              <w:t xml:space="preserve">(305)</w:t>
            </w:r>
            <w:r>
              <w:t xml:space="preserve"> </w:t>
            </w:r>
            <w:r>
              <w:t xml:space="preserve">377</w:t>
              <w:noBreakHyphen/>
              <w:t xml:space="preserve">8900,</w:t>
            </w:r>
            <w:r>
              <w:t xml:space="preserve"> </w:t>
            </w:r>
            <w:r>
              <w:t xml:space="preserve">eferreyra@insurancedefense.net,</w:t>
            </w:r>
            <w:r>
              <w:t xml:space="preserve"> </w:t>
            </w:r>
            <w:r>
              <w:t xml:space="preserve">afraas@insurancedefense.net,</w:t>
            </w:r>
            <w:r>
              <w:t xml:space="preserve"> </w:t>
            </w:r>
            <w:r>
              <w:t xml:space="preserve">luksmia-pleadings@ls-law.com,</w:t>
            </w:r>
            <w:r>
              <w:t xml:space="preserve"> </w:t>
            </w:r>
            <w:r>
              <w:rPr>
                <w:i/>
                <w:iCs/>
              </w:rPr>
              <w:t xml:space="preserve">Counsel</w:t>
            </w:r>
            <w:r>
              <w:rPr>
                <w:i/>
                <w:iCs/>
              </w:rPr>
              <w:t xml:space="preserve"> </w:t>
            </w:r>
            <w:r>
              <w:rPr>
                <w:i/>
                <w:iCs/>
              </w:rPr>
              <w:t xml:space="preserve">for</w:t>
            </w:r>
            <w:r>
              <w:rPr>
                <w:i/>
                <w:iCs/>
              </w:rPr>
              <w:t xml:space="preserve"> </w:t>
            </w:r>
            <w:r>
              <w:rPr>
                <w:i/>
                <w:iCs/>
              </w:rPr>
              <w:t xml:space="preserve">Appellant</w:t>
            </w:r>
            <w:r>
              <w:t xml:space="preserve">;</w:t>
            </w:r>
            <w:r>
              <w:t xml:space="preserve"> </w:t>
            </w:r>
            <w:r>
              <w:t xml:space="preserve">and</w:t>
            </w:r>
            <w:r>
              <w:t xml:space="preserve"> </w:t>
            </w:r>
            <w:r>
              <w:t xml:space="preserve">Simeon</w:t>
            </w:r>
            <w:r>
              <w:t xml:space="preserve"> </w:t>
            </w:r>
            <w:r>
              <w:t xml:space="preserve">Genadiev,</w:t>
            </w:r>
            <w:r>
              <w:t xml:space="preserve"> </w:t>
            </w:r>
            <w:r>
              <w:t xml:space="preserve">Fla.</w:t>
            </w:r>
            <w:r>
              <w:t xml:space="preserve"> </w:t>
            </w:r>
            <w:r>
              <w:t xml:space="preserve">Bar</w:t>
            </w:r>
            <w:r>
              <w:t xml:space="preserve"> </w:t>
            </w:r>
            <w:r>
              <w:t xml:space="preserve">No.</w:t>
            </w:r>
            <w:r>
              <w:t xml:space="preserve"> </w:t>
            </w:r>
            <w:r>
              <w:t xml:space="preserve">100918,</w:t>
            </w:r>
            <w:r>
              <w:t xml:space="preserve"> </w:t>
            </w:r>
            <w:r>
              <w:t xml:space="preserve">The</w:t>
            </w:r>
            <w:r>
              <w:t xml:space="preserve"> </w:t>
            </w:r>
            <w:r>
              <w:t xml:space="preserve">G</w:t>
            </w:r>
            <w:r>
              <w:t xml:space="preserve"> </w:t>
            </w:r>
            <w:r>
              <w:t xml:space="preserve">Law</w:t>
            </w:r>
            <w:r>
              <w:t xml:space="preserve"> </w:t>
            </w:r>
            <w:r>
              <w:t xml:space="preserve">Group,</w:t>
            </w:r>
            <w:r>
              <w:t xml:space="preserve"> </w:t>
            </w:r>
            <w:r>
              <w:t xml:space="preserve">1501</w:t>
            </w:r>
            <w:r>
              <w:t xml:space="preserve"> </w:t>
            </w:r>
            <w:r>
              <w:t xml:space="preserve">Biscayne</w:t>
            </w:r>
            <w:r>
              <w:t xml:space="preserve"> </w:t>
            </w:r>
            <w:r>
              <w:t xml:space="preserve">Blvd</w:t>
            </w:r>
            <w:r>
              <w:t xml:space="preserve"> </w:t>
            </w:r>
            <w:r>
              <w:t xml:space="preserve">Ste</w:t>
            </w:r>
            <w:r>
              <w:t xml:space="preserve"> </w:t>
            </w:r>
            <w:r>
              <w:t xml:space="preserve">501,</w:t>
            </w:r>
            <w:r>
              <w:t xml:space="preserve"> </w:t>
            </w:r>
            <w:r>
              <w:t xml:space="preserve">Miami,</w:t>
            </w:r>
            <w:r>
              <w:t xml:space="preserve"> </w:t>
            </w:r>
            <w:r>
              <w:t xml:space="preserve">FL</w:t>
            </w:r>
            <w:r>
              <w:t xml:space="preserve"> </w:t>
            </w:r>
            <w:r>
              <w:t xml:space="preserve">33132</w:t>
              <w:noBreakHyphen/>
              <w:t xml:space="preserve">1460,</w:t>
            </w:r>
            <w:r>
              <w:t xml:space="preserve"> </w:t>
            </w:r>
            <w:r>
              <w:t xml:space="preserve">(305)</w:t>
            </w:r>
            <w:r>
              <w:t xml:space="preserve"> </w:t>
            </w:r>
            <w:r>
              <w:t xml:space="preserve">709</w:t>
              <w:noBreakHyphen/>
              <w:t xml:space="preserve">8877,</w:t>
            </w:r>
            <w:r>
              <w:t xml:space="preserve"> </w:t>
            </w:r>
            <w:r>
              <w:t xml:space="preserve">sgenadiev@theglawgroup.com,</w:t>
            </w:r>
            <w:r>
              <w:t xml:space="preserve"> </w:t>
            </w:r>
            <w:r>
              <w:rPr>
                <w:i/>
                <w:iCs/>
              </w:rPr>
              <w:t xml:space="preserve">Co-Counsel</w:t>
            </w:r>
            <w:r>
              <w:rPr>
                <w:i/>
                <w:iCs/>
              </w:rPr>
              <w:t xml:space="preserve"> </w:t>
            </w:r>
            <w:r>
              <w:rPr>
                <w:i/>
                <w:iCs/>
              </w:rPr>
              <w:t xml:space="preserve">for</w:t>
            </w:r>
            <w:r>
              <w:rPr>
                <w:i/>
                <w:iCs/>
              </w:rPr>
              <w:t xml:space="preserve"> </w:t>
            </w:r>
            <w:r>
              <w:rPr>
                <w:i/>
                <w:iCs/>
              </w:rPr>
              <w:t xml:space="preserve">Appellee</w:t>
            </w:r>
            <w:r>
              <w:t xml:space="preserve">.</w:t>
            </w:r>
          </w:p>
          <w:p>
            <w:pPr>
              <w:spacing w:before="112" w:after="0" w:line="322" w:lineRule="exact"/>
              <w:ind w:left="4608" w:firstLine="0"/>
              <w:jc w:val="left"/>
            </w:pPr>
            <w:r>
              <w:t xml:space="preserve">/s/</w:t>
            </w:r>
            <w:r>
              <w:t xml:space="preserve"> </w:t>
            </w:r>
            <w:r>
              <w:t xml:space="preserve">Casey</w:t>
            </w:r>
            <w:r>
              <w:t xml:space="preserve"> </w:t>
            </w:r>
            <w:r>
              <w:t xml:space="preserve">E</w:t>
            </w:r>
            <w:r>
              <w:t xml:space="preserve"> </w:t>
            </w:r>
            <w:r>
              <w:t xml:space="preserve">Waldeck</w:t>
            </w:r>
          </w:p>
        </w:tc>
      </w:tr>
    </w:tbl>
    <w:sectPr>
      <w:footerReference w:type="default" r:id="rIdFooter1"/>
      <w:pgSz w:w="12240" w:h="15840"/>
      <w:pgMar w:top="1512" w:right="1584"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