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HAMPSHIRE</w:t>
      </w:r>
    </w:p>
    <w:p>
      <w:pPr>
        <w:spacing w:before="312" w:after="0" w:line="299" w:lineRule="exact"/>
        <w:ind w:left="0" w:firstLine="0"/>
        <w:jc w:val="center"/>
      </w:pPr>
      <w:r>
        <w:t xml:space="preserve">No.</w:t>
      </w:r>
      <w:r>
        <w:t xml:space="preserve"> </w:t>
      </w:r>
      <w:r>
        <w:t xml:space="preserve">2022</w:t>
        <w:noBreakHyphen/>
        <w:t xml:space="preserve">0249</w:t>
      </w:r>
    </w:p>
    <w:p>
      <w:pPr>
        <w:spacing w:before="390" w:after="0" w:line="299" w:lineRule="exact"/>
        <w:ind w:left="0" w:firstLine="0"/>
        <w:jc w:val="center"/>
      </w:pPr>
      <w:r>
        <w:t xml:space="preserve">The</w:t>
      </w:r>
      <w:r>
        <w:t xml:space="preserve"> </w:t>
      </w:r>
      <w:r>
        <w:t xml:space="preserve">City</w:t>
      </w:r>
      <w:r>
        <w:t xml:space="preserve"> </w:t>
      </w:r>
      <w:r>
        <w:t xml:space="preserve">of</w:t>
      </w:r>
      <w:r>
        <w:t xml:space="preserve"> </w:t>
      </w:r>
      <w:r>
        <w:t xml:space="preserve">Dover</w:t>
      </w:r>
      <w:r>
        <w:t xml:space="preserve"> </w:t>
      </w:r>
      <w:r>
        <w:t xml:space="preserve">&amp;</w:t>
      </w:r>
      <w:r>
        <w:t xml:space="preserve"> </w:t>
      </w:r>
      <w:r>
        <w:t xml:space="preserve">a.</w:t>
      </w:r>
    </w:p>
    <w:p>
      <w:pPr>
        <w:spacing w:before="0" w:after="0" w:line="299" w:lineRule="exact"/>
        <w:ind w:left="0" w:firstLine="0"/>
        <w:jc w:val="center"/>
      </w:pPr>
      <w:r>
        <w:t xml:space="preserve">v.</w:t>
      </w:r>
    </w:p>
    <w:p>
      <w:pPr>
        <w:spacing w:before="0" w:after="0" w:line="299" w:lineRule="exact"/>
        <w:ind w:left="0" w:firstLine="0"/>
        <w:jc w:val="center"/>
      </w:pPr>
      <w:r>
        <w:t xml:space="preserve">Secretary</w:t>
      </w:r>
      <w:r>
        <w:t xml:space="preserve"> </w:t>
      </w:r>
      <w:r>
        <w:t xml:space="preserve">of</w:t>
      </w:r>
      <w:r>
        <w:t xml:space="preserve"> </w:t>
      </w:r>
      <w:r>
        <w:t xml:space="preserve">State</w:t>
      </w:r>
      <w:r>
        <w:t xml:space="preserve"> </w:t>
      </w:r>
      <w:r>
        <w:t xml:space="preserve">&amp;</w:t>
      </w:r>
      <w:r>
        <w:t xml:space="preserve"> </w:t>
      </w:r>
      <w:r>
        <w:t xml:space="preserve">a.</w:t>
      </w:r>
    </w:p>
    <w:p>
      <w:pPr>
        <w:spacing w:before="312" w:after="0" w:line="299" w:lineRule="exact"/>
        <w:ind w:left="0" w:firstLine="0"/>
        <w:jc w:val="center"/>
      </w:pPr>
    </w:p>
    <w:p>
      <w:pPr>
        <w:spacing w:before="624" w:after="0" w:line="299" w:lineRule="exact"/>
        <w:ind w:left="0" w:firstLine="0"/>
        <w:jc w:val="center"/>
      </w:pPr>
      <w:r>
        <w:rPr>
          <w:b/>
          <w:bCs/>
        </w:rPr>
        <w:t xml:space="preserve">ASSENTED-TO</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FILE</w:t>
      </w:r>
      <w:r>
        <w:rPr>
          <w:b/>
          <w:bCs/>
        </w:rPr>
        <w:t xml:space="preserve"> </w:t>
      </w:r>
      <w:r>
        <w:rPr>
          <w:b/>
          <w:bCs/>
        </w:rPr>
        <w:t xml:space="preserve">REPLY</w:t>
      </w:r>
    </w:p>
    <w:p>
      <w:pPr>
        <w:spacing w:before="0" w:after="0" w:line="39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04"/>
        <w:gridCol w:w="4116"/>
      </w:tblGrid>
      <w:tr>
        <w:trPr>
          <w:cantSplit/>
        </w:trPr>
        <w:tc>
          <w:tcPr>
            <w:tcW w:w="3804" w:type="dxa"/>
          </w:tcPr>
          <w:p>
            <w:pPr>
              <w:spacing w:before="0" w:after="0" w:line="299" w:lineRule="exact"/>
              <w:ind w:left="0" w:firstLine="0"/>
              <w:jc w:val="left"/>
            </w:pPr>
            <w:r>
              <w:t xml:space="preserve">Joshua</w:t>
            </w:r>
            <w:r>
              <w:t xml:space="preserve"> </w:t>
            </w:r>
            <w:r>
              <w:t xml:space="preserve">M.</w:t>
            </w:r>
            <w:r>
              <w:t xml:space="preserve"> </w:t>
            </w:r>
            <w:r>
              <w:t xml:space="preserve">Wyatt,</w:t>
            </w:r>
            <w:r>
              <w:t xml:space="preserve"> </w:t>
            </w:r>
            <w:r>
              <w:t xml:space="preserve">Esquire</w:t>
            </w:r>
          </w:p>
          <w:p>
            <w:pPr>
              <w:spacing w:before="0" w:after="0" w:line="299" w:lineRule="exact"/>
              <w:ind w:left="0" w:firstLine="0"/>
              <w:jc w:val="left"/>
            </w:pPr>
            <w:r>
              <w:t xml:space="preserve">N.H.</w:t>
            </w:r>
            <w:r>
              <w:t xml:space="preserve"> </w:t>
            </w:r>
            <w:r>
              <w:t xml:space="preserve">Bar</w:t>
            </w:r>
            <w:r>
              <w:t xml:space="preserve"> </w:t>
            </w:r>
            <w:r>
              <w:t xml:space="preserve">No.</w:t>
            </w:r>
            <w:r>
              <w:t xml:space="preserve"> </w:t>
            </w:r>
            <w:r>
              <w:t xml:space="preserve">18603</w:t>
            </w:r>
          </w:p>
          <w:p>
            <w:pPr>
              <w:spacing w:before="0" w:after="0" w:line="299" w:lineRule="exact"/>
              <w:ind w:left="0" w:firstLine="0"/>
              <w:jc w:val="left"/>
            </w:pPr>
            <w:r>
              <w:t xml:space="preserve">City</w:t>
            </w:r>
            <w:r>
              <w:t xml:space="preserve"> </w:t>
            </w:r>
            <w:r>
              <w:t xml:space="preserve">Attorney</w:t>
            </w:r>
          </w:p>
          <w:p>
            <w:pPr>
              <w:spacing w:before="0" w:after="0" w:line="299" w:lineRule="exact"/>
              <w:ind w:left="0" w:firstLine="0"/>
              <w:jc w:val="left"/>
            </w:pPr>
            <w:r>
              <w:t xml:space="preserve">288</w:t>
            </w:r>
            <w:r>
              <w:t xml:space="preserve"> </w:t>
            </w:r>
            <w:r>
              <w:t xml:space="preserve">Central</w:t>
            </w:r>
            <w:r>
              <w:t xml:space="preserve"> </w:t>
            </w:r>
            <w:r>
              <w:t xml:space="preserve">Avenue</w:t>
            </w:r>
          </w:p>
          <w:p>
            <w:pPr>
              <w:spacing w:before="0" w:after="0" w:line="299" w:lineRule="exact"/>
              <w:ind w:left="0" w:firstLine="0"/>
              <w:jc w:val="left"/>
            </w:pPr>
            <w:r>
              <w:t xml:space="preserve">Dover,</w:t>
            </w:r>
            <w:r>
              <w:t xml:space="preserve"> </w:t>
            </w:r>
            <w:r>
              <w:t xml:space="preserve">NH</w:t>
            </w:r>
            <w:r>
              <w:t xml:space="preserve"> </w:t>
            </w:r>
            <w:r>
              <w:t xml:space="preserve">03820</w:t>
            </w:r>
          </w:p>
          <w:p>
            <w:pPr>
              <w:spacing w:before="0" w:after="0" w:line="299" w:lineRule="exact"/>
              <w:ind w:left="0" w:firstLine="0"/>
              <w:jc w:val="left"/>
            </w:pPr>
            <w:r>
              <w:t xml:space="preserve">603</w:t>
              <w:noBreakHyphen/>
              <w:t xml:space="preserve">516</w:t>
              <w:noBreakHyphen/>
              <w:t xml:space="preserve">6520</w:t>
            </w:r>
          </w:p>
          <w:p>
            <w:pPr>
              <w:spacing w:before="0" w:after="0" w:line="299" w:lineRule="exact"/>
              <w:ind w:left="0" w:firstLine="0"/>
              <w:jc w:val="left"/>
            </w:pPr>
            <w:r>
              <w:t xml:space="preserve">j.wyatt@dover.nh.gov</w:t>
            </w:r>
          </w:p>
        </w:tc>
        <w:tc>
          <w:tcPr>
            <w:tcW w:w="4116" w:type="dxa"/>
            <w:tcMar>
              <w:left w:w="312" w:type="dxa"/>
            </w:tcMar>
          </w:tcPr>
          <w:p>
            <w:pPr>
              <w:spacing w:before="0" w:after="0" w:line="299" w:lineRule="exact"/>
              <w:ind w:left="0" w:firstLine="0"/>
              <w:jc w:val="left"/>
            </w:pPr>
            <w:r>
              <w:t xml:space="preserve">Jennifer</w:t>
            </w:r>
            <w:r>
              <w:t xml:space="preserve"> </w:t>
            </w:r>
            <w:r>
              <w:t xml:space="preserve">R.</w:t>
            </w:r>
            <w:r>
              <w:t xml:space="preserve"> </w:t>
            </w:r>
            <w:r>
              <w:t xml:space="preserve">Perez,</w:t>
            </w:r>
            <w:r>
              <w:t xml:space="preserve"> </w:t>
            </w:r>
            <w:r>
              <w:t xml:space="preserve">Esq.</w:t>
            </w:r>
          </w:p>
          <w:p>
            <w:pPr>
              <w:spacing w:before="0" w:after="0" w:line="299" w:lineRule="exact"/>
              <w:ind w:left="0" w:firstLine="0"/>
              <w:jc w:val="left"/>
            </w:pPr>
            <w:r>
              <w:t xml:space="preserve">N.H.</w:t>
            </w:r>
            <w:r>
              <w:t xml:space="preserve"> </w:t>
            </w:r>
            <w:r>
              <w:t xml:space="preserve">Bar</w:t>
            </w:r>
            <w:r>
              <w:t xml:space="preserve"> </w:t>
            </w:r>
            <w:r>
              <w:t xml:space="preserve">No.</w:t>
            </w:r>
            <w:r>
              <w:t xml:space="preserve"> </w:t>
            </w:r>
            <w:r>
              <w:t xml:space="preserve">272947</w:t>
            </w:r>
          </w:p>
          <w:p>
            <w:pPr>
              <w:spacing w:before="0" w:after="0" w:line="299" w:lineRule="exact"/>
              <w:ind w:left="0" w:firstLine="0"/>
              <w:jc w:val="left"/>
            </w:pPr>
            <w:r>
              <w:t xml:space="preserve">Deputy</w:t>
            </w:r>
            <w:r>
              <w:t xml:space="preserve"> </w:t>
            </w:r>
            <w:r>
              <w:t xml:space="preserve">City</w:t>
            </w:r>
            <w:r>
              <w:t xml:space="preserve"> </w:t>
            </w:r>
            <w:r>
              <w:t xml:space="preserve">Attorney</w:t>
            </w:r>
          </w:p>
          <w:p>
            <w:pPr>
              <w:spacing w:before="0" w:after="0" w:line="299" w:lineRule="exact"/>
              <w:ind w:left="0" w:firstLine="0"/>
              <w:jc w:val="left"/>
            </w:pPr>
            <w:r>
              <w:t xml:space="preserve">288</w:t>
            </w:r>
            <w:r>
              <w:t xml:space="preserve"> </w:t>
            </w:r>
            <w:r>
              <w:t xml:space="preserve">Central</w:t>
            </w:r>
            <w:r>
              <w:t xml:space="preserve"> </w:t>
            </w:r>
            <w:r>
              <w:t xml:space="preserve">Avenue</w:t>
            </w:r>
          </w:p>
          <w:p>
            <w:pPr>
              <w:spacing w:before="0" w:after="0" w:line="299" w:lineRule="exact"/>
              <w:ind w:left="0" w:firstLine="0"/>
              <w:jc w:val="left"/>
            </w:pPr>
            <w:r>
              <w:t xml:space="preserve">Dover,</w:t>
            </w:r>
            <w:r>
              <w:t xml:space="preserve"> </w:t>
            </w:r>
            <w:r>
              <w:t xml:space="preserve">NH</w:t>
            </w:r>
            <w:r>
              <w:t xml:space="preserve"> </w:t>
            </w:r>
            <w:r>
              <w:t xml:space="preserve">03820</w:t>
            </w:r>
          </w:p>
          <w:p>
            <w:pPr>
              <w:spacing w:before="0" w:after="0" w:line="299" w:lineRule="exact"/>
              <w:ind w:left="0" w:firstLine="0"/>
              <w:jc w:val="left"/>
            </w:pPr>
            <w:r>
              <w:t xml:space="preserve">603</w:t>
              <w:noBreakHyphen/>
              <w:t xml:space="preserve">516</w:t>
              <w:noBreakHyphen/>
              <w:t xml:space="preserve">6520</w:t>
            </w:r>
          </w:p>
          <w:p>
            <w:pPr>
              <w:spacing w:before="0" w:after="0" w:line="299" w:lineRule="exact"/>
              <w:ind w:left="0" w:firstLine="0"/>
              <w:jc w:val="left"/>
            </w:pPr>
            <w:r>
              <w:t xml:space="preserve">j.perez@dover.nh.gov</w:t>
            </w:r>
          </w:p>
        </w:tc>
      </w:tr>
    </w:tbl>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04"/>
        <w:gridCol w:w="4116"/>
      </w:tblGrid>
      <w:tr>
        <w:trPr>
          <w:cantSplit/>
        </w:trPr>
        <w:tc>
          <w:tcPr>
            <w:tcW w:w="3804" w:type="dxa"/>
          </w:tcPr>
          <w:p>
            <w:pPr>
              <w:spacing w:before="0" w:after="0" w:line="299" w:lineRule="exact"/>
              <w:ind w:left="0" w:firstLine="0"/>
              <w:jc w:val="left"/>
            </w:pPr>
            <w:r>
              <w:t xml:space="preserve">Henry</w:t>
            </w:r>
            <w:r>
              <w:t xml:space="preserve"> </w:t>
            </w:r>
            <w:r>
              <w:t xml:space="preserve">Quillen</w:t>
            </w:r>
          </w:p>
          <w:p>
            <w:pPr>
              <w:spacing w:before="0" w:after="0" w:line="299" w:lineRule="exact"/>
              <w:ind w:left="0" w:firstLine="0"/>
              <w:jc w:val="left"/>
            </w:pPr>
            <w:r>
              <w:t xml:space="preserve">NH</w:t>
            </w:r>
            <w:r>
              <w:t xml:space="preserve"> </w:t>
            </w:r>
            <w:r>
              <w:t xml:space="preserve">Bar</w:t>
            </w:r>
            <w:r>
              <w:t xml:space="preserve"> </w:t>
            </w:r>
            <w:r>
              <w:t xml:space="preserve">No.</w:t>
            </w:r>
            <w:r>
              <w:t xml:space="preserve"> </w:t>
            </w:r>
            <w:r>
              <w:t xml:space="preserve">265420</w:t>
            </w:r>
          </w:p>
          <w:p>
            <w:pPr>
              <w:spacing w:before="0" w:after="0" w:line="299" w:lineRule="exact"/>
              <w:ind w:left="0" w:firstLine="0"/>
              <w:jc w:val="left"/>
            </w:pPr>
            <w:r>
              <w:t xml:space="preserve">Whatley</w:t>
            </w:r>
            <w:r>
              <w:t xml:space="preserve"> </w:t>
            </w:r>
            <w:r>
              <w:t xml:space="preserve">Kallas</w:t>
            </w:r>
            <w:r>
              <w:t xml:space="preserve"> </w:t>
            </w:r>
            <w:r>
              <w:t xml:space="preserve">LLP</w:t>
            </w:r>
          </w:p>
          <w:p>
            <w:pPr>
              <w:spacing w:before="0" w:after="0" w:line="299" w:lineRule="exact"/>
              <w:ind w:left="0" w:firstLine="0"/>
              <w:jc w:val="left"/>
            </w:pPr>
            <w:r>
              <w:t xml:space="preserve">159</w:t>
            </w:r>
            <w:r>
              <w:t xml:space="preserve"> </w:t>
            </w:r>
            <w:r>
              <w:t xml:space="preserve">Middle</w:t>
            </w:r>
            <w:r>
              <w:t xml:space="preserve"> </w:t>
            </w:r>
            <w:r>
              <w:t xml:space="preserve">St.,</w:t>
            </w:r>
            <w:r>
              <w:t xml:space="preserve"> </w:t>
            </w:r>
            <w:r>
              <w:t xml:space="preserve">Suite</w:t>
            </w:r>
            <w:r>
              <w:t xml:space="preserve"> </w:t>
            </w:r>
            <w:r>
              <w:t xml:space="preserve">2C</w:t>
            </w:r>
          </w:p>
          <w:p>
            <w:pPr>
              <w:spacing w:before="0" w:after="0" w:line="299" w:lineRule="exact"/>
              <w:ind w:left="0" w:firstLine="0"/>
              <w:jc w:val="left"/>
            </w:pPr>
            <w:r>
              <w:t xml:space="preserve">Portsmouth,</w:t>
            </w:r>
            <w:r>
              <w:t xml:space="preserve"> </w:t>
            </w:r>
            <w:r>
              <w:t xml:space="preserve">NH</w:t>
            </w:r>
            <w:r>
              <w:t xml:space="preserve"> </w:t>
            </w:r>
            <w:r>
              <w:t xml:space="preserve">03801</w:t>
            </w:r>
          </w:p>
          <w:p>
            <w:pPr>
              <w:spacing w:before="0" w:after="0" w:line="299" w:lineRule="exact"/>
              <w:ind w:left="0" w:firstLine="0"/>
              <w:jc w:val="left"/>
            </w:pPr>
            <w:r>
              <w:t xml:space="preserve">603</w:t>
              <w:noBreakHyphen/>
              <w:t xml:space="preserve">294</w:t>
              <w:noBreakHyphen/>
              <w:t xml:space="preserve">1591</w:t>
            </w:r>
          </w:p>
          <w:p>
            <w:pPr>
              <w:spacing w:before="0" w:after="0" w:line="299" w:lineRule="exact"/>
              <w:ind w:left="0" w:firstLine="0"/>
              <w:jc w:val="left"/>
            </w:pPr>
            <w:r>
              <w:t xml:space="preserve">hquillen@whatleykallas.com</w:t>
            </w:r>
          </w:p>
        </w:tc>
        <w:tc>
          <w:tcPr>
            <w:tcW w:w="4116" w:type="dxa"/>
            <w:tcMar>
              <w:left w:w="312" w:type="dxa"/>
            </w:tcMar>
          </w:tcPr>
          <w:p>
            <w:pPr>
              <w:spacing w:before="0" w:after="0" w:line="1" w:lineRule="exact"/>
            </w:pPr>
          </w:p>
        </w:tc>
      </w:tr>
    </w:tbl>
    <w:p>
      <w:pPr>
        <w:pageBreakBefore/>
        <w:spacing w:before="0" w:after="0" w:line="1" w:lineRule="exact"/>
      </w:pPr>
    </w:p>
    <w:p>
      <w:pPr>
        <w:keepNext/>
        <w:keepLines/>
        <w:spacing w:before="0" w:after="150" w:line="449" w:lineRule="exact"/>
        <w:ind w:left="0" w:firstLine="0"/>
        <w:jc w:val="center"/>
      </w:pPr>
      <w:r>
        <w:rPr>
          <w:b/>
          <w:bCs/>
        </w:rPr>
        <w:t xml:space="preserve">ASSENTED-TO</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FILE</w:t>
      </w:r>
      <w:r>
        <w:rPr>
          <w:b/>
          <w:bCs/>
        </w:rPr>
        <w:t xml:space="preserve"> </w:t>
      </w:r>
      <w:r>
        <w:rPr>
          <w:b/>
          <w:bCs/>
        </w:rPr>
        <w:t xml:space="preserve">REPLY</w:t>
      </w:r>
    </w:p>
    <w:p>
      <w:pPr>
        <w:pStyle w:val="BodyText"/>
      </w:pPr>
      <w:r>
        <w:t xml:space="preserve">NOW COME the petitioners in the above matter, by and through their undersigned counsel, and move, with assent of counsel for the respondents, to file a short reply memorandum responding to certain points within the Respondents’ Joint Brief Memorandum, stating as follows:</w:t>
      </w:r>
    </w:p>
    <w:p>
      <w:pPr>
        <w:pStyle w:val="XdList1"/>
      </w:pPr>
      <w:r>
        <w:t xml:space="preserve">1.</w:t>
      </w:r>
      <w:r>
        <w:tab/>
      </w:r>
      <w:r>
        <w:t xml:space="preserve">On May 3, 2022, petitioners filed their petition for original jurisdiction.</w:t>
      </w:r>
    </w:p>
    <w:p>
      <w:pPr>
        <w:pStyle w:val="XdList1"/>
      </w:pPr>
      <w:r>
        <w:t xml:space="preserve">2.</w:t>
      </w:r>
      <w:r>
        <w:tab/>
      </w:r>
      <w:r>
        <w:t xml:space="preserve">By Order dated May 5, 2022, this Court joined the State of New Hampshire as a respondent and directed the respondents to file brief memoranda addressing whether the “questions to be reviewed” meet the criteria within Supreme Court Rule 11.</w:t>
      </w:r>
    </w:p>
    <w:p>
      <w:pPr>
        <w:pStyle w:val="XdList1"/>
      </w:pPr>
      <w:r>
        <w:t xml:space="preserve">3.</w:t>
      </w:r>
      <w:r>
        <w:tab/>
      </w:r>
      <w:r>
        <w:t xml:space="preserve">On May 13, 2022, the respondents filed their joint brief memorandum, in essence objecting to the exercise of original jurisdiction.</w:t>
      </w:r>
    </w:p>
    <w:p>
      <w:pPr>
        <w:pStyle w:val="XdList1"/>
      </w:pPr>
      <w:r>
        <w:t xml:space="preserve">4.</w:t>
      </w:r>
      <w:r>
        <w:tab/>
      </w:r>
      <w:r>
        <w:t xml:space="preserve">The petitioners request permission to file a short reply memorandum. Attached as Exhibit 1 to this motion is the proposed reply memorandum, which is limited to three pages of substantive analysis addressing certain points raised by the respondents’ brief memoranda.</w:t>
      </w:r>
    </w:p>
    <w:p>
      <w:pPr>
        <w:pStyle w:val="XdList1"/>
      </w:pPr>
      <w:r>
        <w:t xml:space="preserve">5.</w:t>
      </w:r>
      <w:r>
        <w:tab/>
      </w:r>
      <w:r>
        <w:t xml:space="preserve">Counsel for the respondents assents to the petitioners’ request for leave to file a short reply memorandum.</w:t>
      </w:r>
    </w:p>
    <w:p>
      <w:pPr>
        <w:pStyle w:val="BodyText"/>
      </w:pPr>
      <w:r>
        <w:t xml:space="preserve">WHEREFORE, the petitioners respectfully request that this Honorable Court:</w:t>
      </w:r>
    </w:p>
    <w:p>
      <w:pPr>
        <w:pStyle w:val="BodyText"/>
      </w:pPr>
      <w:r>
        <w:t xml:space="preserve">A. Grant petitioners permission to file the proposed reply memorandum attached as Exhibit 1;</w:t>
      </w:r>
    </w:p>
    <w:p>
      <w:pPr>
        <w:pStyle w:val="BodyText"/>
      </w:pPr>
      <w:r>
        <w:t xml:space="preserve">B. Grant such other relief as the Court deems just, equitable and proper.</w:t>
      </w:r>
    </w:p>
    <w:p>
      <w:pPr>
        <w:keepNext/>
        <w:keepLines/>
        <w:spacing w:before="150" w:after="150" w:line="449" w:lineRule="exact"/>
        <w:ind w:left="0" w:firstLine="0"/>
        <w:jc w:val="center"/>
      </w:pPr>
      <w:r>
        <w:rPr>
          <w:b/>
          <w:bCs/>
        </w:rPr>
        <w:t xml:space="preserve">Exhibit</w:t>
      </w:r>
      <w:r>
        <w:rPr>
          <w:b/>
          <w:bCs/>
        </w:rPr>
        <w:t xml:space="preserve"> </w:t>
      </w:r>
      <w:r>
        <w:rPr>
          <w:b/>
          <w:bCs/>
        </w:rPr>
        <w:t xml:space="preserve">1</w:t>
      </w:r>
    </w:p>
    <w:p>
      <w:pPr>
        <w:keepNext/>
        <w:keepLines/>
        <w:spacing w:before="150" w:after="150" w:line="449" w:lineRule="exact"/>
        <w:ind w:left="0" w:firstLine="0"/>
        <w:jc w:val="center"/>
      </w:pPr>
      <w:r>
        <w:rPr>
          <w:b/>
          <w:bCs/>
        </w:rPr>
        <w:t xml:space="preserve">REPLY</w:t>
      </w:r>
      <w:r>
        <w:rPr>
          <w:b/>
          <w:bCs/>
        </w:rPr>
        <w:t xml:space="preserve"> </w:t>
      </w:r>
      <w:r>
        <w:rPr>
          <w:b/>
          <w:bCs/>
        </w:rPr>
        <w:t xml:space="preserve">TO</w:t>
      </w:r>
      <w:r>
        <w:rPr>
          <w:b/>
          <w:bCs/>
        </w:rPr>
        <w:t xml:space="preserve"> </w:t>
      </w:r>
      <w:r>
        <w:rPr>
          <w:b/>
          <w:bCs/>
        </w:rPr>
        <w:t xml:space="preserve">RESPONDENTS’</w:t>
      </w:r>
      <w:r>
        <w:rPr>
          <w:b/>
          <w:bCs/>
        </w:rPr>
        <w:t xml:space="preserve"> </w:t>
      </w:r>
      <w:r>
        <w:rPr>
          <w:b/>
          <w:bCs/>
        </w:rPr>
        <w:t xml:space="preserve">JOINT</w:t>
      </w:r>
      <w:r>
        <w:rPr>
          <w:b/>
          <w:bCs/>
        </w:rPr>
        <w:t xml:space="preserve"> </w:t>
      </w:r>
      <w:r>
        <w:rPr>
          <w:b/>
          <w:bCs/>
        </w:rPr>
        <w:t xml:space="preserve">BRIEF</w:t>
      </w:r>
      <w:r>
        <w:rPr>
          <w:b/>
          <w:bCs/>
        </w:rPr>
        <w:t xml:space="preserve"> </w:t>
      </w:r>
      <w:r>
        <w:rPr>
          <w:b/>
          <w:bCs/>
        </w:rPr>
        <w:t xml:space="preserve">MEMORANDUM</w:t>
      </w:r>
    </w:p>
    <w:p>
      <w:pPr>
        <w:pStyle w:val="BodyText"/>
      </w:pPr>
      <w:r>
        <w:t xml:space="preserve">NOW COME the petitioners in the above-captioned matter, City of Dover and Debra Hackett, by and through their undersigned counsel, and reply to the Respondents’ Joint Brief Memorandum, stating as follows:</w:t>
      </w:r>
    </w:p>
    <w:p>
      <w:pPr>
        <w:keepNext/>
        <w:keepLines/>
        <w:spacing w:before="150" w:after="150" w:line="449"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timing</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petition</w:t>
      </w:r>
      <w:r>
        <w:rPr>
          <w:b/>
          <w:bCs/>
        </w:rPr>
        <w:t xml:space="preserve"> </w:t>
      </w:r>
      <w:r>
        <w:rPr>
          <w:b/>
          <w:bCs/>
        </w:rPr>
        <w:t xml:space="preserve">accords</w:t>
      </w:r>
      <w:r>
        <w:rPr>
          <w:b/>
          <w:bCs/>
        </w:rPr>
        <w:t xml:space="preserve"> </w:t>
      </w:r>
      <w:r>
        <w:rPr>
          <w:b/>
          <w:bCs/>
        </w:rPr>
        <w:t xml:space="preserve">with</w:t>
      </w:r>
      <w:r>
        <w:rPr>
          <w:b/>
          <w:bCs/>
        </w:rPr>
        <w:t xml:space="preserve"> </w:t>
      </w:r>
      <w:r>
        <w:rPr>
          <w:b/>
          <w:bCs/>
        </w:rPr>
        <w:t xml:space="preserve">past</w:t>
      </w:r>
      <w:r>
        <w:rPr>
          <w:b/>
          <w:bCs/>
        </w:rPr>
        <w:t xml:space="preserve"> </w:t>
      </w:r>
      <w:r>
        <w:rPr>
          <w:b/>
          <w:bCs/>
        </w:rPr>
        <w:t xml:space="preserve">cases.</w:t>
      </w:r>
    </w:p>
    <w:p>
      <w:pPr>
        <w:pStyle w:val="BodyTextNote"/>
      </w:pPr>
      <w:r>
        <w:t xml:space="preserve">There is nothing remarkable or out of step about the timing of this petition for original jurisdiction, which was filed on May 3rd.</w:t>
      </w:r>
      <w:r>
        <w:rPr>
          <w:rStyle w:val="FootnoteReference"/>
        </w:rPr>
        <w:footnoteReference w:id="9"/>
      </w:r>
      <w:r>
        <w:t xml:space="preserve"> </w:t>
      </w:r>
      <w:r>
        <w:t xml:space="preserve">In</w:t>
      </w:r>
      <w:r>
        <w:t xml:space="preserve"> </w:t>
      </w:r>
      <w:r>
        <w:rPr>
          <w:i/>
          <w:iCs/>
        </w:rPr>
        <w:t xml:space="preserve">Monier</w:t>
      </w:r>
      <w:r>
        <w:t xml:space="preserve">, also involving a petition for original jurisdiction, this Court awaited May 28th to take action on the merits. See</w:t>
      </w:r>
      <w:r>
        <w:t xml:space="preserve"> </w:t>
      </w:r>
      <w:r>
        <w:rPr>
          <w:i/>
          <w:iCs/>
        </w:rPr>
        <w:t xml:space="preserve">Monier v. Gallen</w:t>
      </w:r>
      <w:r>
        <w:t xml:space="preserve">, 122 N.H. 474, 476 (1982). In</w:t>
      </w:r>
      <w:r>
        <w:t xml:space="preserve"> </w:t>
      </w:r>
      <w:r>
        <w:rPr>
          <w:i/>
          <w:iCs/>
        </w:rPr>
        <w:t xml:space="preserve">Below v. Gardner</w:t>
      </w:r>
      <w:r>
        <w:t xml:space="preserve">, 148 N.H. 1 (2002), an April original jurisdiction filing resulted in oral argument on June 11th. In</w:t>
      </w:r>
      <w:r>
        <w:t xml:space="preserve"> </w:t>
      </w:r>
      <w:r>
        <w:rPr>
          <w:i/>
          <w:iCs/>
        </w:rPr>
        <w:t xml:space="preserve">Petition of Below</w:t>
      </w:r>
      <w:r>
        <w:t xml:space="preserve">, 151 N.H. 135 (2004), an original petition was filed May 27th and accepted by the Court. In</w:t>
      </w:r>
      <w:r>
        <w:t xml:space="preserve"> </w:t>
      </w:r>
      <w:r>
        <w:rPr>
          <w:i/>
          <w:iCs/>
        </w:rPr>
        <w:t xml:space="preserve">City of Manchester v. Secretary of State</w:t>
      </w:r>
      <w:r>
        <w:t xml:space="preserve">, 163 N.H. 689 (2012), oral argument was held June 6th.</w:t>
      </w:r>
    </w:p>
    <w:p>
      <w:pPr>
        <w:pStyle w:val="BodyText"/>
      </w:pPr>
      <w:r>
        <w:t xml:space="preserve">To the extent the Court needs time beyond the current statutory filing period to work through the merits of this matter, the Court could, as it has in the past, extend the candidate filing period for the New Hampshire House election. See</w:t>
      </w:r>
      <w:r>
        <w:t xml:space="preserve"> </w:t>
      </w:r>
      <w:r>
        <w:rPr>
          <w:i/>
          <w:iCs/>
        </w:rPr>
        <w:t xml:space="preserve">Petition of Below</w:t>
      </w:r>
      <w:r>
        <w:t xml:space="preserve">, 151 N.H. at 139 (recounting May 28th order staying statutory filing periods);</w:t>
      </w:r>
      <w:r>
        <w:t xml:space="preserve"> </w:t>
      </w:r>
      <w:r>
        <w:rPr>
          <w:i/>
          <w:iCs/>
        </w:rPr>
        <w:t xml:space="preserve">Petition of Burling</w:t>
      </w:r>
      <w:r>
        <w:t xml:space="preserve">, 2002 N.H. LEXIS 217 (July 26, 2002) (non-precedential Order); see also</w:t>
      </w:r>
      <w:r>
        <w:t xml:space="preserve"> </w:t>
      </w:r>
      <w:r>
        <w:rPr>
          <w:i/>
          <w:iCs/>
        </w:rPr>
        <w:t xml:space="preserve">Petition of Burling</w:t>
      </w:r>
      <w:r>
        <w:t xml:space="preserve">, 148 N.H. 143 (2002) (issuing order on the merits on July 26th).</w:t>
      </w:r>
    </w:p>
    <w:p>
      <w:pPr>
        <w:pStyle w:val="BodyText"/>
      </w:pPr>
      <w:r>
        <w:t xml:space="preserve">The so-called Purcell doctrine urged by respondents is one followed by federal courts for federal judicial reasons—it has not been followed in New Hampshire or this Court, which effectively rejected the very same arguments in</w:t>
      </w:r>
      <w:r>
        <w:t xml:space="preserve"> </w:t>
      </w:r>
      <w:r>
        <w:rPr>
          <w:i/>
          <w:iCs/>
        </w:rPr>
        <w:t xml:space="preserve">Norelli v. Secretary of State</w:t>
      </w:r>
      <w:r>
        <w:t xml:space="preserve">, __ N.H. __, 2022 N.H. LEXIS 61 (May 12, 2022). And, to countenance that doctrine here would create a perverse incentive for the legislature to enact redistricting legislation as late as possible, in order to foreclose any ability to pursue a legal challenge.</w:t>
      </w:r>
    </w:p>
    <w:p>
      <w:pPr>
        <w:keepNext/>
        <w:keepLines/>
        <w:spacing w:before="150" w:after="150" w:line="449" w:lineRule="exact"/>
        <w:ind w:left="0" w:firstLine="0"/>
        <w:jc w:val="left"/>
      </w:pPr>
      <w:r>
        <w:rPr>
          <w:b/>
          <w:bCs/>
        </w:rPr>
        <w:t xml:space="preserve">II.</w:t>
      </w:r>
      <w:r>
        <w:rPr>
          <w:b/>
          <w:bCs/>
        </w:rPr>
        <w:t xml:space="preserve"> </w:t>
      </w:r>
      <w:r>
        <w:rPr>
          <w:b/>
          <w:bCs/>
        </w:rPr>
        <w:t xml:space="preserve">Factual</w:t>
      </w:r>
      <w:r>
        <w:rPr>
          <w:b/>
          <w:bCs/>
        </w:rPr>
        <w:t xml:space="preserve"> </w:t>
      </w:r>
      <w:r>
        <w:rPr>
          <w:b/>
          <w:bCs/>
        </w:rPr>
        <w:t xml:space="preserve">issues</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can</w:t>
      </w:r>
      <w:r>
        <w:rPr>
          <w:b/>
          <w:bCs/>
        </w:rPr>
        <w:t xml:space="preserve"> </w:t>
      </w:r>
      <w:r>
        <w:rPr>
          <w:b/>
          <w:bCs/>
        </w:rPr>
        <w:t xml:space="preserve">be</w:t>
      </w:r>
      <w:r>
        <w:rPr>
          <w:b/>
          <w:bCs/>
        </w:rPr>
        <w:t xml:space="preserve"> </w:t>
      </w:r>
      <w:r>
        <w:rPr>
          <w:b/>
          <w:bCs/>
        </w:rPr>
        <w:t xml:space="preserve">streamlined.</w:t>
      </w:r>
    </w:p>
    <w:p>
      <w:pPr>
        <w:pStyle w:val="BodyText"/>
      </w:pPr>
      <w:r>
        <w:t xml:space="preserve">The respondents neither dispute nor even foreshadow dispute over any facts proffered by the petitioners. Beyond that, this Court is well-equipped to address any limited factual issues presented in this matter.</w:t>
      </w:r>
    </w:p>
    <w:p>
      <w:pPr>
        <w:pStyle w:val="BodyText"/>
      </w:pPr>
      <w:r>
        <w:t xml:space="preserve">First, the Court could easily address factual issues concerning Part II, Article 11 in this case by inquiring of the Respondents, similar to the process in</w:t>
      </w:r>
      <w:r>
        <w:t xml:space="preserve"> </w:t>
      </w:r>
      <w:r>
        <w:rPr>
          <w:i/>
          <w:iCs/>
        </w:rPr>
        <w:t xml:space="preserve">Norelli</w:t>
      </w:r>
      <w:r>
        <w:t xml:space="preserve">, if and to what extent they dispute that the Map-a-Thon map correctly shows that four violations of Part II, Article 11 (including Dover Ward 4) could have been avoided in Strafford County.</w:t>
      </w:r>
    </w:p>
    <w:p>
      <w:pPr>
        <w:pStyle w:val="BodyText"/>
      </w:pPr>
      <w:r>
        <w:t xml:space="preserve">Second, as for the population deviation issues, the respondents should be well aware of the statewide population deviation of the enacted map. It strains credibility to suggest that this issue—one of simple math—requires any protracted discovery or fact-finding.</w:t>
      </w:r>
    </w:p>
    <w:p>
      <w:pPr>
        <w:keepNext/>
        <w:keepLines/>
        <w:spacing w:before="150" w:after="150" w:line="449" w:lineRule="exact"/>
        <w:ind w:left="0" w:firstLine="0"/>
        <w:jc w:val="left"/>
      </w:pPr>
      <w:r>
        <w:rPr>
          <w:b/>
          <w:bCs/>
        </w:rPr>
        <w:t xml:space="preserve">III.</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presents</w:t>
      </w:r>
      <w:r>
        <w:rPr>
          <w:b/>
          <w:bCs/>
        </w:rPr>
        <w:t xml:space="preserve"> </w:t>
      </w:r>
      <w:r>
        <w:rPr>
          <w:b/>
          <w:bCs/>
        </w:rPr>
        <w:t xml:space="preserve">novel</w:t>
      </w:r>
      <w:r>
        <w:rPr>
          <w:b/>
          <w:bCs/>
        </w:rPr>
        <w:t xml:space="preserve"> </w:t>
      </w:r>
      <w:r>
        <w:rPr>
          <w:b/>
          <w:bCs/>
        </w:rPr>
        <w:t xml:space="preserve">questions</w:t>
      </w:r>
      <w:r>
        <w:rPr>
          <w:b/>
          <w:bCs/>
        </w:rPr>
        <w:t xml:space="preserve"> </w:t>
      </w:r>
      <w:r>
        <w:rPr>
          <w:b/>
          <w:bCs/>
        </w:rPr>
        <w:t xml:space="preserve">of</w:t>
      </w:r>
      <w:r>
        <w:rPr>
          <w:b/>
          <w:bCs/>
        </w:rPr>
        <w:t xml:space="preserve"> </w:t>
      </w:r>
      <w:r>
        <w:rPr>
          <w:b/>
          <w:bCs/>
        </w:rPr>
        <w:t xml:space="preserve">law.</w:t>
      </w:r>
    </w:p>
    <w:p>
      <w:pPr>
        <w:pStyle w:val="BodyText"/>
      </w:pPr>
      <w:r>
        <w:t xml:space="preserve">The respondents misconstrue the petitioners’ Part II, Article 11 claims. The petitioners not asking this Court to overrule</w:t>
      </w:r>
      <w:r>
        <w:t xml:space="preserve"> </w:t>
      </w:r>
      <w:r>
        <w:rPr>
          <w:i/>
          <w:iCs/>
        </w:rPr>
        <w:t xml:space="preserve">City of Manchester v. Secretary of State</w:t>
      </w:r>
      <w:r>
        <w:t xml:space="preserve">, 163 N.H. 689 (2012). As the petitioners noted in their petition, this case presents the factual scenario not presented in</w:t>
      </w:r>
      <w:r>
        <w:t xml:space="preserve"> </w:t>
      </w:r>
      <w:r>
        <w:rPr>
          <w:i/>
          <w:iCs/>
        </w:rPr>
        <w:t xml:space="preserve">City of Manchester</w:t>
      </w:r>
      <w:r>
        <w:t xml:space="preserve">, in that proposed maps presented to the legislature and now this Court show reduced violations of Part II, Article 11 and comply with the 10% population deviation safe harbor.</w:t>
      </w:r>
    </w:p>
    <w:p>
      <w:pPr>
        <w:pStyle w:val="BodyText"/>
      </w:pPr>
      <w:r>
        <w:t xml:space="preserve">Respondents also fault the petitioners for lack of analysis of the rational basis test articulated in</w:t>
      </w:r>
      <w:r>
        <w:t xml:space="preserve"> </w:t>
      </w:r>
      <w:r>
        <w:rPr>
          <w:i/>
          <w:iCs/>
        </w:rPr>
        <w:t xml:space="preserve">City of Manchester</w:t>
      </w:r>
      <w:r>
        <w:t xml:space="preserve">. First, that issue is subsumed within the issue statements contained within the petition. See Sup. Ct. R. 11(2)⁠(b). Moreover, respondents have conflated the briefing on the merits with petitioning to allow that briefing. In any event, petitioners are well-prepared to articulate and expose the lack of rational basis for the unnecessary violations of the State Constitution. The respondents, for their part, neither articulate nor foreshadow any rational basis to enact House Bill 50 with numerous unnecessary violations of Part II, Article 11.</w:t>
      </w:r>
    </w:p>
    <w:p>
      <w:pPr>
        <w:pStyle w:val="BodyText"/>
      </w:pPr>
      <w:r>
        <w:t xml:space="preserve">At bottom, this petition falls well line with the timing and substance of preceding petitions, which are a “particularly appropriate action when the parties desire and the public need requires a speedy determination of the important issues in controversy.”</w:t>
      </w:r>
      <w:r>
        <w:t xml:space="preserve"> </w:t>
      </w:r>
      <w:r>
        <w:rPr>
          <w:i/>
          <w:iCs/>
        </w:rPr>
        <w:t xml:space="preserve">Monier</w:t>
      </w:r>
      <w:r>
        <w:t xml:space="preserve">, 122 N.H. at 476.</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99" w:lineRule="exact"/>
              <w:ind w:left="0" w:firstLine="0"/>
              <w:jc w:val="left"/>
            </w:pPr>
            <w:r>
              <w:t xml:space="preserve">May</w:t>
            </w:r>
            <w:r>
              <w:t xml:space="preserve"> </w:t>
            </w:r>
            <w:r>
              <w:t xml:space="preserve">16,</w:t>
            </w:r>
            <w:r>
              <w:t xml:space="preserve"> </w:t>
            </w:r>
            <w:r>
              <w:t xml:space="preserve">2022</w:t>
            </w:r>
          </w:p>
          <w:p>
            <w:pPr>
              <w:spacing w:before="208" w:after="0" w:line="299" w:lineRule="exact"/>
              <w:ind w:left="0" w:firstLine="0"/>
              <w:jc w:val="left"/>
            </w:pPr>
            <w:r>
              <w:t xml:space="preserve">Respectfully</w:t>
            </w:r>
            <w:r>
              <w:t xml:space="preserve"> </w:t>
            </w:r>
            <w:r>
              <w:t xml:space="preserve">submitted,</w:t>
            </w:r>
          </w:p>
          <w:p>
            <w:pPr>
              <w:spacing w:before="208" w:after="0" w:line="299" w:lineRule="exact"/>
              <w:ind w:left="0" w:right="2160" w:firstLine="0"/>
              <w:jc w:val="left"/>
            </w:pPr>
            <w:r>
              <w:t xml:space="preserve">CITY</w:t>
            </w:r>
            <w:r>
              <w:t xml:space="preserve"> </w:t>
            </w:r>
            <w:r>
              <w:t xml:space="preserve">OF</w:t>
            </w:r>
            <w:r>
              <w:t xml:space="preserve"> </w:t>
            </w:r>
            <w:r>
              <w:t xml:space="preserve">DOVER</w:t>
            </w:r>
          </w:p>
          <w:p>
            <w:pPr>
              <w:spacing w:before="0" w:after="0" w:line="299" w:lineRule="exact"/>
              <w:ind w:left="0" w:right="2160" w:firstLine="0"/>
              <w:jc w:val="left"/>
            </w:pPr>
            <w:r>
              <w:t xml:space="preserve">By</w:t>
            </w:r>
            <w:r>
              <w:t xml:space="preserve"> </w:t>
            </w:r>
            <w:r>
              <w:t xml:space="preserve">its</w:t>
            </w:r>
            <w:r>
              <w:t xml:space="preserve"> </w:t>
            </w:r>
            <w:r>
              <w:t xml:space="preserve">attorneys,</w:t>
            </w:r>
          </w:p>
          <w:p>
            <w:pPr>
              <w:spacing w:before="312" w:after="0" w:line="299" w:lineRule="exact"/>
              <w:ind w:left="0" w:right="2160" w:firstLine="0"/>
              <w:jc w:val="left"/>
            </w:pPr>
            <w:r>
              <w:t xml:space="preserve">/s/</w:t>
            </w:r>
            <w:r>
              <w:t xml:space="preserve"> </w:t>
            </w:r>
            <w:r>
              <w:t xml:space="preserve">Joshua</w:t>
            </w:r>
            <w:r>
              <w:t xml:space="preserve"> </w:t>
            </w:r>
            <w:r>
              <w:t xml:space="preserve">M.</w:t>
            </w:r>
            <w:r>
              <w:t xml:space="preserve"> </w:t>
            </w:r>
            <w:r>
              <w:t xml:space="preserve">Wyatt</w:t>
            </w:r>
          </w:p>
          <w:p>
            <w:pPr>
              <w:spacing w:before="0" w:after="0" w:line="299" w:lineRule="exact"/>
              <w:ind w:left="0" w:right="2160" w:firstLine="0"/>
              <w:jc w:val="left"/>
            </w:pPr>
            <w:r>
              <w:t xml:space="preserve">N.H.</w:t>
            </w:r>
            <w:r>
              <w:t xml:space="preserve"> </w:t>
            </w:r>
            <w:r>
              <w:t xml:space="preserve">Bar</w:t>
            </w:r>
            <w:r>
              <w:t xml:space="preserve"> </w:t>
            </w:r>
            <w:r>
              <w:t xml:space="preserve">No.</w:t>
            </w:r>
            <w:r>
              <w:t xml:space="preserve"> </w:t>
            </w:r>
            <w:r>
              <w:t xml:space="preserve">18603</w:t>
            </w:r>
          </w:p>
          <w:p>
            <w:pPr>
              <w:spacing w:before="0" w:after="0" w:line="299" w:lineRule="exact"/>
              <w:ind w:left="0" w:right="2160" w:firstLine="0"/>
              <w:jc w:val="left"/>
            </w:pPr>
            <w:r>
              <w:t xml:space="preserve">City</w:t>
            </w:r>
            <w:r>
              <w:t xml:space="preserve"> </w:t>
            </w:r>
            <w:r>
              <w:t xml:space="preserve">Attorney</w:t>
            </w:r>
          </w:p>
          <w:p>
            <w:pPr>
              <w:spacing w:before="0" w:after="0" w:line="299" w:lineRule="exact"/>
              <w:ind w:left="0" w:right="2160" w:firstLine="0"/>
              <w:jc w:val="left"/>
            </w:pPr>
            <w:r>
              <w:t xml:space="preserve">288</w:t>
            </w:r>
            <w:r>
              <w:t xml:space="preserve"> </w:t>
            </w:r>
            <w:r>
              <w:t xml:space="preserve">Central</w:t>
            </w:r>
            <w:r>
              <w:t xml:space="preserve"> </w:t>
            </w:r>
            <w:r>
              <w:t xml:space="preserve">Avenue</w:t>
            </w:r>
          </w:p>
          <w:p>
            <w:pPr>
              <w:spacing w:before="0" w:after="0" w:line="299" w:lineRule="exact"/>
              <w:ind w:left="0" w:right="2160" w:firstLine="0"/>
              <w:jc w:val="left"/>
            </w:pPr>
            <w:r>
              <w:t xml:space="preserve">Dover,</w:t>
            </w:r>
            <w:r>
              <w:t xml:space="preserve"> </w:t>
            </w:r>
            <w:r>
              <w:t xml:space="preserve">NH</w:t>
            </w:r>
            <w:r>
              <w:t xml:space="preserve"> </w:t>
            </w:r>
            <w:r>
              <w:t xml:space="preserve">03820</w:t>
            </w:r>
          </w:p>
          <w:p>
            <w:pPr>
              <w:spacing w:before="0" w:after="0" w:line="299" w:lineRule="exact"/>
              <w:ind w:left="0" w:right="2160" w:firstLine="0"/>
              <w:jc w:val="left"/>
            </w:pPr>
            <w:r>
              <w:t xml:space="preserve">603</w:t>
              <w:noBreakHyphen/>
              <w:t xml:space="preserve">516</w:t>
              <w:noBreakHyphen/>
              <w:t xml:space="preserve">6520</w:t>
            </w:r>
          </w:p>
          <w:p>
            <w:pPr>
              <w:spacing w:before="0" w:after="0" w:line="299" w:lineRule="exact"/>
              <w:ind w:left="0" w:right="2160" w:firstLine="0"/>
              <w:jc w:val="left"/>
            </w:pPr>
            <w:r>
              <w:t xml:space="preserve">j.wyatt@dover.nh.gov</w:t>
            </w:r>
          </w:p>
        </w:tc>
      </w:tr>
    </w:tbl>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156" w:line="299"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SERVICE</w:t>
            </w:r>
          </w:p>
          <w:p>
            <w:pPr>
              <w:spacing w:before="0" w:after="0" w:line="449" w:lineRule="exact"/>
              <w:ind w:left="0" w:firstLine="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16th</w:t>
            </w:r>
            <w:r>
              <w:t xml:space="preserve"> </w:t>
            </w:r>
            <w:r>
              <w:t xml:space="preserve">day</w:t>
            </w:r>
            <w:r>
              <w:t xml:space="preserve"> </w:t>
            </w:r>
            <w:r>
              <w:t xml:space="preserve">of</w:t>
            </w:r>
            <w:r>
              <w:t xml:space="preserve"> </w:t>
            </w:r>
            <w:r>
              <w:t xml:space="preserve">May,</w:t>
            </w:r>
            <w:r>
              <w:t xml:space="preserve"> </w:t>
            </w:r>
            <w:r>
              <w:t xml:space="preserve">2022,</w:t>
            </w:r>
            <w:r>
              <w:t xml:space="preserve"> </w:t>
            </w:r>
            <w:r>
              <w:t xml:space="preserve">I</w:t>
            </w:r>
            <w:r>
              <w:t xml:space="preserve"> </w:t>
            </w:r>
            <w:r>
              <w:t xml:space="preserve">filed</w:t>
            </w:r>
            <w:r>
              <w:t xml:space="preserve"> </w:t>
            </w:r>
            <w:r>
              <w:t xml:space="preserve">the</w:t>
            </w:r>
            <w:r>
              <w:t xml:space="preserve"> </w:t>
            </w:r>
            <w:r>
              <w:t xml:space="preserve">foregoing</w:t>
            </w:r>
            <w:r>
              <w:t xml:space="preserve"> </w:t>
            </w:r>
            <w:r>
              <w:t xml:space="preserve">Assented-to</w:t>
            </w:r>
            <w:r>
              <w:t xml:space="preserve"> </w:t>
            </w:r>
            <w:r>
              <w:t xml:space="preserve">Motion</w:t>
            </w:r>
            <w:r>
              <w:t xml:space="preserve"> </w:t>
            </w:r>
            <w:r>
              <w:t xml:space="preserve">to</w:t>
            </w:r>
            <w:r>
              <w:t xml:space="preserve"> </w:t>
            </w:r>
            <w:r>
              <w:t xml:space="preserve">File</w:t>
            </w:r>
            <w:r>
              <w:t xml:space="preserve"> </w:t>
            </w:r>
            <w:r>
              <w:t xml:space="preserve">Reply</w:t>
            </w:r>
            <w:r>
              <w:t xml:space="preserve"> </w:t>
            </w:r>
            <w:r>
              <w:t xml:space="preserve">to</w:t>
            </w:r>
            <w:r>
              <w:t xml:space="preserve"> </w:t>
            </w:r>
            <w:r>
              <w:t xml:space="preserve">Respondents’</w:t>
            </w:r>
            <w:r>
              <w:t xml:space="preserve"> </w:t>
            </w:r>
            <w:r>
              <w:t xml:space="preserve">Joint</w:t>
            </w:r>
            <w:r>
              <w:t xml:space="preserve"> </w:t>
            </w:r>
            <w:r>
              <w:t xml:space="preserve">Brief</w:t>
            </w:r>
            <w:r>
              <w:t xml:space="preserve"> </w:t>
            </w:r>
            <w:r>
              <w:t xml:space="preserve">Memorandum</w:t>
            </w:r>
            <w:r>
              <w:t xml:space="preserve"> </w:t>
            </w:r>
            <w:r>
              <w:t xml:space="preserve">through</w:t>
            </w:r>
            <w:r>
              <w:t xml:space="preserve"> </w:t>
            </w:r>
            <w:r>
              <w:t xml:space="preserve">the</w:t>
            </w:r>
            <w:r>
              <w:t xml:space="preserve"> </w:t>
            </w:r>
            <w:r>
              <w:t xml:space="preserve">New</w:t>
            </w:r>
            <w:r>
              <w:t xml:space="preserve"> </w:t>
            </w:r>
            <w:r>
              <w:t xml:space="preserve">Hampshire</w:t>
            </w:r>
            <w:r>
              <w:t xml:space="preserve"> </w:t>
            </w:r>
            <w:r>
              <w:t xml:space="preserve">Supreme</w:t>
            </w:r>
            <w:r>
              <w:t xml:space="preserve"> </w:t>
            </w:r>
            <w:r>
              <w:t xml:space="preserve">Court’s</w:t>
            </w:r>
            <w:r>
              <w:t xml:space="preserve"> </w:t>
            </w:r>
            <w:r>
              <w:t xml:space="preserve">e-filing</w:t>
            </w:r>
            <w:r>
              <w:t xml:space="preserve"> </w:t>
            </w:r>
            <w:r>
              <w:t xml:space="preserve">system,</w:t>
            </w:r>
            <w:r>
              <w:t xml:space="preserve"> </w:t>
            </w:r>
            <w:r>
              <w:t xml:space="preserve">which</w:t>
            </w:r>
            <w:r>
              <w:t xml:space="preserve"> </w:t>
            </w:r>
            <w:r>
              <w:t xml:space="preserve">caused</w:t>
            </w:r>
            <w:r>
              <w:t xml:space="preserve"> </w:t>
            </w:r>
            <w:r>
              <w:t xml:space="preserve">a</w:t>
            </w:r>
            <w:r>
              <w:t xml:space="preserve"> </w:t>
            </w:r>
            <w:r>
              <w:t xml:space="preserve">copy</w:t>
            </w:r>
            <w:r>
              <w:t xml:space="preserve"> </w:t>
            </w:r>
            <w:r>
              <w:t xml:space="preserve">to</w:t>
            </w:r>
            <w:r>
              <w:t xml:space="preserve"> </w:t>
            </w:r>
            <w:r>
              <w:t xml:space="preserve">be</w:t>
            </w:r>
            <w:r>
              <w:t xml:space="preserve"> </w:t>
            </w:r>
            <w:r>
              <w:t xml:space="preserve">electronically</w:t>
            </w:r>
            <w:r>
              <w:t xml:space="preserve"> </w:t>
            </w:r>
            <w:r>
              <w:t xml:space="preserve">served</w:t>
            </w:r>
            <w:r>
              <w:t xml:space="preserve"> </w:t>
            </w:r>
            <w:r>
              <w:t xml:space="preserve">upon</w:t>
            </w:r>
            <w:r>
              <w:t xml:space="preserve"> </w:t>
            </w:r>
            <w:r>
              <w:t xml:space="preserve">counsel</w:t>
            </w:r>
            <w:r>
              <w:t xml:space="preserve"> </w:t>
            </w:r>
            <w:r>
              <w:t xml:space="preserve">of</w:t>
            </w:r>
            <w:r>
              <w:t xml:space="preserve"> </w:t>
            </w:r>
            <w:r>
              <w:t xml:space="preserve">record.</w:t>
            </w:r>
          </w:p>
          <w:p>
            <w:pPr>
              <w:spacing w:before="312" w:after="0" w:line="299" w:lineRule="exact"/>
              <w:ind w:left="0" w:right="2160" w:firstLine="0"/>
              <w:jc w:val="left"/>
            </w:pPr>
            <w:r>
              <w:t xml:space="preserve">/s/</w:t>
            </w:r>
            <w:r>
              <w:t xml:space="preserve"> </w:t>
            </w:r>
            <w:r>
              <w:t xml:space="preserve">Joshua</w:t>
            </w:r>
            <w:r>
              <w:t xml:space="preserve"> </w:t>
            </w:r>
            <w:r>
              <w:t xml:space="preserve">M.</w:t>
            </w:r>
            <w:r>
              <w:t xml:space="preserve"> </w:t>
            </w:r>
            <w:r>
              <w:t xml:space="preserve">Wyatt</w:t>
            </w:r>
          </w:p>
        </w:tc>
      </w:tr>
    </w:tbl>
    <w:sectPr>
      <w:footerReference w:type="default" r:id="rIdFooter1"/>
      <w:footerReference w:type="first" r:id="rIdFooterFirst"/>
      <w:pgSz w:w="12240" w:h="15840"/>
      <w:pgMar w:top="2160" w:right="2160" w:bottom="2160" w:left="2160" w:header="720" w:footer="1213"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petitioners were not dilatory. The Governor signed the legislation at issue on March 23rd. Dover’s City Council, which had been working on its annual budget throughout April, took up concerns over House Bill 50 on April 27th. Undersigned counsel filed the petition days later (on May 3rd).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432" w:hanging="432"/>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spacing w:before="0" w:after="15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49" w:lineRule="exact"/>
      <w:ind w:left="720" w:right="720" w:firstLine="0"/>
    </w:pPr>
  </w:style>
  <w:style w:type="paragraph" w:customStyle="1" w:styleId="XdQuoteFirst">
    <w:name w:val="Xd Quote First"/>
    <w:basedOn w:val="Normal"/>
    <w:qFormat/>
    <w:pPr>
      <w:spacing w:before="150" w:after="0" w:line="449" w:lineRule="exact"/>
      <w:ind w:left="720" w:right="720" w:firstLine="0"/>
    </w:pPr>
  </w:style>
  <w:style w:type="paragraph" w:customStyle="1" w:styleId="XdQuoteLast">
    <w:name w:val="Xd Quote Last"/>
    <w:basedOn w:val="Normal"/>
    <w:qFormat/>
    <w:pPr>
      <w:spacing w:before="0" w:after="150" w:line="449" w:lineRule="exact"/>
      <w:ind w:left="720" w:right="720" w:firstLine="0"/>
    </w:pPr>
  </w:style>
  <w:style w:type="paragraph" w:customStyle="1" w:styleId="XdQuoteOnly">
    <w:name w:val="Xd Quote Only"/>
    <w:basedOn w:val="Normal"/>
    <w:qFormat/>
    <w:pPr>
      <w:spacing w:before="150" w:after="150" w:line="44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9" w:lineRule="exact"/>
      <w:ind w:left="432" w:hanging="432"/>
    </w:pPr>
  </w:style>
  <w:style w:type="paragraph" w:customStyle="1" w:styleId="XdList2">
    <w:name w:val="XdList 2"/>
    <w:basedOn w:val="Normal"/>
    <w:qFormat/>
    <w:pPr>
      <w:spacing w:before="0" w:after="0" w:line="449" w:lineRule="exact"/>
      <w:ind w:left="864" w:hanging="432"/>
    </w:pPr>
  </w:style>
  <w:style w:type="paragraph" w:customStyle="1" w:styleId="XdList3">
    <w:name w:val="XdList 3"/>
    <w:basedOn w:val="Normal"/>
    <w:qFormat/>
    <w:pPr>
      <w:spacing w:before="0" w:after="0" w:line="449" w:lineRule="exact"/>
      <w:ind w:left="1296" w:hanging="432"/>
    </w:pPr>
  </w:style>
  <w:style w:type="paragraph" w:customStyle="1" w:styleId="XdTailList1">
    <w:name w:val="XdTailList 1"/>
    <w:basedOn w:val="Normal"/>
    <w:qFormat/>
    <w:pPr>
      <w:spacing w:before="0" w:after="0" w:line="299" w:lineRule="exact"/>
      <w:ind w:left="432" w:hanging="432"/>
    </w:pPr>
  </w:style>
  <w:style w:type="paragraph" w:customStyle="1" w:styleId="XdTailList2">
    <w:name w:val="XdTailList 2"/>
    <w:basedOn w:val="Normal"/>
    <w:qFormat/>
    <w:pPr>
      <w:spacing w:before="0" w:after="0" w:line="299" w:lineRule="exact"/>
      <w:ind w:left="864" w:hanging="432"/>
    </w:pPr>
  </w:style>
  <w:style w:type="paragraph" w:customStyle="1" w:styleId="XdTailList3">
    <w:name w:val="XdTailList 3"/>
    <w:basedOn w:val="Normal"/>
    <w:qFormat/>
    <w:pPr>
      <w:spacing w:before="0" w:after="0" w:line="299" w:lineRule="exact"/>
      <w:ind w:left="1296" w:hanging="432"/>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