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VIRGINIA</w:t>
      </w:r>
    </w:p>
    <w:p>
      <w:pPr>
        <w:spacing w:before="432" w:after="0" w:line="322" w:lineRule="exact"/>
        <w:ind w:left="0" w:firstLine="0"/>
        <w:jc w:val="center"/>
      </w:pPr>
      <w:r>
        <w:rPr>
          <w:b/>
          <w:bCs/>
        </w:rPr>
        <w:t xml:space="preserve">RECORD</w:t>
      </w:r>
      <w:r>
        <w:rPr>
          <w:b/>
          <w:bCs/>
        </w:rPr>
        <w:t xml:space="preserve"> </w:t>
      </w:r>
      <w:r>
        <w:rPr>
          <w:b/>
          <w:bCs/>
        </w:rPr>
        <w:t xml:space="preserve">NO.</w:t>
      </w:r>
      <w:r>
        <w:rPr>
          <w:b/>
          <w:bCs/>
        </w:rPr>
        <w:t xml:space="preserve"> </w:t>
      </w:r>
      <w:r>
        <w:rPr>
          <w:b/>
          <w:bCs/>
        </w:rPr>
        <w:t xml:space="preserve">1669</w:t>
        <w:noBreakHyphen/>
        <w:t xml:space="preserve">23</w:t>
        <w:noBreakHyphen/>
        <w:t xml:space="preserve">2</w:t>
      </w:r>
    </w:p>
    <w:p>
      <w:pPr>
        <w:spacing w:before="432" w:after="0" w:line="322" w:lineRule="exact"/>
        <w:ind w:left="0" w:firstLine="0"/>
        <w:jc w:val="center"/>
      </w:pPr>
      <w:r>
        <w:t xml:space="preserve">NATIONAL</w:t>
      </w:r>
      <w:r>
        <w:t xml:space="preserve"> </w:t>
      </w:r>
      <w:r>
        <w:t xml:space="preserve">PUBLIC</w:t>
      </w:r>
      <w:r>
        <w:t xml:space="preserve"> </w:t>
      </w:r>
      <w:r>
        <w:t xml:space="preserve">RADIO,</w:t>
      </w:r>
      <w:r>
        <w:t xml:space="preserve"> </w:t>
      </w:r>
      <w:r>
        <w:t xml:space="preserve">INC.,</w:t>
      </w:r>
      <w:r>
        <w:t xml:space="preserve"> </w:t>
      </w:r>
      <w:r>
        <w:t xml:space="preserve">CHIARA</w:t>
      </w:r>
      <w:r>
        <w:t xml:space="preserve"> </w:t>
      </w:r>
      <w:r>
        <w:t xml:space="preserve">EISNER,</w:t>
      </w:r>
    </w:p>
    <w:p>
      <w:pPr>
        <w:spacing w:before="0" w:after="0" w:line="322" w:lineRule="exact"/>
        <w:ind w:left="0" w:firstLine="0"/>
        <w:jc w:val="center"/>
      </w:pPr>
      <w:r>
        <w:t xml:space="preserve">AND</w:t>
      </w:r>
      <w:r>
        <w:t xml:space="preserve"> </w:t>
      </w:r>
      <w:r>
        <w:t xml:space="preserve">IAN</w:t>
      </w:r>
      <w:r>
        <w:t xml:space="preserve"> </w:t>
      </w:r>
      <w:r>
        <w:t xml:space="preserve">KALISH,</w:t>
      </w:r>
    </w:p>
    <w:p>
      <w:pPr>
        <w:spacing w:before="96" w:after="0" w:line="322" w:lineRule="exact"/>
        <w:ind w:left="0" w:firstLine="0"/>
        <w:jc w:val="center"/>
      </w:pPr>
      <w:r>
        <w:rPr>
          <w:i/>
          <w:iCs/>
        </w:rPr>
        <w:t xml:space="preserve">Appellants</w:t>
      </w:r>
    </w:p>
    <w:p>
      <w:pPr>
        <w:spacing w:before="288" w:after="0" w:line="322" w:lineRule="exact"/>
        <w:ind w:left="0" w:firstLine="0"/>
        <w:jc w:val="center"/>
      </w:pPr>
      <w:r>
        <w:t xml:space="preserve">v.</w:t>
      </w:r>
    </w:p>
    <w:p>
      <w:pPr>
        <w:spacing w:before="288" w:after="0" w:line="322" w:lineRule="exact"/>
        <w:ind w:left="0" w:firstLine="0"/>
        <w:jc w:val="center"/>
      </w:pPr>
      <w:r>
        <w:t xml:space="preserve">VIRGINIA</w:t>
      </w:r>
      <w:r>
        <w:t xml:space="preserve"> </w:t>
      </w:r>
      <w:r>
        <w:t xml:space="preserve">DEPARTMENT</w:t>
      </w:r>
      <w:r>
        <w:t xml:space="preserve"> </w:t>
      </w:r>
      <w:r>
        <w:t xml:space="preserve">OF</w:t>
      </w:r>
      <w:r>
        <w:t xml:space="preserve"> </w:t>
      </w:r>
      <w:r>
        <w:t xml:space="preserve">CORRECTIONS,</w:t>
      </w:r>
    </w:p>
    <w:p>
      <w:pPr>
        <w:spacing w:before="96" w:after="0" w:line="322" w:lineRule="exact"/>
        <w:ind w:left="0" w:firstLine="0"/>
        <w:jc w:val="center"/>
      </w:pPr>
      <w:r>
        <w:rPr>
          <w:i/>
          <w:iCs/>
        </w:rPr>
        <w:t xml:space="preserve">Appellee</w:t>
      </w:r>
    </w:p>
    <w:p>
      <w:pPr>
        <w:spacing w:before="576" w:after="0" w:line="322"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spacing w:before="1440" w:after="0" w:line="322" w:lineRule="exact"/>
        <w:ind w:left="4608" w:firstLine="0"/>
        <w:jc w:val="left"/>
      </w:pPr>
      <w:r>
        <w:t xml:space="preserve">Lin</w:t>
      </w:r>
      <w:r>
        <w:t xml:space="preserve"> </w:t>
      </w:r>
      <w:r>
        <w:t xml:space="preserve">Weeks,</w:t>
      </w:r>
      <w:r>
        <w:t xml:space="preserve"> </w:t>
      </w:r>
      <w:r>
        <w:t xml:space="preserve">VA</w:t>
      </w:r>
      <w:r>
        <w:t xml:space="preserve"> </w:t>
      </w:r>
      <w:r>
        <w:t xml:space="preserve">Bar</w:t>
      </w:r>
      <w:r>
        <w:t xml:space="preserve"> </w:t>
      </w:r>
      <w:r>
        <w:t xml:space="preserve">No.</w:t>
      </w:r>
      <w:r>
        <w:t xml:space="preserve"> </w:t>
      </w:r>
      <w:r>
        <w:t xml:space="preserve">97351</w:t>
      </w:r>
    </w:p>
    <w:p>
      <w:pPr>
        <w:spacing w:before="0" w:after="0" w:line="322" w:lineRule="exact"/>
        <w:ind w:left="4608" w:firstLine="0"/>
        <w:jc w:val="left"/>
      </w:pPr>
      <w:r>
        <w:t xml:space="preserve">Gabriel</w:t>
      </w:r>
      <w:r>
        <w:t xml:space="preserve"> </w:t>
      </w:r>
      <w:r>
        <w:t xml:space="preserve">Rottman,</w:t>
      </w:r>
      <w:r>
        <w:t xml:space="preserve"> </w:t>
      </w:r>
      <w:r>
        <w:rPr>
          <w:i/>
          <w:iCs/>
        </w:rPr>
        <w:t xml:space="preserve">pro</w:t>
      </w:r>
      <w:r>
        <w:rPr>
          <w:i/>
          <w:iCs/>
        </w:rPr>
        <w:t xml:space="preserve"> </w:t>
      </w:r>
      <w:r>
        <w:rPr>
          <w:i/>
          <w:iCs/>
        </w:rPr>
        <w:t xml:space="preserve">hac</w:t>
      </w:r>
      <w:r>
        <w:rPr>
          <w:i/>
          <w:iCs/>
        </w:rPr>
        <w:t xml:space="preserve"> </w:t>
      </w:r>
      <w:r>
        <w:rPr>
          <w:i/>
          <w:iCs/>
        </w:rPr>
        <w:t xml:space="preserve">vice</w:t>
      </w:r>
    </w:p>
    <w:p>
      <w:pPr>
        <w:spacing w:before="144" w:after="0" w:line="322" w:lineRule="exact"/>
        <w:ind w:left="4608" w:firstLine="0"/>
        <w:jc w:val="left"/>
      </w:pPr>
      <w:r>
        <w:t xml:space="preserve">UNIVERSITY</w:t>
      </w:r>
      <w:r>
        <w:t xml:space="preserve"> </w:t>
      </w:r>
      <w:r>
        <w:t xml:space="preserve">OF</w:t>
      </w:r>
      <w:r>
        <w:t xml:space="preserve"> </w:t>
      </w:r>
      <w:r>
        <w:t xml:space="preserve">VIRGINIA</w:t>
      </w:r>
      <w:r>
        <w:t xml:space="preserve"> </w:t>
      </w:r>
      <w:r>
        <w:t xml:space="preserve">SCHOOL</w:t>
      </w:r>
      <w:r>
        <w:t xml:space="preserve"> </w:t>
      </w:r>
      <w:r>
        <w:t xml:space="preserve">OF</w:t>
      </w:r>
      <w:r>
        <w:t xml:space="preserve"> </w:t>
      </w:r>
      <w:r>
        <w:t xml:space="preserve">LAW</w:t>
      </w:r>
    </w:p>
    <w:p>
      <w:pPr>
        <w:spacing w:before="0" w:after="0" w:line="322" w:lineRule="exact"/>
        <w:ind w:left="4608" w:firstLine="0"/>
        <w:jc w:val="left"/>
      </w:pPr>
      <w:r>
        <w:t xml:space="preserve">FIRST</w:t>
      </w:r>
      <w:r>
        <w:t xml:space="preserve"> </w:t>
      </w:r>
      <w:r>
        <w:t xml:space="preserve">AMENDMENT</w:t>
      </w:r>
      <w:r>
        <w:t xml:space="preserve"> </w:t>
      </w:r>
      <w:r>
        <w:t xml:space="preserve">CLINIC</w:t>
      </w:r>
    </w:p>
    <w:p>
      <w:pPr>
        <w:spacing w:before="0" w:after="0" w:line="322" w:lineRule="exact"/>
        <w:ind w:left="4608" w:firstLine="0"/>
        <w:jc w:val="left"/>
      </w:pPr>
      <w:r>
        <w:t xml:space="preserve">1156</w:t>
      </w:r>
      <w:r>
        <w:t xml:space="preserve"> </w:t>
      </w:r>
      <w:r>
        <w:t xml:space="preserve">15th</w:t>
      </w:r>
      <w:r>
        <w:t xml:space="preserve"> </w:t>
      </w:r>
      <w:r>
        <w:t xml:space="preserve">Street</w:t>
      </w:r>
      <w:r>
        <w:t xml:space="preserve"> </w:t>
      </w:r>
      <w:r>
        <w:t xml:space="preserve">NW,</w:t>
      </w:r>
      <w:r>
        <w:t xml:space="preserve"> </w:t>
      </w:r>
      <w:r>
        <w:t xml:space="preserve">Suite</w:t>
      </w:r>
      <w:r>
        <w:t xml:space="preserve"> </w:t>
      </w:r>
      <w:r>
        <w:t xml:space="preserve">1020</w:t>
      </w:r>
    </w:p>
    <w:p>
      <w:pPr>
        <w:spacing w:before="0" w:after="0" w:line="322" w:lineRule="exact"/>
        <w:ind w:left="4608" w:firstLine="0"/>
        <w:jc w:val="left"/>
      </w:pPr>
      <w:r>
        <w:t xml:space="preserve">Washington,</w:t>
      </w:r>
      <w:r>
        <w:t xml:space="preserve"> </w:t>
      </w:r>
      <w:r>
        <w:t xml:space="preserve">D.C.</w:t>
      </w:r>
      <w:r>
        <w:t xml:space="preserve"> </w:t>
      </w:r>
      <w:r>
        <w:t xml:space="preserve">20005</w:t>
      </w:r>
    </w:p>
    <w:p>
      <w:pPr>
        <w:spacing w:before="0" w:after="0" w:line="322" w:lineRule="exact"/>
        <w:ind w:left="4608" w:firstLine="0"/>
        <w:jc w:val="left"/>
      </w:pPr>
      <w:r>
        <w:t xml:space="preserve">Tel:</w:t>
      </w:r>
      <w:r>
        <w:t xml:space="preserve"> </w:t>
      </w:r>
      <w:r>
        <w:t xml:space="preserve">(202)</w:t>
      </w:r>
      <w:r>
        <w:t xml:space="preserve"> </w:t>
      </w:r>
      <w:r>
        <w:t xml:space="preserve">800</w:t>
        <w:noBreakHyphen/>
        <w:t xml:space="preserve">3533</w:t>
      </w:r>
    </w:p>
    <w:p>
      <w:pPr>
        <w:spacing w:before="0" w:after="0" w:line="322" w:lineRule="exact"/>
        <w:ind w:left="4608" w:firstLine="0"/>
        <w:jc w:val="left"/>
      </w:pPr>
      <w:r>
        <w:t xml:space="preserve">lin.weeks@law.virginia.edu</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p>
    <w:p>
      <w:pPr>
        <w:spacing w:before="0" w:after="0" w:line="322" w:lineRule="exact"/>
        <w:ind w:left="4608" w:firstLine="0"/>
        <w:jc w:val="left"/>
      </w:pPr>
      <w:r>
        <w:t xml:space="preserve">March</w:t>
      </w:r>
      <w:r>
        <w:t xml:space="preserve"> </w:t>
      </w:r>
      <w:r>
        <w:t xml:space="preserve">11,</w:t>
      </w:r>
      <w:r>
        <w:t xml:space="preserve"> </w:t>
      </w:r>
      <w:r>
        <w:t xml:space="preserve">2024</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360" w:right="720" w:hanging="360"/>
      </w:pPr>
      <w:r>
        <w:t xml:space="preserve">ARGUMENT</w:t>
      </w:r>
      <w:r>
        <w:t xml:space="preserve">   </w:t>
      </w:r>
      <w:r>
        <w:tab/>
      </w:r>
      <w:r>
        <w:t xml:space="preserve">1</w:t>
      </w:r>
    </w:p>
    <w:p>
      <w:pPr>
        <w:keepLines/>
        <w:tabs>
          <w:tab w:val="right" w:leader="dot" w:pos="9360"/>
        </w:tabs>
        <w:spacing w:before="252" w:after="0" w:line="322" w:lineRule="exact"/>
        <w:ind w:left="720" w:right="720" w:hanging="360"/>
      </w:pPr>
      <w:r>
        <w:t xml:space="preserve">I.</w:t>
      </w:r>
      <w:r>
        <w:t xml:space="preserve"> </w:t>
      </w:r>
      <w:r>
        <w:t xml:space="preserve">As</w:t>
      </w:r>
      <w:r>
        <w:t xml:space="preserve"> </w:t>
      </w:r>
      <w:r>
        <w:t xml:space="preserve">a</w:t>
      </w:r>
      <w:r>
        <w:t xml:space="preserve"> </w:t>
      </w:r>
      <w:r>
        <w:t xml:space="preserve">pure</w:t>
      </w:r>
      <w:r>
        <w:t xml:space="preserve"> </w:t>
      </w:r>
      <w:r>
        <w:t xml:space="preserve">matter</w:t>
      </w:r>
      <w:r>
        <w:t xml:space="preserve"> </w:t>
      </w:r>
      <w:r>
        <w:t xml:space="preserve">of</w:t>
      </w:r>
      <w:r>
        <w:t xml:space="preserve"> </w:t>
      </w:r>
      <w:r>
        <w:t xml:space="preserve">statutory</w:t>
      </w:r>
      <w:r>
        <w:t xml:space="preserve"> </w:t>
      </w:r>
      <w:r>
        <w:t xml:space="preserve">construction,</w:t>
      </w:r>
      <w:r>
        <w:t xml:space="preserve"> </w:t>
      </w:r>
      <w:r>
        <w:t xml:space="preserve">the</w:t>
      </w:r>
      <w:r>
        <w:t xml:space="preserve"> </w:t>
      </w:r>
      <w:r>
        <w:t xml:space="preserve">scope</w:t>
      </w:r>
      <w:r>
        <w:t xml:space="preserve"> </w:t>
      </w:r>
      <w:r>
        <w:t xml:space="preserve">of</w:t>
      </w:r>
      <w:r>
        <w:t xml:space="preserve"> </w:t>
      </w:r>
      <w:r>
        <w:t xml:space="preserve">the</w:t>
      </w:r>
      <w:r>
        <w:t xml:space="preserve"> </w:t>
      </w:r>
      <w:r>
        <w:t xml:space="preserve">Records</w:t>
      </w:r>
      <w:r>
        <w:t xml:space="preserve"> </w:t>
      </w:r>
      <w:r>
        <w:t xml:space="preserve">of</w:t>
      </w:r>
      <w:r>
        <w:t xml:space="preserve"> </w:t>
      </w:r>
      <w:r>
        <w:t xml:space="preserve">Persons</w:t>
      </w:r>
      <w:r>
        <w:t xml:space="preserve"> </w:t>
      </w:r>
      <w:r>
        <w:t xml:space="preserve">Imprisoned</w:t>
      </w:r>
      <w:r>
        <w:t xml:space="preserve"> </w:t>
      </w:r>
      <w:r>
        <w:t xml:space="preserve">Exemption</w:t>
      </w:r>
      <w:r>
        <w:t xml:space="preserve"> </w:t>
      </w:r>
      <w:r>
        <w:t xml:space="preserve">does</w:t>
      </w:r>
      <w:r>
        <w:t xml:space="preserve"> </w:t>
      </w:r>
      <w:r>
        <w:t xml:space="preserve">not</w:t>
      </w:r>
      <w:r>
        <w:t xml:space="preserve"> </w:t>
      </w:r>
      <w:r>
        <w:t xml:space="preserve">reach</w:t>
      </w:r>
      <w:r>
        <w:t xml:space="preserve"> </w:t>
      </w:r>
      <w:r>
        <w:t xml:space="preserve">records</w:t>
      </w:r>
      <w:r>
        <w:t xml:space="preserve"> </w:t>
      </w:r>
      <w:r>
        <w:t xml:space="preserve">responsive</w:t>
      </w:r>
      <w:r>
        <w:t xml:space="preserve"> </w:t>
      </w:r>
      <w:r>
        <w:t xml:space="preserve">to</w:t>
      </w:r>
      <w:r>
        <w:t xml:space="preserve"> </w:t>
      </w:r>
      <w:r>
        <w:t xml:space="preserve">Appellants’</w:t>
      </w:r>
      <w:r>
        <w:t xml:space="preserve"> </w:t>
      </w:r>
      <w:r>
        <w:t xml:space="preserve">request</w:t>
      </w:r>
      <w:r>
        <w:t xml:space="preserve"> </w:t>
      </w:r>
      <w:r>
        <w:t xml:space="preserve">(AOE</w:t>
        <w:noBreakHyphen/>
        <w:t xml:space="preserve">1).</w:t>
      </w:r>
      <w:r>
        <w:t xml:space="preserve">   </w:t>
      </w:r>
      <w:r>
        <w:tab/>
      </w:r>
      <w:r>
        <w:t xml:space="preserve">1</w:t>
      </w:r>
    </w:p>
    <w:p>
      <w:pPr>
        <w:keepLines/>
        <w:tabs>
          <w:tab w:val="right" w:leader="dot" w:pos="9360"/>
        </w:tabs>
        <w:spacing w:before="252" w:after="0" w:line="322" w:lineRule="exact"/>
        <w:ind w:left="720" w:right="720" w:hanging="360"/>
      </w:pPr>
      <w:r>
        <w:t xml:space="preserve">II.</w:t>
      </w:r>
      <w:r>
        <w:t xml:space="preserve"> </w:t>
      </w:r>
      <w:r>
        <w:t xml:space="preserve">No</w:t>
      </w:r>
      <w:r>
        <w:t xml:space="preserve"> </w:t>
      </w:r>
      <w:r>
        <w:t xml:space="preserve">record</w:t>
      </w:r>
      <w:r>
        <w:t xml:space="preserve"> </w:t>
      </w:r>
      <w:r>
        <w:t xml:space="preserve">evidence</w:t>
      </w:r>
      <w:r>
        <w:t xml:space="preserve"> </w:t>
      </w:r>
      <w:r>
        <w:t xml:space="preserve">supports</w:t>
      </w:r>
      <w:r>
        <w:t xml:space="preserve"> </w:t>
      </w:r>
      <w:r>
        <w:t xml:space="preserve">the</w:t>
      </w:r>
      <w:r>
        <w:t xml:space="preserve"> </w:t>
      </w:r>
      <w:r>
        <w:t xml:space="preserve">conclusions</w:t>
      </w:r>
      <w:r>
        <w:t xml:space="preserve"> </w:t>
      </w:r>
      <w:r>
        <w:t xml:space="preserve">of</w:t>
      </w:r>
      <w:r>
        <w:t xml:space="preserve"> </w:t>
      </w:r>
      <w:r>
        <w:t xml:space="preserve">fact</w:t>
      </w:r>
      <w:r>
        <w:t xml:space="preserve"> </w:t>
      </w:r>
      <w:r>
        <w:t xml:space="preserve">in</w:t>
      </w:r>
      <w:r>
        <w:t xml:space="preserve"> </w:t>
      </w:r>
      <w:r>
        <w:t xml:space="preserve">Paragraphs</w:t>
      </w:r>
      <w:r>
        <w:t xml:space="preserve"> </w:t>
      </w:r>
      <w:r>
        <w:t xml:space="preserve">3</w:t>
      </w:r>
      <w:r>
        <w:t xml:space="preserve"> </w:t>
      </w:r>
      <w:r>
        <w:t xml:space="preserve">and</w:t>
      </w:r>
      <w:r>
        <w:t xml:space="preserve"> </w:t>
      </w:r>
      <w:r>
        <w:t xml:space="preserve">5</w:t>
      </w:r>
      <w:r>
        <w:t xml:space="preserve"> </w:t>
      </w:r>
      <w:r>
        <w:t xml:space="preserve">of</w:t>
      </w:r>
      <w:r>
        <w:t xml:space="preserve"> </w:t>
      </w:r>
      <w:r>
        <w:t xml:space="preserve">the</w:t>
      </w:r>
      <w:r>
        <w:t xml:space="preserve"> </w:t>
      </w:r>
      <w:r>
        <w:t xml:space="preserve">circuit</w:t>
      </w:r>
      <w:r>
        <w:t xml:space="preserve"> </w:t>
      </w:r>
      <w:r>
        <w:t xml:space="preserve">court’s</w:t>
      </w:r>
      <w:r>
        <w:t xml:space="preserve"> </w:t>
      </w:r>
      <w:r>
        <w:t xml:space="preserve">order</w:t>
      </w:r>
      <w:r>
        <w:t xml:space="preserve"> </w:t>
      </w:r>
      <w:r>
        <w:t xml:space="preserve">(AOE</w:t>
        <w:noBreakHyphen/>
        <w:t xml:space="preserve">2).</w:t>
      </w:r>
      <w:r>
        <w:t xml:space="preserve">   </w:t>
      </w:r>
      <w:r>
        <w:tab/>
      </w:r>
      <w:r>
        <w:t xml:space="preserve">6</w:t>
      </w:r>
    </w:p>
    <w:p>
      <w:pPr>
        <w:keepLines/>
        <w:tabs>
          <w:tab w:val="right" w:leader="dot" w:pos="9360"/>
        </w:tabs>
        <w:spacing w:before="252" w:after="0" w:line="322" w:lineRule="exact"/>
        <w:ind w:left="720" w:right="720" w:hanging="360"/>
      </w:pPr>
      <w:r>
        <w:t xml:space="preserve">III.</w:t>
      </w:r>
      <w:r>
        <w:t xml:space="preserve"> </w:t>
      </w:r>
      <w:r>
        <w:t xml:space="preserve">VADOC</w:t>
      </w:r>
      <w:r>
        <w:t xml:space="preserve"> </w:t>
      </w:r>
      <w:r>
        <w:t xml:space="preserve">is</w:t>
      </w:r>
      <w:r>
        <w:t xml:space="preserve"> </w:t>
      </w:r>
      <w:r>
        <w:t xml:space="preserve">required</w:t>
      </w:r>
      <w:r>
        <w:t xml:space="preserve"> </w:t>
      </w:r>
      <w:r>
        <w:t xml:space="preserve">to</w:t>
      </w:r>
      <w:r>
        <w:t xml:space="preserve"> </w:t>
      </w:r>
      <w:r>
        <w:t xml:space="preserve">produce</w:t>
      </w:r>
      <w:r>
        <w:t xml:space="preserve"> </w:t>
      </w:r>
      <w:r>
        <w:t xml:space="preserve">non-exempt</w:t>
      </w:r>
      <w:r>
        <w:t xml:space="preserve"> </w:t>
      </w:r>
      <w:r>
        <w:t xml:space="preserve">portions</w:t>
      </w:r>
      <w:r>
        <w:t xml:space="preserve"> </w:t>
      </w:r>
      <w:r>
        <w:t xml:space="preserve">of</w:t>
      </w:r>
      <w:r>
        <w:t xml:space="preserve"> </w:t>
      </w:r>
      <w:r>
        <w:t xml:space="preserve">the</w:t>
      </w:r>
      <w:r>
        <w:t xml:space="preserve"> </w:t>
      </w:r>
      <w:r>
        <w:t xml:space="preserve">requested</w:t>
      </w:r>
      <w:r>
        <w:t xml:space="preserve"> </w:t>
      </w:r>
      <w:r>
        <w:t xml:space="preserve">records</w:t>
      </w:r>
      <w:r>
        <w:t xml:space="preserve"> </w:t>
      </w:r>
      <w:r>
        <w:t xml:space="preserve">under</w:t>
      </w:r>
      <w:r>
        <w:t xml:space="preserve"> </w:t>
      </w:r>
      <w:r>
        <w:t xml:space="preserve">any</w:t>
      </w:r>
      <w:r>
        <w:t xml:space="preserve"> </w:t>
      </w:r>
      <w:r>
        <w:t xml:space="preserve">construction</w:t>
      </w:r>
      <w:r>
        <w:t xml:space="preserve"> </w:t>
      </w:r>
      <w:r>
        <w:t xml:space="preserve">of</w:t>
      </w:r>
      <w:r>
        <w:t xml:space="preserve"> </w:t>
      </w:r>
      <w:r>
        <w:t xml:space="preserve">the</w:t>
      </w:r>
      <w:r>
        <w:t xml:space="preserve"> </w:t>
      </w:r>
      <w:r>
        <w:t xml:space="preserve">statute</w:t>
      </w:r>
      <w:r>
        <w:t xml:space="preserve"> </w:t>
      </w:r>
      <w:r>
        <w:t xml:space="preserve">(AOE</w:t>
        <w:noBreakHyphen/>
        <w:t xml:space="preserve">3).</w:t>
      </w:r>
      <w:r>
        <w:t xml:space="preserve">   </w:t>
      </w:r>
      <w:r>
        <w:tab/>
      </w:r>
      <w:r>
        <w:t xml:space="preserve">10</w:t>
      </w:r>
    </w:p>
    <w:p>
      <w:pPr>
        <w:keepLines/>
        <w:tabs>
          <w:tab w:val="right" w:leader="dot" w:pos="9360"/>
        </w:tabs>
        <w:spacing w:before="252" w:after="0" w:line="322" w:lineRule="exact"/>
        <w:ind w:left="720" w:right="720" w:hanging="360"/>
      </w:pPr>
      <w:r>
        <w:t xml:space="preserve">IV.</w:t>
      </w:r>
      <w:r>
        <w:t xml:space="preserve"> </w:t>
      </w:r>
      <w:r>
        <w:t xml:space="preserve">None</w:t>
      </w:r>
      <w:r>
        <w:t xml:space="preserve"> </w:t>
      </w:r>
      <w:r>
        <w:t xml:space="preserve">of</w:t>
      </w:r>
      <w:r>
        <w:t xml:space="preserve"> </w:t>
      </w:r>
      <w:r>
        <w:t xml:space="preserve">the</w:t>
      </w:r>
      <w:r>
        <w:t xml:space="preserve"> </w:t>
      </w:r>
      <w:r>
        <w:t xml:space="preserve">other</w:t>
      </w:r>
      <w:r>
        <w:t xml:space="preserve"> </w:t>
      </w:r>
      <w:r>
        <w:t xml:space="preserve">exemptions</w:t>
      </w:r>
      <w:r>
        <w:t xml:space="preserve"> </w:t>
      </w:r>
      <w:r>
        <w:t xml:space="preserve">relied</w:t>
      </w:r>
      <w:r>
        <w:t xml:space="preserve"> </w:t>
      </w:r>
      <w:r>
        <w:t xml:space="preserve">upon</w:t>
      </w:r>
      <w:r>
        <w:t xml:space="preserve"> </w:t>
      </w:r>
      <w:r>
        <w:t xml:space="preserve">by</w:t>
      </w:r>
      <w:r>
        <w:t xml:space="preserve"> </w:t>
      </w:r>
      <w:r>
        <w:t xml:space="preserve">VADOC</w:t>
      </w:r>
      <w:r>
        <w:t xml:space="preserve"> </w:t>
      </w:r>
      <w:r>
        <w:t xml:space="preserve">justify</w:t>
      </w:r>
      <w:r>
        <w:t xml:space="preserve"> </w:t>
      </w:r>
      <w:r>
        <w:t xml:space="preserve">the</w:t>
      </w:r>
      <w:r>
        <w:t xml:space="preserve"> </w:t>
      </w:r>
      <w:r>
        <w:t xml:space="preserve">complete</w:t>
      </w:r>
      <w:r>
        <w:t xml:space="preserve"> </w:t>
      </w:r>
      <w:r>
        <w:t xml:space="preserve">withholding</w:t>
      </w:r>
      <w:r>
        <w:t xml:space="preserve"> </w:t>
      </w:r>
      <w:r>
        <w:t xml:space="preserve">of</w:t>
      </w:r>
      <w:r>
        <w:t xml:space="preserve"> </w:t>
      </w:r>
      <w:r>
        <w:t xml:space="preserve">the</w:t>
      </w:r>
      <w:r>
        <w:t xml:space="preserve"> </w:t>
      </w:r>
      <w:r>
        <w:t xml:space="preserve">requested</w:t>
      </w:r>
      <w:r>
        <w:t xml:space="preserve"> </w:t>
      </w:r>
      <w:r>
        <w:t xml:space="preserve">records</w:t>
      </w:r>
      <w:r>
        <w:t xml:space="preserve"> </w:t>
      </w:r>
      <w:r>
        <w:t xml:space="preserve">(AOE</w:t>
        <w:noBreakHyphen/>
        <w:t xml:space="preserve">4).</w:t>
      </w:r>
      <w:r>
        <w:t xml:space="preserve">   </w:t>
      </w:r>
      <w:r>
        <w:tab/>
      </w:r>
      <w:r>
        <w:t xml:space="preserve">13</w:t>
      </w:r>
    </w:p>
    <w:p>
      <w:pPr>
        <w:keepLines/>
        <w:tabs>
          <w:tab w:val="right" w:leader="dot" w:pos="9360"/>
        </w:tabs>
        <w:spacing w:before="252" w:after="0" w:line="322" w:lineRule="exact"/>
        <w:ind w:left="360" w:right="720" w:hanging="360"/>
      </w:pPr>
      <w:r>
        <w:t xml:space="preserve">CONCLUSION</w:t>
      </w:r>
      <w:r>
        <w:t xml:space="preserve">   </w:t>
      </w:r>
      <w:r>
        <w:tab/>
      </w:r>
      <w:r>
        <w:t xml:space="preserve">15</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Cases</w:t>
      </w:r>
    </w:p>
    <w:p>
      <w:pPr>
        <w:keepLines/>
        <w:tabs>
          <w:tab w:val="right" w:leader="dot" w:pos="9360"/>
        </w:tabs>
        <w:spacing w:before="252" w:after="0" w:line="322" w:lineRule="exact"/>
        <w:ind w:left="720" w:right="1120" w:hanging="720"/>
      </w:pPr>
      <w:r>
        <w:rPr>
          <w:i/>
          <w:iCs/>
        </w:rPr>
        <w:t xml:space="preserve">ACLU</w:t>
      </w:r>
      <w:r>
        <w:rPr>
          <w:i/>
          <w:iCs/>
        </w:rPr>
        <w:t xml:space="preserve"> </w:t>
      </w:r>
      <w:r>
        <w:rPr>
          <w:i/>
          <w:iCs/>
        </w:rPr>
        <w:t xml:space="preserve">v.</w:t>
      </w:r>
      <w:r>
        <w:rPr>
          <w:i/>
          <w:iCs/>
        </w:rPr>
        <w:t xml:space="preserve"> </w:t>
      </w:r>
      <w:r>
        <w:rPr>
          <w:i/>
          <w:iCs/>
        </w:rPr>
        <w:t xml:space="preserve">Federal</w:t>
      </w:r>
      <w:r>
        <w:rPr>
          <w:i/>
          <w:iCs/>
        </w:rPr>
        <w:t xml:space="preserve"> </w:t>
      </w:r>
      <w:r>
        <w:rPr>
          <w:i/>
          <w:iCs/>
        </w:rPr>
        <w:t xml:space="preserve">Bureau</w:t>
      </w:r>
      <w:r>
        <w:rPr>
          <w:i/>
          <w:iCs/>
        </w:rPr>
        <w:t xml:space="preserve"> </w:t>
      </w:r>
      <w:r>
        <w:rPr>
          <w:i/>
          <w:iCs/>
        </w:rPr>
        <w:t xml:space="preserve">of</w:t>
      </w:r>
      <w:r>
        <w:rPr>
          <w:i/>
          <w:iCs/>
        </w:rPr>
        <w:t xml:space="preserve"> </w:t>
      </w:r>
      <w:r>
        <w:rPr>
          <w:i/>
          <w:iCs/>
        </w:rPr>
        <w:t xml:space="preserve">Prisons</w:t>
      </w:r>
      <w:r>
        <w:t xml:space="preserve">,</w:t>
      </w:r>
      <w:r>
        <w:t xml:space="preserve"> </w:t>
      </w:r>
      <w:r>
        <w:t xml:space="preserve">No.</w:t>
      </w:r>
      <w:r>
        <w:t xml:space="preserve"> </w:t>
      </w:r>
      <w:r>
        <w:t xml:space="preserve">20</w:t>
        <w:noBreakHyphen/>
        <w:t xml:space="preserve">2320,</w:t>
      </w:r>
      <w:r>
        <w:t xml:space="preserve"> </w:t>
      </w:r>
      <w:r>
        <w:t xml:space="preserve">2022</w:t>
      </w:r>
      <w:r>
        <w:t xml:space="preserve"> </w:t>
      </w:r>
      <w:r>
        <w:t xml:space="preserve">U.S.</w:t>
      </w:r>
      <w:r>
        <w:t xml:space="preserve"> </w:t>
      </w:r>
      <w:r>
        <w:t xml:space="preserve">Dist.</w:t>
      </w:r>
      <w:r>
        <w:t xml:space="preserve"> </w:t>
      </w:r>
      <w:r>
        <w:t xml:space="preserve">LEXIS</w:t>
      </w:r>
      <w:r>
        <w:t xml:space="preserve"> </w:t>
      </w:r>
      <w:r>
        <w:t xml:space="preserve">213748</w:t>
      </w:r>
      <w:r>
        <w:t xml:space="preserve"> </w:t>
      </w:r>
      <w:r>
        <w:t xml:space="preserve">(D.D.C.</w:t>
      </w:r>
      <w:r>
        <w:t xml:space="preserve"> </w:t>
      </w:r>
      <w:r>
        <w:t xml:space="preserve">Nov.</w:t>
      </w:r>
      <w:r>
        <w:t xml:space="preserve"> </w:t>
      </w:r>
      <w:r>
        <w:t xml:space="preserve">28,</w:t>
      </w:r>
      <w:r>
        <w:t xml:space="preserve"> </w:t>
      </w:r>
      <w:r>
        <w:t xml:space="preserve">2022)</w:t>
      </w:r>
      <w:r>
        <w:t xml:space="preserve">   </w:t>
      </w:r>
      <w:r>
        <w:tab/>
      </w:r>
      <w:r>
        <w:t xml:space="preserve">14</w:t>
      </w:r>
    </w:p>
    <w:p>
      <w:pPr>
        <w:keepLines/>
        <w:tabs>
          <w:tab w:val="right" w:leader="dot" w:pos="9360"/>
        </w:tabs>
        <w:spacing w:before="252" w:after="0" w:line="322" w:lineRule="exact"/>
        <w:ind w:left="720" w:right="1120" w:hanging="720"/>
      </w:pPr>
      <w:r>
        <w:rPr>
          <w:i/>
          <w:iCs/>
        </w:rPr>
        <w:t xml:space="preserve">Adjei</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63</w:t>
      </w:r>
      <w:r>
        <w:t xml:space="preserve"> </w:t>
      </w:r>
      <w:r>
        <w:t xml:space="preserve">Va.</w:t>
      </w:r>
      <w:r>
        <w:t xml:space="preserve"> </w:t>
      </w:r>
      <w:r>
        <w:t xml:space="preserve">App.</w:t>
      </w:r>
      <w:r>
        <w:t xml:space="preserve"> </w:t>
      </w:r>
      <w:r>
        <w:t xml:space="preserve">727</w:t>
      </w:r>
      <w:r>
        <w:t xml:space="preserve"> </w:t>
      </w:r>
      <w:r>
        <w:t xml:space="preserve">(2014)</w:t>
      </w:r>
      <w:r>
        <w:t xml:space="preserve">   </w:t>
      </w:r>
      <w:r>
        <w:tab/>
      </w:r>
      <w:r>
        <w:t xml:space="preserve">8</w:t>
      </w:r>
    </w:p>
    <w:p>
      <w:pPr>
        <w:keepLines/>
        <w:tabs>
          <w:tab w:val="right" w:leader="dot" w:pos="9360"/>
        </w:tabs>
        <w:spacing w:before="252" w:after="0" w:line="322" w:lineRule="exact"/>
        <w:ind w:left="720" w:right="1120" w:hanging="720"/>
      </w:pPr>
      <w:r>
        <w:rPr>
          <w:i/>
          <w:iCs/>
        </w:rPr>
        <w:t xml:space="preserve">American</w:t>
      </w:r>
      <w:r>
        <w:rPr>
          <w:i/>
          <w:iCs/>
        </w:rPr>
        <w:t xml:space="preserve"> </w:t>
      </w:r>
      <w:r>
        <w:rPr>
          <w:i/>
          <w:iCs/>
        </w:rPr>
        <w:t xml:space="preserve">Tradition</w:t>
      </w:r>
      <w:r>
        <w:rPr>
          <w:i/>
          <w:iCs/>
        </w:rPr>
        <w:t xml:space="preserve"> </w:t>
      </w:r>
      <w:r>
        <w:rPr>
          <w:i/>
          <w:iCs/>
        </w:rPr>
        <w:t xml:space="preserve">Institute</w:t>
      </w:r>
      <w:r>
        <w:rPr>
          <w:i/>
          <w:iCs/>
        </w:rPr>
        <w:t xml:space="preserve"> </w:t>
      </w:r>
      <w:r>
        <w:rPr>
          <w:i/>
          <w:iCs/>
        </w:rPr>
        <w:t xml:space="preserve">v.</w:t>
      </w:r>
      <w:r>
        <w:rPr>
          <w:i/>
          <w:iCs/>
        </w:rPr>
        <w:t xml:space="preserve"> </w:t>
      </w:r>
      <w:r>
        <w:rPr>
          <w:i/>
          <w:iCs/>
        </w:rPr>
        <w:t xml:space="preserve">Rector</w:t>
      </w:r>
      <w:r>
        <w:rPr>
          <w:i/>
          <w:iCs/>
        </w:rPr>
        <w:t xml:space="preserve"> </w:t>
      </w:r>
      <w:r>
        <w:rPr>
          <w:i/>
          <w:iCs/>
        </w:rPr>
        <w:t xml:space="preserve">and</w:t>
      </w:r>
      <w:r>
        <w:rPr>
          <w:i/>
          <w:iCs/>
        </w:rPr>
        <w:t xml:space="preserve"> </w:t>
      </w:r>
      <w:r>
        <w:rPr>
          <w:i/>
          <w:iCs/>
        </w:rPr>
        <w:t xml:space="preserve">Visitors</w:t>
      </w:r>
      <w:r>
        <w:rPr>
          <w:i/>
          <w:iCs/>
        </w:rPr>
        <w:t xml:space="preserve"> </w:t>
      </w:r>
      <w:r>
        <w:rPr>
          <w:i/>
          <w:iCs/>
        </w:rPr>
        <w:t xml:space="preserve">of</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Virginia</w:t>
      </w:r>
      <w:r>
        <w:t xml:space="preserve">,</w:t>
      </w:r>
      <w:r>
        <w:t xml:space="preserve"> </w:t>
      </w:r>
      <w:r>
        <w:t xml:space="preserve">287</w:t>
      </w:r>
      <w:r>
        <w:t xml:space="preserve"> </w:t>
      </w:r>
      <w:r>
        <w:t xml:space="preserve">Va.</w:t>
      </w:r>
      <w:r>
        <w:t xml:space="preserve"> </w:t>
      </w:r>
      <w:r>
        <w:t xml:space="preserve">330</w:t>
      </w:r>
      <w:r>
        <w:t xml:space="preserve"> </w:t>
      </w:r>
      <w:r>
        <w:t xml:space="preserve">(2014)</w:t>
      </w:r>
      <w:r>
        <w:t xml:space="preserve">   </w:t>
      </w:r>
      <w:r>
        <w:tab/>
      </w:r>
      <w:r>
        <w:t xml:space="preserve">4</w:t>
      </w:r>
    </w:p>
    <w:p>
      <w:pPr>
        <w:keepLines/>
        <w:tabs>
          <w:tab w:val="right" w:leader="dot" w:pos="9360"/>
        </w:tabs>
        <w:spacing w:before="252" w:after="0" w:line="322" w:lineRule="exact"/>
        <w:ind w:left="720" w:right="1120" w:hanging="720"/>
      </w:pPr>
      <w:r>
        <w:rPr>
          <w:i/>
          <w:iCs/>
        </w:rPr>
        <w:t xml:space="preserve">Cameranesi</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Defense</w:t>
      </w:r>
      <w:r>
        <w:t xml:space="preserve">,</w:t>
      </w:r>
      <w:r>
        <w:t xml:space="preserve"> </w:t>
      </w:r>
      <w:r>
        <w:t xml:space="preserve">856</w:t>
      </w:r>
      <w:r>
        <w:t xml:space="preserve"> </w:t>
      </w:r>
      <w:r>
        <w:t xml:space="preserve">F.3d</w:t>
      </w:r>
      <w:r>
        <w:t xml:space="preserve"> </w:t>
      </w:r>
      <w:r>
        <w:t xml:space="preserve">626</w:t>
      </w:r>
      <w:r>
        <w:t xml:space="preserve"> </w:t>
      </w:r>
      <w:r>
        <w:t xml:space="preserve">(9th</w:t>
      </w:r>
      <w:r>
        <w:t xml:space="preserve"> </w:t>
      </w:r>
      <w:r>
        <w:t xml:space="preserve">Cir.</w:t>
      </w:r>
      <w:r>
        <w:t xml:space="preserve"> </w:t>
      </w:r>
      <w:r>
        <w:t xml:space="preserve">2017)</w:t>
      </w:r>
      <w:r>
        <w:t xml:space="preserve">   </w:t>
      </w:r>
      <w:r>
        <w:tab/>
      </w:r>
      <w:r>
        <w:t xml:space="preserve">14</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White</w:t>
      </w:r>
      <w:r>
        <w:t xml:space="preserve">,</w:t>
      </w:r>
      <w:r>
        <w:t xml:space="preserve"> </w:t>
      </w:r>
      <w:r>
        <w:t xml:space="preserve">293</w:t>
      </w:r>
      <w:r>
        <w:t xml:space="preserve"> </w:t>
      </w:r>
      <w:r>
        <w:t xml:space="preserve">Va.</w:t>
      </w:r>
      <w:r>
        <w:t xml:space="preserve"> </w:t>
      </w:r>
      <w:r>
        <w:t xml:space="preserve">411</w:t>
      </w:r>
      <w:r>
        <w:t xml:space="preserve"> </w:t>
      </w:r>
      <w:r>
        <w:t xml:space="preserve">(2017)</w:t>
      </w:r>
      <w:r>
        <w:t xml:space="preserve">   </w:t>
      </w:r>
      <w:r>
        <w:tab/>
      </w:r>
      <w:r>
        <w:t xml:space="preserve">9</w:t>
      </w:r>
    </w:p>
    <w:p>
      <w:pPr>
        <w:keepLines/>
        <w:tabs>
          <w:tab w:val="right" w:leader="dot" w:pos="9360"/>
        </w:tabs>
        <w:spacing w:before="252" w:after="0" w:line="322" w:lineRule="exact"/>
        <w:ind w:left="720" w:right="1120" w:hanging="720"/>
      </w:pPr>
      <w:r>
        <w:rPr>
          <w:i/>
          <w:iCs/>
        </w:rPr>
        <w:t xml:space="preserve">Dallas</w:t>
      </w:r>
      <w:r>
        <w:rPr>
          <w:i/>
          <w:iCs/>
        </w:rPr>
        <w:t xml:space="preserve"> </w:t>
      </w:r>
      <w:r>
        <w:rPr>
          <w:i/>
          <w:iCs/>
        </w:rPr>
        <w:t xml:space="preserve">v.</w:t>
      </w:r>
      <w:r>
        <w:rPr>
          <w:i/>
          <w:iCs/>
        </w:rPr>
        <w:t xml:space="preserve"> </w:t>
      </w:r>
      <w:r>
        <w:rPr>
          <w:i/>
          <w:iCs/>
        </w:rPr>
        <w:t xml:space="preserve">Va.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Corrections</w:t>
      </w:r>
      <w:r>
        <w:t xml:space="preserve">,</w:t>
      </w:r>
      <w:r>
        <w:t xml:space="preserve"> </w:t>
      </w:r>
      <w:r>
        <w:t xml:space="preserve">No.</w:t>
      </w:r>
      <w:r>
        <w:t xml:space="preserve"> </w:t>
      </w:r>
      <w:r>
        <w:t xml:space="preserve">CL21</w:t>
        <w:noBreakHyphen/>
        <w:t xml:space="preserve">5564</w:t>
      </w:r>
      <w:r>
        <w:t xml:space="preserve"> </w:t>
      </w:r>
      <w:r>
        <w:t xml:space="preserve">(Norfolk</w:t>
      </w:r>
      <w:r>
        <w:t xml:space="preserve"> </w:t>
      </w:r>
      <w:r>
        <w:t xml:space="preserve">Cir.</w:t>
      </w:r>
      <w:r>
        <w:t xml:space="preserve"> </w:t>
      </w:r>
      <w:r>
        <w:t xml:space="preserve">Ct.</w:t>
      </w:r>
      <w:r>
        <w:t xml:space="preserve"> </w:t>
      </w:r>
      <w:r>
        <w:t xml:space="preserve">Nov.</w:t>
      </w:r>
      <w:r>
        <w:t xml:space="preserve"> </w:t>
      </w:r>
      <w:r>
        <w:t xml:space="preserve">29,</w:t>
      </w:r>
      <w:r>
        <w:t xml:space="preserve"> </w:t>
      </w:r>
      <w:r>
        <w:t xml:space="preserve">2021)</w:t>
      </w:r>
      <w:r>
        <w:t xml:space="preserve">   </w:t>
      </w:r>
      <w:r>
        <w:tab/>
      </w:r>
      <w:r>
        <w:t xml:space="preserve">6</w:t>
      </w:r>
    </w:p>
    <w:p>
      <w:pPr>
        <w:keepLines/>
        <w:tabs>
          <w:tab w:val="right" w:leader="dot" w:pos="9360"/>
        </w:tabs>
        <w:spacing w:before="252" w:after="0" w:line="322" w:lineRule="exact"/>
        <w:ind w:left="720" w:right="1120" w:hanging="720"/>
      </w:pPr>
      <w:r>
        <w:rPr>
          <w:i/>
          <w:iCs/>
        </w:rPr>
        <w:t xml:space="preserve">Estate</w:t>
      </w:r>
      <w:r>
        <w:rPr>
          <w:i/>
          <w:iCs/>
        </w:rPr>
        <w:t xml:space="preserve"> </w:t>
      </w:r>
      <w:r>
        <w:rPr>
          <w:i/>
          <w:iCs/>
        </w:rPr>
        <w:t xml:space="preserve">of</w:t>
      </w:r>
      <w:r>
        <w:rPr>
          <w:i/>
          <w:iCs/>
        </w:rPr>
        <w:t xml:space="preserve"> </w:t>
      </w:r>
      <w:r>
        <w:rPr>
          <w:i/>
          <w:iCs/>
        </w:rPr>
        <w:t xml:space="preserve">Cuffee</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Chesapeake</w:t>
      </w:r>
      <w:r>
        <w:t xml:space="preserve">,</w:t>
      </w:r>
      <w:r>
        <w:t xml:space="preserve"> </w:t>
      </w:r>
      <w:r>
        <w:t xml:space="preserve">No.</w:t>
      </w:r>
      <w:r>
        <w:t xml:space="preserve"> </w:t>
      </w:r>
      <w:r>
        <w:t xml:space="preserve">2:08-cv</w:t>
        <w:noBreakHyphen/>
        <w:t xml:space="preserve">329,</w:t>
      </w:r>
      <w:r>
        <w:t xml:space="preserve"> </w:t>
      </w:r>
      <w:r>
        <w:t xml:space="preserve">2009</w:t>
      </w:r>
      <w:r>
        <w:t xml:space="preserve"> </w:t>
      </w:r>
      <w:r>
        <w:t xml:space="preserve">U.S.</w:t>
      </w:r>
      <w:r>
        <w:t xml:space="preserve"> </w:t>
      </w:r>
      <w:r>
        <w:t xml:space="preserve">Dist.</w:t>
      </w:r>
      <w:r>
        <w:t xml:space="preserve"> </w:t>
      </w:r>
      <w:r>
        <w:t xml:space="preserve">LEXIS</w:t>
      </w:r>
      <w:r>
        <w:t xml:space="preserve"> </w:t>
      </w:r>
      <w:r>
        <w:t xml:space="preserve">144789</w:t>
      </w:r>
      <w:r>
        <w:t xml:space="preserve"> </w:t>
      </w:r>
      <w:r>
        <w:t xml:space="preserve">(E.D.</w:t>
      </w:r>
      <w:r>
        <w:t xml:space="preserve"> </w:t>
      </w:r>
      <w:r>
        <w:t xml:space="preserve">Va.</w:t>
      </w:r>
      <w:r>
        <w:t xml:space="preserve"> </w:t>
      </w:r>
      <w:r>
        <w:t xml:space="preserve">Aug.</w:t>
      </w:r>
      <w:r>
        <w:t xml:space="preserve"> </w:t>
      </w:r>
      <w:r>
        <w:t xml:space="preserve">4,</w:t>
      </w:r>
      <w:r>
        <w:t xml:space="preserve"> </w:t>
      </w:r>
      <w:r>
        <w:t xml:space="preserve">2009)</w:t>
      </w:r>
      <w:r>
        <w:t xml:space="preserve">   </w:t>
      </w:r>
      <w:r>
        <w:tab/>
      </w:r>
      <w:r>
        <w:t xml:space="preserve">6</w:t>
      </w:r>
    </w:p>
    <w:p>
      <w:pPr>
        <w:keepLines/>
        <w:tabs>
          <w:tab w:val="right" w:leader="dot" w:pos="9360"/>
        </w:tabs>
        <w:spacing w:before="252" w:after="0" w:line="322" w:lineRule="exact"/>
        <w:ind w:left="720" w:right="1120" w:hanging="720"/>
      </w:pPr>
      <w:r>
        <w:rPr>
          <w:i/>
          <w:iCs/>
        </w:rPr>
        <w:t xml:space="preserve">Harris</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274</w:t>
      </w:r>
      <w:r>
        <w:t xml:space="preserve"> </w:t>
      </w:r>
      <w:r>
        <w:t xml:space="preserve">Va.</w:t>
      </w:r>
      <w:r>
        <w:t xml:space="preserve"> </w:t>
      </w:r>
      <w:r>
        <w:t xml:space="preserve">409</w:t>
      </w:r>
      <w:r>
        <w:t xml:space="preserve"> </w:t>
      </w:r>
      <w:r>
        <w:t xml:space="preserve">(2007)</w:t>
      </w:r>
      <w:r>
        <w:t xml:space="preserve">   </w:t>
      </w:r>
      <w:r>
        <w:tab/>
      </w:r>
      <w:r>
        <w:t xml:space="preserve">1</w:t>
      </w:r>
    </w:p>
    <w:p>
      <w:pPr>
        <w:keepLines/>
        <w:tabs>
          <w:tab w:val="right" w:leader="dot" w:pos="9360"/>
        </w:tabs>
        <w:spacing w:before="252" w:after="0" w:line="322" w:lineRule="exact"/>
        <w:ind w:left="720" w:right="1120" w:hanging="720"/>
      </w:pPr>
      <w:r>
        <w:rPr>
          <w:i/>
          <w:iCs/>
        </w:rPr>
        <w:t xml:space="preserve">Hawkins</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South</w:t>
      </w:r>
      <w:r>
        <w:rPr>
          <w:i/>
          <w:iCs/>
        </w:rPr>
        <w:t xml:space="preserve"> </w:t>
      </w:r>
      <w:r>
        <w:rPr>
          <w:i/>
          <w:iCs/>
        </w:rPr>
        <w:t xml:space="preserve">Hill</w:t>
      </w:r>
      <w:r>
        <w:t xml:space="preserve">,</w:t>
      </w:r>
      <w:r>
        <w:t xml:space="preserve"> </w:t>
      </w:r>
      <w:r>
        <w:t xml:space="preserve">301</w:t>
      </w:r>
      <w:r>
        <w:t xml:space="preserve"> </w:t>
      </w:r>
      <w:r>
        <w:t xml:space="preserve">Va.</w:t>
      </w:r>
      <w:r>
        <w:t xml:space="preserve"> </w:t>
      </w:r>
      <w:r>
        <w:t xml:space="preserve">416</w:t>
      </w:r>
      <w:r>
        <w:t xml:space="preserve"> </w:t>
      </w:r>
      <w:r>
        <w:t xml:space="preserve">(2022)</w:t>
      </w:r>
      <w:r>
        <w:t xml:space="preserve">   </w:t>
      </w:r>
      <w:r>
        <w:tab/>
      </w:r>
      <w:r>
        <w:t xml:space="preserve">1, 11, 14</w:t>
      </w:r>
    </w:p>
    <w:p>
      <w:pPr>
        <w:keepLines/>
        <w:tabs>
          <w:tab w:val="right" w:leader="dot" w:pos="9360"/>
        </w:tabs>
        <w:spacing w:before="252" w:after="0" w:line="322" w:lineRule="exact"/>
        <w:ind w:left="720" w:right="1120" w:hanging="720"/>
      </w:pPr>
      <w:r>
        <w:rPr>
          <w:i/>
          <w:iCs/>
        </w:rPr>
        <w:t xml:space="preserve">Jordan</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Justice</w:t>
      </w:r>
      <w:r>
        <w:t xml:space="preserve">,</w:t>
      </w:r>
      <w:r>
        <w:t xml:space="preserve"> </w:t>
      </w:r>
      <w:r>
        <w:t xml:space="preserve">No.</w:t>
      </w:r>
      <w:r>
        <w:t xml:space="preserve"> </w:t>
      </w:r>
      <w:r>
        <w:t xml:space="preserve">07-cv</w:t>
        <w:noBreakHyphen/>
        <w:t xml:space="preserve">02303,</w:t>
      </w:r>
      <w:r>
        <w:t xml:space="preserve"> </w:t>
      </w:r>
      <w:r>
        <w:t xml:space="preserve">2009</w:t>
      </w:r>
      <w:r>
        <w:t xml:space="preserve"> </w:t>
      </w:r>
      <w:r>
        <w:t xml:space="preserve">U.S.</w:t>
      </w:r>
      <w:r>
        <w:t xml:space="preserve"> </w:t>
      </w:r>
      <w:r>
        <w:t xml:space="preserve">Dist.</w:t>
      </w:r>
      <w:r>
        <w:t xml:space="preserve"> </w:t>
      </w:r>
      <w:r>
        <w:t xml:space="preserve">LEXIS</w:t>
      </w:r>
      <w:r>
        <w:t xml:space="preserve"> </w:t>
      </w:r>
      <w:r>
        <w:t xml:space="preserve">81081</w:t>
      </w:r>
      <w:r>
        <w:t xml:space="preserve"> </w:t>
      </w:r>
      <w:r>
        <w:t xml:space="preserve">(D.</w:t>
      </w:r>
      <w:r>
        <w:t xml:space="preserve"> </w:t>
      </w:r>
      <w:r>
        <w:t xml:space="preserve">Colo.</w:t>
      </w:r>
      <w:r>
        <w:t xml:space="preserve"> </w:t>
      </w:r>
      <w:r>
        <w:t xml:space="preserve">Aug.</w:t>
      </w:r>
      <w:r>
        <w:t xml:space="preserve"> </w:t>
      </w:r>
      <w:r>
        <w:t xml:space="preserve">14,</w:t>
      </w:r>
      <w:r>
        <w:t xml:space="preserve"> </w:t>
      </w:r>
      <w:r>
        <w:t xml:space="preserve">2009)</w:t>
      </w:r>
      <w:r>
        <w:t xml:space="preserve">   </w:t>
      </w:r>
      <w:r>
        <w:tab/>
      </w:r>
      <w:r>
        <w:t xml:space="preserve">13</w:t>
      </w:r>
    </w:p>
    <w:p>
      <w:pPr>
        <w:keepLines/>
        <w:tabs>
          <w:tab w:val="right" w:leader="dot" w:pos="9360"/>
        </w:tabs>
        <w:spacing w:before="252" w:after="0" w:line="322" w:lineRule="exact"/>
        <w:ind w:left="720" w:right="1120" w:hanging="720"/>
      </w:pPr>
      <w:r>
        <w:rPr>
          <w:i/>
          <w:iCs/>
        </w:rPr>
        <w:t xml:space="preserve">Lee</w:t>
      </w:r>
      <w:r>
        <w:rPr>
          <w:i/>
          <w:iCs/>
        </w:rPr>
        <w:t xml:space="preserve"> </w:t>
      </w:r>
      <w:r>
        <w:rPr>
          <w:i/>
          <w:iCs/>
        </w:rPr>
        <w:t xml:space="preserve">BHM</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Sch.</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Richmond</w:t>
      </w:r>
      <w:r>
        <w:t xml:space="preserve">,</w:t>
      </w:r>
      <w:r>
        <w:t xml:space="preserve"> </w:t>
      </w:r>
      <w:r>
        <w:t xml:space="preserve">CL23</w:t>
        <w:noBreakHyphen/>
        <w:t xml:space="preserve">5464</w:t>
      </w:r>
      <w:r>
        <w:t xml:space="preserve"> </w:t>
      </w:r>
      <w:r>
        <w:t xml:space="preserve">(Richmond</w:t>
      </w:r>
      <w:r>
        <w:t xml:space="preserve"> </w:t>
      </w:r>
      <w:r>
        <w:t xml:space="preserve">Cir.</w:t>
      </w:r>
      <w:r>
        <w:t xml:space="preserve"> </w:t>
      </w:r>
      <w:r>
        <w:t xml:space="preserve">Ct.</w:t>
      </w:r>
      <w:r>
        <w:t xml:space="preserve"> </w:t>
      </w:r>
      <w:r>
        <w:t xml:space="preserve">Jan.</w:t>
      </w:r>
      <w:r>
        <w:t xml:space="preserve"> </w:t>
      </w:r>
      <w:r>
        <w:t xml:space="preserve">16,</w:t>
      </w:r>
      <w:r>
        <w:t xml:space="preserve"> </w:t>
      </w:r>
      <w:r>
        <w:t xml:space="preserve">2024)</w:t>
      </w:r>
      <w:r>
        <w:t xml:space="preserve">   </w:t>
      </w:r>
      <w:r>
        <w:tab/>
      </w:r>
      <w:r>
        <w:t xml:space="preserve">3</w:t>
      </w:r>
    </w:p>
    <w:p>
      <w:pPr>
        <w:keepLines/>
        <w:tabs>
          <w:tab w:val="right" w:leader="dot" w:pos="9360"/>
        </w:tabs>
        <w:spacing w:before="252" w:after="0" w:line="322" w:lineRule="exact"/>
        <w:ind w:left="720" w:right="1120" w:hanging="720"/>
      </w:pPr>
      <w:r>
        <w:rPr>
          <w:i/>
          <w:iCs/>
        </w:rPr>
        <w:t xml:space="preserve">Moncrieffe</w:t>
      </w:r>
      <w:r>
        <w:rPr>
          <w:i/>
          <w:iCs/>
        </w:rPr>
        <w:t xml:space="preserve"> </w:t>
      </w:r>
      <w:r>
        <w:rPr>
          <w:i/>
          <w:iCs/>
        </w:rPr>
        <w:t xml:space="preserve">v.</w:t>
      </w:r>
      <w:r>
        <w:rPr>
          <w:i/>
          <w:iCs/>
        </w:rPr>
        <w:t xml:space="preserve"> </w:t>
      </w:r>
      <w:r>
        <w:rPr>
          <w:i/>
          <w:iCs/>
        </w:rPr>
        <w:t xml:space="preserve">Deno</w:t>
      </w:r>
      <w:r>
        <w:t xml:space="preserve">,</w:t>
      </w:r>
      <w:r>
        <w:t xml:space="preserve"> </w:t>
      </w:r>
      <w:r>
        <w:t xml:space="preserve">76</w:t>
      </w:r>
      <w:r>
        <w:t xml:space="preserve"> </w:t>
      </w:r>
      <w:r>
        <w:t xml:space="preserve">Va.</w:t>
      </w:r>
      <w:r>
        <w:t xml:space="preserve"> </w:t>
      </w:r>
      <w:r>
        <w:t xml:space="preserve">App.</w:t>
      </w:r>
      <w:r>
        <w:t xml:space="preserve"> </w:t>
      </w:r>
      <w:r>
        <w:t xml:space="preserve">488</w:t>
      </w:r>
      <w:r>
        <w:t xml:space="preserve"> </w:t>
      </w:r>
      <w:r>
        <w:t xml:space="preserve">(2023)</w:t>
      </w:r>
      <w:r>
        <w:t xml:space="preserve">   </w:t>
      </w:r>
      <w:r>
        <w:tab/>
      </w:r>
      <w:r>
        <w:t xml:space="preserve">9</w:t>
      </w:r>
    </w:p>
    <w:p>
      <w:pPr>
        <w:keepLines/>
        <w:tabs>
          <w:tab w:val="right" w:leader="dot" w:pos="9360"/>
        </w:tabs>
        <w:spacing w:before="252" w:after="0" w:line="322" w:lineRule="exact"/>
        <w:ind w:left="720" w:right="1120" w:hanging="720"/>
      </w:pPr>
      <w:r>
        <w:rPr>
          <w:i/>
          <w:iCs/>
        </w:rPr>
        <w:t xml:space="preserve">Moore</w:t>
      </w:r>
      <w:r>
        <w:rPr>
          <w:i/>
          <w:iCs/>
        </w:rPr>
        <w:t xml:space="preserve"> </w:t>
      </w:r>
      <w:r>
        <w:rPr>
          <w:i/>
          <w:iCs/>
        </w:rPr>
        <w:t xml:space="preserve">v.</w:t>
      </w:r>
      <w:r>
        <w:rPr>
          <w:i/>
          <w:iCs/>
        </w:rPr>
        <w:t xml:space="preserve"> </w:t>
      </w:r>
      <w:r>
        <w:rPr>
          <w:i/>
          <w:iCs/>
        </w:rPr>
        <w:t xml:space="preserve">Maroney</w:t>
      </w:r>
      <w:r>
        <w:t xml:space="preserve">,</w:t>
      </w:r>
      <w:r>
        <w:t xml:space="preserve"> </w:t>
      </w:r>
      <w:r>
        <w:t xml:space="preserve">258</w:t>
      </w:r>
      <w:r>
        <w:t xml:space="preserve"> </w:t>
      </w:r>
      <w:r>
        <w:t xml:space="preserve">Va.</w:t>
      </w:r>
      <w:r>
        <w:t xml:space="preserve"> </w:t>
      </w:r>
      <w:r>
        <w:t xml:space="preserve">21</w:t>
      </w:r>
      <w:r>
        <w:t xml:space="preserve"> </w:t>
      </w:r>
      <w:r>
        <w:t xml:space="preserve">(1999)</w:t>
      </w:r>
      <w:r>
        <w:t xml:space="preserve">   </w:t>
      </w:r>
      <w:r>
        <w:tab/>
      </w:r>
      <w:r>
        <w:t xml:space="preserve">9</w:t>
      </w:r>
    </w:p>
    <w:p>
      <w:pPr>
        <w:keepLines/>
        <w:tabs>
          <w:tab w:val="right" w:leader="dot" w:pos="9360"/>
        </w:tabs>
        <w:spacing w:before="252" w:after="0" w:line="322" w:lineRule="exact"/>
        <w:ind w:left="720" w:right="1120" w:hanging="720"/>
      </w:pPr>
      <w:r>
        <w:rPr>
          <w:i/>
          <w:iCs/>
        </w:rPr>
        <w:t xml:space="preserve">Newton</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21</w:t>
      </w:r>
      <w:r>
        <w:t xml:space="preserve"> </w:t>
      </w:r>
      <w:r>
        <w:t xml:space="preserve">Va.</w:t>
      </w:r>
      <w:r>
        <w:t xml:space="preserve"> </w:t>
      </w:r>
      <w:r>
        <w:t xml:space="preserve">App.</w:t>
      </w:r>
      <w:r>
        <w:t xml:space="preserve"> </w:t>
      </w:r>
      <w:r>
        <w:t xml:space="preserve">86</w:t>
      </w:r>
      <w:r>
        <w:t xml:space="preserve"> </w:t>
      </w:r>
      <w:r>
        <w:t xml:space="preserve">(1995)</w:t>
      </w:r>
      <w:r>
        <w:t xml:space="preserve">   </w:t>
      </w:r>
      <w:r>
        <w:tab/>
      </w:r>
      <w:r>
        <w:t xml:space="preserve">2</w:t>
      </w:r>
    </w:p>
    <w:p>
      <w:pPr>
        <w:keepLines/>
        <w:tabs>
          <w:tab w:val="right" w:leader="dot" w:pos="9360"/>
        </w:tabs>
        <w:spacing w:before="252" w:after="0" w:line="322" w:lineRule="exact"/>
        <w:ind w:left="720" w:right="1120" w:hanging="720"/>
      </w:pPr>
      <w:r>
        <w:rPr>
          <w:i/>
          <w:iCs/>
        </w:rPr>
        <w:t xml:space="preserve">Ohlen</w:t>
      </w:r>
      <w:r>
        <w:rPr>
          <w:i/>
          <w:iCs/>
        </w:rPr>
        <w:t xml:space="preserve"> </w:t>
      </w:r>
      <w:r>
        <w:rPr>
          <w:i/>
          <w:iCs/>
        </w:rPr>
        <w:t xml:space="preserve">v.</w:t>
      </w:r>
      <w:r>
        <w:rPr>
          <w:i/>
          <w:iCs/>
        </w:rPr>
        <w:t xml:space="preserve"> </w:t>
      </w:r>
      <w:r>
        <w:rPr>
          <w:i/>
          <w:iCs/>
        </w:rPr>
        <w:t xml:space="preserve">Shively</w:t>
      </w:r>
      <w:r>
        <w:t xml:space="preserve">,</w:t>
      </w:r>
      <w:r>
        <w:t xml:space="preserve"> </w:t>
      </w:r>
      <w:r>
        <w:t xml:space="preserve">16</w:t>
      </w:r>
      <w:r>
        <w:t xml:space="preserve"> </w:t>
      </w:r>
      <w:r>
        <w:t xml:space="preserve">Va.</w:t>
      </w:r>
      <w:r>
        <w:t xml:space="preserve"> </w:t>
      </w:r>
      <w:r>
        <w:t xml:space="preserve">App.</w:t>
      </w:r>
      <w:r>
        <w:t xml:space="preserve"> </w:t>
      </w:r>
      <w:r>
        <w:t xml:space="preserve">419</w:t>
      </w:r>
      <w:r>
        <w:t xml:space="preserve"> </w:t>
      </w:r>
      <w:r>
        <w:t xml:space="preserve">(1993)</w:t>
      </w:r>
      <w:r>
        <w:t xml:space="preserve">   </w:t>
      </w:r>
      <w:r>
        <w:tab/>
      </w:r>
      <w:r>
        <w:t xml:space="preserve">8</w:t>
      </w:r>
    </w:p>
    <w:p>
      <w:pPr>
        <w:keepLines/>
        <w:tabs>
          <w:tab w:val="right" w:leader="dot" w:pos="9360"/>
        </w:tabs>
        <w:spacing w:before="252" w:after="0" w:line="322" w:lineRule="exact"/>
        <w:ind w:left="720" w:right="1120" w:hanging="720"/>
      </w:pPr>
      <w:r>
        <w:rPr>
          <w:i/>
          <w:iCs/>
        </w:rPr>
        <w:t xml:space="preserve">Owens</w:t>
      </w:r>
      <w:r>
        <w:rPr>
          <w:i/>
          <w:iCs/>
        </w:rPr>
        <w:t xml:space="preserve"> </w:t>
      </w:r>
      <w:r>
        <w:rPr>
          <w:i/>
          <w:iCs/>
        </w:rPr>
        <w:t xml:space="preserve">v.</w:t>
      </w:r>
      <w:r>
        <w:rPr>
          <w:i/>
          <w:iCs/>
        </w:rPr>
        <w:t xml:space="preserve"> </w:t>
      </w:r>
      <w:r>
        <w:rPr>
          <w:i/>
          <w:iCs/>
        </w:rPr>
        <w:t xml:space="preserve">Hill</w:t>
      </w:r>
      <w:r>
        <w:t xml:space="preserve">,</w:t>
      </w:r>
      <w:r>
        <w:t xml:space="preserve"> </w:t>
      </w:r>
      <w:r>
        <w:t xml:space="preserve">295</w:t>
      </w:r>
      <w:r>
        <w:t xml:space="preserve"> </w:t>
      </w:r>
      <w:r>
        <w:t xml:space="preserve">Ga.</w:t>
      </w:r>
      <w:r>
        <w:t xml:space="preserve"> </w:t>
      </w:r>
      <w:r>
        <w:t xml:space="preserve">302</w:t>
      </w:r>
      <w:r>
        <w:t xml:space="preserve"> </w:t>
      </w:r>
      <w:r>
        <w:t xml:space="preserve">(2014)</w:t>
      </w:r>
      <w:r>
        <w:t xml:space="preserve">   </w:t>
      </w:r>
      <w:r>
        <w:tab/>
      </w:r>
      <w:r>
        <w:t xml:space="preserve">13</w:t>
      </w:r>
    </w:p>
    <w:p>
      <w:pPr>
        <w:keepLines/>
        <w:tabs>
          <w:tab w:val="right" w:leader="dot" w:pos="9360"/>
        </w:tabs>
        <w:spacing w:before="252" w:after="0" w:line="322" w:lineRule="exact"/>
        <w:ind w:left="720" w:right="1120" w:hanging="720"/>
      </w:pPr>
      <w:r>
        <w:rPr>
          <w:i/>
          <w:iCs/>
        </w:rPr>
        <w:t xml:space="preserve">Pinson</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Justice</w:t>
      </w:r>
      <w:r>
        <w:t xml:space="preserve">,</w:t>
      </w:r>
      <w:r>
        <w:t xml:space="preserve"> </w:t>
      </w:r>
      <w:r>
        <w:t xml:space="preserve">199</w:t>
      </w:r>
      <w:r>
        <w:t xml:space="preserve"> </w:t>
      </w:r>
      <w:r>
        <w:t xml:space="preserve">F.</w:t>
      </w:r>
      <w:r>
        <w:t xml:space="preserve"> </w:t>
      </w:r>
      <w:r>
        <w:t xml:space="preserve">Supp.</w:t>
      </w:r>
      <w:r>
        <w:t xml:space="preserve"> </w:t>
      </w:r>
      <w:r>
        <w:t xml:space="preserve">3d</w:t>
      </w:r>
      <w:r>
        <w:t xml:space="preserve"> </w:t>
      </w:r>
      <w:r>
        <w:t xml:space="preserve">203</w:t>
      </w:r>
      <w:r>
        <w:t xml:space="preserve"> </w:t>
      </w:r>
      <w:r>
        <w:t xml:space="preserve">(D.D.C.</w:t>
      </w:r>
      <w:r>
        <w:t xml:space="preserve"> </w:t>
      </w:r>
      <w:r>
        <w:t xml:space="preserve">2016)</w:t>
      </w:r>
      <w:r>
        <w:t xml:space="preserve">   </w:t>
      </w:r>
      <w:r>
        <w:tab/>
      </w:r>
      <w:r>
        <w:t xml:space="preserve">13</w:t>
      </w:r>
    </w:p>
    <w:p>
      <w:pPr>
        <w:keepLines/>
        <w:tabs>
          <w:tab w:val="right" w:leader="dot" w:pos="9360"/>
        </w:tabs>
        <w:spacing w:before="252" w:after="0" w:line="322" w:lineRule="exact"/>
        <w:ind w:left="720" w:right="1120" w:hanging="720"/>
      </w:pPr>
      <w:r>
        <w:rPr>
          <w:i/>
          <w:iCs/>
        </w:rPr>
        <w:t xml:space="preserve">Sandidge</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67</w:t>
      </w:r>
      <w:r>
        <w:t xml:space="preserve"> </w:t>
      </w:r>
      <w:r>
        <w:t xml:space="preserve">Va.</w:t>
      </w:r>
      <w:r>
        <w:t xml:space="preserve"> </w:t>
      </w:r>
      <w:r>
        <w:t xml:space="preserve">App.</w:t>
      </w:r>
      <w:r>
        <w:t xml:space="preserve"> </w:t>
      </w:r>
      <w:r>
        <w:t xml:space="preserve">150</w:t>
      </w:r>
      <w:r>
        <w:t xml:space="preserve"> </w:t>
      </w:r>
      <w:r>
        <w:t xml:space="preserve">(2016)</w:t>
      </w:r>
      <w:r>
        <w:t xml:space="preserve">   </w:t>
      </w:r>
      <w:r>
        <w:tab/>
      </w:r>
      <w:r>
        <w:t xml:space="preserve">2</w:t>
      </w:r>
    </w:p>
    <w:p>
      <w:pPr>
        <w:keepLines/>
        <w:tabs>
          <w:tab w:val="right" w:leader="dot" w:pos="9360"/>
        </w:tabs>
        <w:spacing w:before="252" w:after="0" w:line="322" w:lineRule="exact"/>
        <w:ind w:left="720" w:right="1120" w:hanging="720"/>
      </w:pPr>
      <w:r>
        <w:rPr>
          <w:i/>
          <w:iCs/>
        </w:rPr>
        <w:t xml:space="preserve">Scott</w:t>
      </w:r>
      <w:r>
        <w:rPr>
          <w:i/>
          <w:iCs/>
        </w:rPr>
        <w:t xml:space="preserve"> </w:t>
      </w:r>
      <w:r>
        <w:rPr>
          <w:i/>
          <w:iCs/>
        </w:rPr>
        <w:t xml:space="preserve">v.</w:t>
      </w:r>
      <w:r>
        <w:rPr>
          <w:i/>
          <w:iCs/>
        </w:rPr>
        <w:t xml:space="preserve"> </w:t>
      </w:r>
      <w:r>
        <w:rPr>
          <w:i/>
          <w:iCs/>
        </w:rPr>
        <w:t xml:space="preserve">Rutherfoord</w:t>
      </w:r>
      <w:r>
        <w:t xml:space="preserve">,</w:t>
      </w:r>
      <w:r>
        <w:t xml:space="preserve"> </w:t>
      </w:r>
      <w:r>
        <w:t xml:space="preserve">30</w:t>
      </w:r>
      <w:r>
        <w:t xml:space="preserve"> </w:t>
      </w:r>
      <w:r>
        <w:t xml:space="preserve">Va.</w:t>
      </w:r>
      <w:r>
        <w:t xml:space="preserve"> </w:t>
      </w:r>
      <w:r>
        <w:t xml:space="preserve">App.</w:t>
      </w:r>
      <w:r>
        <w:t xml:space="preserve"> </w:t>
      </w:r>
      <w:r>
        <w:t xml:space="preserve">176</w:t>
      </w:r>
      <w:r>
        <w:t xml:space="preserve"> </w:t>
      </w:r>
      <w:r>
        <w:t xml:space="preserve">(1999)</w:t>
      </w:r>
      <w:r>
        <w:t xml:space="preserve">   </w:t>
      </w:r>
      <w:r>
        <w:tab/>
      </w:r>
      <w:r>
        <w:t xml:space="preserve">8</w:t>
      </w:r>
    </w:p>
    <w:p>
      <w:pPr>
        <w:keepLines/>
        <w:tabs>
          <w:tab w:val="right" w:leader="dot" w:pos="9360"/>
        </w:tabs>
        <w:spacing w:before="252" w:after="0" w:line="322" w:lineRule="exact"/>
        <w:ind w:left="720" w:right="1120" w:hanging="720"/>
      </w:pPr>
      <w:r>
        <w:rPr>
          <w:i/>
          <w:iCs/>
        </w:rPr>
        <w:t xml:space="preserve">Suffolk</w:t>
      </w:r>
      <w:r>
        <w:rPr>
          <w:i/>
          <w:iCs/>
        </w:rPr>
        <w:t xml:space="preserve"> </w:t>
      </w:r>
      <w:r>
        <w:rPr>
          <w:i/>
          <w:iCs/>
        </w:rPr>
        <w:t xml:space="preserve">City</w:t>
      </w:r>
      <w:r>
        <w:rPr>
          <w:i/>
          <w:iCs/>
        </w:rPr>
        <w:t xml:space="preserve"> </w:t>
      </w:r>
      <w:r>
        <w:rPr>
          <w:i/>
          <w:iCs/>
        </w:rPr>
        <w:t xml:space="preserve">Sch.</w:t>
      </w:r>
      <w:r>
        <w:rPr>
          <w:i/>
          <w:iCs/>
        </w:rPr>
        <w:t xml:space="preserve"> </w:t>
      </w:r>
      <w:r>
        <w:rPr>
          <w:i/>
          <w:iCs/>
        </w:rPr>
        <w:t xml:space="preserve">Bd.</w:t>
      </w:r>
      <w:r>
        <w:rPr>
          <w:i/>
          <w:iCs/>
        </w:rPr>
        <w:t xml:space="preserve"> </w:t>
      </w:r>
      <w:r>
        <w:rPr>
          <w:i/>
          <w:iCs/>
        </w:rPr>
        <w:t xml:space="preserve">v.</w:t>
      </w:r>
      <w:r>
        <w:rPr>
          <w:i/>
          <w:iCs/>
        </w:rPr>
        <w:t xml:space="preserve"> </w:t>
      </w:r>
      <w:r>
        <w:rPr>
          <w:i/>
          <w:iCs/>
        </w:rPr>
        <w:t xml:space="preserve">Wahlstrom</w:t>
      </w:r>
      <w:r>
        <w:t xml:space="preserve">,</w:t>
      </w:r>
      <w:r>
        <w:t xml:space="preserve"> </w:t>
      </w:r>
      <w:r>
        <w:t xml:space="preserve">302</w:t>
      </w:r>
      <w:r>
        <w:t xml:space="preserve"> </w:t>
      </w:r>
      <w:r>
        <w:t xml:space="preserve">Va.</w:t>
      </w:r>
      <w:r>
        <w:t xml:space="preserve"> </w:t>
      </w:r>
      <w:r>
        <w:t xml:space="preserve">188</w:t>
      </w:r>
      <w:r>
        <w:t xml:space="preserve"> </w:t>
      </w:r>
      <w:r>
        <w:t xml:space="preserve">(2023)</w:t>
      </w:r>
      <w:r>
        <w:t xml:space="preserve">   </w:t>
      </w:r>
      <w:r>
        <w:tab/>
      </w:r>
      <w:r>
        <w:t xml:space="preserve">10</w:t>
      </w:r>
    </w:p>
    <w:p>
      <w:pPr>
        <w:keepLines/>
        <w:tabs>
          <w:tab w:val="right" w:leader="dot" w:pos="9360"/>
        </w:tabs>
        <w:spacing w:before="252" w:after="0" w:line="322" w:lineRule="exact"/>
        <w:ind w:left="720" w:right="1120" w:hanging="720"/>
      </w:pPr>
      <w:r>
        <w:rPr>
          <w:i/>
          <w:iCs/>
        </w:rPr>
        <w:t xml:space="preserve">Zabala</w:t>
      </w:r>
      <w:r>
        <w:rPr>
          <w:i/>
          <w:iCs/>
        </w:rPr>
        <w:t xml:space="preserve"> </w:t>
      </w:r>
      <w:r>
        <w:rPr>
          <w:i/>
          <w:iCs/>
        </w:rPr>
        <w:t xml:space="preserve">v.</w:t>
      </w:r>
      <w:r>
        <w:rPr>
          <w:i/>
          <w:iCs/>
        </w:rPr>
        <w:t xml:space="preserve"> </w:t>
      </w:r>
      <w:r>
        <w:rPr>
          <w:i/>
          <w:iCs/>
        </w:rPr>
        <w:t xml:space="preserve">Okanogan</w:t>
      </w:r>
      <w:r>
        <w:rPr>
          <w:i/>
          <w:iCs/>
        </w:rPr>
        <w:t xml:space="preserve"> </w:t>
      </w:r>
      <w:r>
        <w:rPr>
          <w:i/>
          <w:iCs/>
        </w:rPr>
        <w:t xml:space="preserve">County</w:t>
      </w:r>
      <w:r>
        <w:t xml:space="preserve">,</w:t>
      </w:r>
      <w:r>
        <w:t xml:space="preserve"> </w:t>
      </w:r>
      <w:r>
        <w:t xml:space="preserve">5</w:t>
      </w:r>
      <w:r>
        <w:t xml:space="preserve"> </w:t>
      </w:r>
      <w:r>
        <w:t xml:space="preserve">App.</w:t>
      </w:r>
      <w:r>
        <w:t xml:space="preserve"> </w:t>
      </w:r>
      <w:r>
        <w:t xml:space="preserve">2d</w:t>
      </w:r>
      <w:r>
        <w:t xml:space="preserve"> </w:t>
      </w:r>
      <w:r>
        <w:t xml:space="preserve">517</w:t>
      </w:r>
      <w:r>
        <w:t xml:space="preserve"> </w:t>
      </w:r>
      <w:r>
        <w:t xml:space="preserve">(Wash.</w:t>
      </w:r>
      <w:r>
        <w:t xml:space="preserve"> </w:t>
      </w:r>
      <w:r>
        <w:t xml:space="preserve">Ct.</w:t>
      </w:r>
      <w:r>
        <w:t xml:space="preserve"> </w:t>
      </w:r>
      <w:r>
        <w:t xml:space="preserve">App.</w:t>
      </w:r>
      <w:r>
        <w:t xml:space="preserve"> </w:t>
      </w:r>
      <w:r>
        <w:t xml:space="preserve">2018)</w:t>
      </w:r>
      <w:r>
        <w:t xml:space="preserve">   </w:t>
      </w:r>
      <w:r>
        <w:tab/>
      </w:r>
      <w:r>
        <w:t xml:space="preserve">5</w:t>
      </w:r>
    </w:p>
    <w:p>
      <w:pPr>
        <w:keepNext/>
        <w:keepLines/>
        <w:spacing w:before="336" w:after="56" w:line="322" w:lineRule="exact"/>
        <w:ind w:left="0" w:firstLine="0"/>
        <w:jc w:val="left"/>
      </w:pPr>
      <w:r>
        <w:rPr>
          <w:b/>
          <w:bCs/>
        </w:rPr>
        <w:t xml:space="preserve">Statutes</w:t>
      </w:r>
    </w:p>
    <w:p>
      <w:pPr>
        <w:keepLines/>
        <w:tabs>
          <w:tab w:val="right" w:leader="dot" w:pos="9360"/>
        </w:tabs>
        <w:spacing w:before="252" w:after="0" w:line="322" w:lineRule="exact"/>
        <w:ind w:left="720" w:right="1120" w:hanging="720"/>
      </w:pPr>
      <w:r>
        <w:t xml:space="preserve">5</w:t>
      </w:r>
      <w:r>
        <w:t xml:space="preserve"> </w:t>
      </w:r>
      <w:r>
        <w:t xml:space="preserve">U.S.C.</w:t>
      </w:r>
      <w:r>
        <w:t xml:space="preserve"> </w:t>
      </w:r>
      <w:r>
        <w:t xml:space="preserve">§</w:t>
      </w:r>
      <w:r>
        <w:t xml:space="preserve"> </w:t>
      </w:r>
      <w:r>
        <w:t xml:space="preserve">552(b)⁠(6)</w:t>
      </w:r>
      <w:r>
        <w:t xml:space="preserve">   </w:t>
      </w:r>
      <w:r>
        <w:tab/>
      </w:r>
      <w:r>
        <w:t xml:space="preserve">14</w:t>
      </w:r>
    </w:p>
    <w:p>
      <w:pPr>
        <w:keepLines/>
        <w:tabs>
          <w:tab w:val="right" w:leader="dot" w:pos="9360"/>
        </w:tabs>
        <w:spacing w:before="252" w:after="0" w:line="322" w:lineRule="exact"/>
        <w:ind w:left="720" w:right="1120" w:hanging="720"/>
      </w:pPr>
      <w:r>
        <w:t xml:space="preserve">5</w:t>
      </w:r>
      <w:r>
        <w:t xml:space="preserve"> </w:t>
      </w:r>
      <w:r>
        <w:t xml:space="preserve">U.S.C.</w:t>
      </w:r>
      <w:r>
        <w:t xml:space="preserve"> </w:t>
      </w:r>
      <w:r>
        <w:t xml:space="preserve">§</w:t>
      </w:r>
      <w:r>
        <w:t xml:space="preserve"> </w:t>
      </w:r>
      <w:r>
        <w:t xml:space="preserve">552(b)⁠(7)</w:t>
      </w:r>
      <w:r>
        <w:t xml:space="preserve">   </w:t>
      </w:r>
      <w:r>
        <w:tab/>
      </w:r>
      <w:r>
        <w:t xml:space="preserve">13</w:t>
      </w:r>
    </w:p>
    <w:p>
      <w:pPr>
        <w:keepLines/>
        <w:tabs>
          <w:tab w:val="right" w:leader="dot" w:pos="9360"/>
        </w:tabs>
        <w:spacing w:before="252" w:after="0" w:line="322" w:lineRule="exact"/>
        <w:ind w:left="720" w:right="1120" w:hanging="720"/>
      </w:pPr>
      <w:r>
        <w:t xml:space="preserve">Va.</w:t>
      </w:r>
      <w:r>
        <w:t xml:space="preserve"> </w:t>
      </w:r>
      <w:r>
        <w:t xml:space="preserve">Code</w:t>
      </w:r>
      <w:r>
        <w:t xml:space="preserve"> </w:t>
      </w:r>
      <w:r>
        <w:t xml:space="preserve">§</w:t>
      </w:r>
      <w:r>
        <w:t xml:space="preserve"> </w:t>
      </w:r>
      <w:r>
        <w:t xml:space="preserve">2.2</w:t>
        <w:noBreakHyphen/>
        <w:t xml:space="preserve">3700(B)</w:t>
      </w:r>
      <w:r>
        <w:t xml:space="preserve">   </w:t>
      </w:r>
      <w:r>
        <w:tab/>
      </w:r>
      <w:r>
        <w:t xml:space="preserve">1, 3, 5, 6</w:t>
      </w:r>
    </w:p>
    <w:p>
      <w:pPr>
        <w:keepLines/>
        <w:tabs>
          <w:tab w:val="right" w:leader="dot" w:pos="9360"/>
        </w:tabs>
        <w:spacing w:before="252" w:after="0" w:line="322" w:lineRule="exact"/>
        <w:ind w:left="720" w:right="1120" w:hanging="720"/>
      </w:pPr>
      <w:r>
        <w:t xml:space="preserve">Va.</w:t>
      </w:r>
      <w:r>
        <w:t xml:space="preserve"> </w:t>
      </w:r>
      <w:r>
        <w:t xml:space="preserve">Code</w:t>
      </w:r>
      <w:r>
        <w:t xml:space="preserve"> </w:t>
      </w:r>
      <w:r>
        <w:t xml:space="preserve">§</w:t>
      </w:r>
      <w:r>
        <w:t xml:space="preserve"> </w:t>
      </w:r>
      <w:r>
        <w:t xml:space="preserve">2.2</w:t>
        <w:noBreakHyphen/>
        <w:t xml:space="preserve">3701</w:t>
      </w:r>
      <w:r>
        <w:t xml:space="preserve">   </w:t>
      </w:r>
      <w:r>
        <w:tab/>
      </w:r>
      <w:r>
        <w:t xml:space="preserve">3, 4</w:t>
      </w:r>
    </w:p>
    <w:p>
      <w:pPr>
        <w:keepLines/>
        <w:tabs>
          <w:tab w:val="right" w:leader="dot" w:pos="9360"/>
        </w:tabs>
        <w:spacing w:before="252" w:after="0" w:line="322" w:lineRule="exact"/>
        <w:ind w:left="720" w:right="1120" w:hanging="720"/>
      </w:pPr>
      <w:r>
        <w:t xml:space="preserve">Va.</w:t>
      </w:r>
      <w:r>
        <w:t xml:space="preserve"> </w:t>
      </w:r>
      <w:r>
        <w:t xml:space="preserve">Code</w:t>
      </w:r>
      <w:r>
        <w:t xml:space="preserve"> </w:t>
      </w:r>
      <w:r>
        <w:t xml:space="preserve">§</w:t>
      </w:r>
      <w:r>
        <w:t xml:space="preserve"> </w:t>
      </w:r>
      <w:r>
        <w:t xml:space="preserve">2.2</w:t>
        <w:noBreakHyphen/>
        <w:t xml:space="preserve">3704.01</w:t>
      </w:r>
      <w:r>
        <w:t xml:space="preserve">   </w:t>
      </w:r>
      <w:r>
        <w:tab/>
      </w:r>
      <w:r>
        <w:t xml:space="preserve">13</w:t>
      </w:r>
    </w:p>
    <w:p>
      <w:pPr>
        <w:keepLines/>
        <w:tabs>
          <w:tab w:val="right" w:leader="dot" w:pos="9360"/>
        </w:tabs>
        <w:spacing w:before="252" w:after="0" w:line="322" w:lineRule="exact"/>
        <w:ind w:left="720" w:right="1120" w:hanging="720"/>
      </w:pPr>
      <w:r>
        <w:t xml:space="preserve">Va.</w:t>
      </w:r>
      <w:r>
        <w:t xml:space="preserve"> </w:t>
      </w:r>
      <w:r>
        <w:t xml:space="preserve">Code</w:t>
      </w:r>
      <w:r>
        <w:t xml:space="preserve"> </w:t>
      </w:r>
      <w:r>
        <w:t xml:space="preserve">§</w:t>
      </w:r>
      <w:r>
        <w:t xml:space="preserve"> </w:t>
      </w:r>
      <w:r>
        <w:t xml:space="preserve">2.2</w:t>
        <w:noBreakHyphen/>
        <w:t xml:space="preserve">3705.1(1)</w:t>
      </w:r>
      <w:r>
        <w:t xml:space="preserve">   </w:t>
      </w:r>
      <w:r>
        <w:tab/>
      </w:r>
      <w:r>
        <w:t xml:space="preserve">14</w:t>
      </w:r>
    </w:p>
    <w:p>
      <w:pPr>
        <w:keepLines/>
        <w:tabs>
          <w:tab w:val="right" w:leader="dot" w:pos="9360"/>
        </w:tabs>
        <w:spacing w:before="252" w:after="0" w:line="322" w:lineRule="exact"/>
        <w:ind w:left="720" w:right="1120" w:hanging="720"/>
      </w:pPr>
      <w:r>
        <w:t xml:space="preserve">Va.</w:t>
      </w:r>
      <w:r>
        <w:t xml:space="preserve"> </w:t>
      </w:r>
      <w:r>
        <w:t xml:space="preserve">Code</w:t>
      </w:r>
      <w:r>
        <w:t xml:space="preserve"> </w:t>
      </w:r>
      <w:r>
        <w:t xml:space="preserve">§</w:t>
      </w:r>
      <w:r>
        <w:t xml:space="preserve"> </w:t>
      </w:r>
      <w:r>
        <w:t xml:space="preserve">2.2</w:t>
        <w:noBreakHyphen/>
        <w:t xml:space="preserve">3705.5(1)</w:t>
      </w:r>
      <w:r>
        <w:t xml:space="preserve">   </w:t>
      </w:r>
      <w:r>
        <w:tab/>
      </w:r>
      <w:r>
        <w:t xml:space="preserve">15</w:t>
      </w:r>
    </w:p>
    <w:p>
      <w:pPr>
        <w:keepLines/>
        <w:tabs>
          <w:tab w:val="right" w:leader="dot" w:pos="9360"/>
        </w:tabs>
        <w:spacing w:before="252" w:after="0" w:line="322" w:lineRule="exact"/>
        <w:ind w:left="720" w:right="1820" w:hanging="720"/>
      </w:pPr>
      <w:r>
        <w:t xml:space="preserve">Va.</w:t>
      </w:r>
      <w:r>
        <w:t xml:space="preserve"> </w:t>
      </w:r>
      <w:r>
        <w:t xml:space="preserve">Code</w:t>
      </w:r>
      <w:r>
        <w:t xml:space="preserve"> </w:t>
      </w:r>
      <w:r>
        <w:t xml:space="preserve">§</w:t>
      </w:r>
      <w:r>
        <w:t xml:space="preserve"> </w:t>
      </w:r>
      <w:r>
        <w:t xml:space="preserve">2.2</w:t>
        <w:noBreakHyphen/>
        <w:t xml:space="preserve">3706(B)⁠(4)</w:t>
      </w:r>
      <w:r>
        <w:t xml:space="preserve">   </w:t>
      </w:r>
      <w:r>
        <w:tab/>
      </w:r>
      <w:r>
        <w:t xml:space="preserve">1, 2, 5, 6, 10, 11</w:t>
      </w:r>
    </w:p>
    <w:p>
      <w:pPr>
        <w:keepLines/>
        <w:tabs>
          <w:tab w:val="right" w:leader="dot" w:pos="9360"/>
        </w:tabs>
        <w:spacing w:before="252" w:after="0" w:line="322" w:lineRule="exact"/>
        <w:ind w:left="720" w:right="1120" w:hanging="720"/>
      </w:pPr>
      <w:r>
        <w:t xml:space="preserve">Va.</w:t>
      </w:r>
      <w:r>
        <w:t xml:space="preserve"> </w:t>
      </w:r>
      <w:r>
        <w:t xml:space="preserve">Code</w:t>
      </w:r>
      <w:r>
        <w:t xml:space="preserve"> </w:t>
      </w:r>
      <w:r>
        <w:t xml:space="preserve">§</w:t>
      </w:r>
      <w:r>
        <w:t xml:space="preserve"> </w:t>
      </w:r>
      <w:r>
        <w:t xml:space="preserve">2.2</w:t>
        <w:noBreakHyphen/>
        <w:t xml:space="preserve">3706(B)⁠(6)</w:t>
      </w:r>
      <w:r>
        <w:t xml:space="preserve">   </w:t>
      </w:r>
      <w:r>
        <w:tab/>
      </w:r>
      <w:r>
        <w:t xml:space="preserve">4</w:t>
      </w:r>
    </w:p>
    <w:p>
      <w:pPr>
        <w:keepLines/>
        <w:tabs>
          <w:tab w:val="right" w:leader="dot" w:pos="9360"/>
        </w:tabs>
        <w:spacing w:before="252" w:after="0" w:line="322" w:lineRule="exact"/>
        <w:ind w:left="720" w:right="1120" w:hanging="720"/>
      </w:pPr>
      <w:r>
        <w:t xml:space="preserve">Va.</w:t>
      </w:r>
      <w:r>
        <w:t xml:space="preserve"> </w:t>
      </w:r>
      <w:r>
        <w:t xml:space="preserve">Code</w:t>
      </w:r>
      <w:r>
        <w:t xml:space="preserve"> </w:t>
      </w:r>
      <w:r>
        <w:t xml:space="preserve">§</w:t>
      </w:r>
      <w:r>
        <w:t xml:space="preserve"> </w:t>
      </w:r>
      <w:r>
        <w:t xml:space="preserve">2.2</w:t>
        <w:noBreakHyphen/>
        <w:t xml:space="preserve">3713(E)</w:t>
      </w:r>
      <w:r>
        <w:t xml:space="preserve">   </w:t>
      </w:r>
      <w:r>
        <w:tab/>
      </w:r>
      <w:r>
        <w:t xml:space="preserve">9, 10, 14</w:t>
      </w:r>
    </w:p>
    <w:p>
      <w:pPr>
        <w:keepNext/>
        <w:keepLines/>
        <w:spacing w:before="336" w:after="56"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52" w:after="0" w:line="322" w:lineRule="exact"/>
        <w:ind w:left="720" w:right="1120" w:hanging="720"/>
      </w:pPr>
      <w:r>
        <w:t xml:space="preserve">1987</w:t>
      </w:r>
      <w:r>
        <w:t xml:space="preserve"> </w:t>
      </w:r>
      <w:r>
        <w:t xml:space="preserve">Att’y</w:t>
      </w:r>
      <w:r>
        <w:t xml:space="preserve"> </w:t>
      </w:r>
      <w:r>
        <w:t xml:space="preserve">Gen.</w:t>
      </w:r>
      <w:r>
        <w:t xml:space="preserve"> </w:t>
      </w:r>
      <w:r>
        <w:t xml:space="preserve">Va.</w:t>
      </w:r>
      <w:r>
        <w:t xml:space="preserve"> </w:t>
      </w:r>
      <w:r>
        <w:t xml:space="preserve">37</w:t>
      </w:r>
      <w:r>
        <w:t xml:space="preserve">   </w:t>
      </w:r>
      <w:r>
        <w:tab/>
      </w:r>
      <w:r>
        <w:t xml:space="preserve">5</w:t>
      </w:r>
    </w:p>
    <w:p>
      <w:pPr>
        <w:keepLines/>
        <w:tabs>
          <w:tab w:val="right" w:leader="dot" w:pos="9360"/>
        </w:tabs>
        <w:spacing w:before="252" w:after="0" w:line="322" w:lineRule="exact"/>
        <w:ind w:left="720" w:right="1120" w:hanging="720"/>
      </w:pPr>
      <w:r>
        <w:t xml:space="preserve">2016</w:t>
      </w:r>
      <w:r>
        <w:t xml:space="preserve"> </w:t>
      </w:r>
      <w:r>
        <w:t xml:space="preserve">Va.</w:t>
      </w:r>
      <w:r>
        <w:t xml:space="preserve"> </w:t>
      </w:r>
      <w:r>
        <w:t xml:space="preserve">Acts</w:t>
      </w:r>
      <w:r>
        <w:t xml:space="preserve"> </w:t>
      </w:r>
      <w:r>
        <w:t xml:space="preserve">ch.</w:t>
      </w:r>
      <w:r>
        <w:t xml:space="preserve"> </w:t>
      </w:r>
      <w:r>
        <w:t xml:space="preserve">620</w:t>
      </w:r>
      <w:r>
        <w:t xml:space="preserve">   </w:t>
      </w:r>
      <w:r>
        <w:tab/>
      </w:r>
      <w:r>
        <w:t xml:space="preserve">11</w:t>
      </w:r>
    </w:p>
    <w:p>
      <w:pPr>
        <w:keepLines/>
        <w:tabs>
          <w:tab w:val="right" w:leader="dot" w:pos="9360"/>
        </w:tabs>
        <w:spacing w:before="252" w:after="0" w:line="322" w:lineRule="exact"/>
        <w:ind w:left="720" w:right="1120" w:hanging="720"/>
      </w:pPr>
      <w:r>
        <w:t xml:space="preserve">FOIA</w:t>
      </w:r>
      <w:r>
        <w:t xml:space="preserve"> </w:t>
      </w:r>
      <w:r>
        <w:t xml:space="preserve">Advisory</w:t>
      </w:r>
      <w:r>
        <w:t xml:space="preserve"> </w:t>
      </w:r>
      <w:r>
        <w:t xml:space="preserve">Opinion</w:t>
      </w:r>
      <w:r>
        <w:t xml:space="preserve"> </w:t>
      </w:r>
      <w:r>
        <w:t xml:space="preserve">AO</w:t>
        <w:noBreakHyphen/>
        <w:t xml:space="preserve">03</w:t>
        <w:noBreakHyphen/>
        <w:t xml:space="preserve">19</w:t>
      </w:r>
      <w:r>
        <w:t xml:space="preserve"> </w:t>
      </w:r>
      <w:r>
        <w:t xml:space="preserve">(Apr.</w:t>
      </w:r>
      <w:r>
        <w:t xml:space="preserve"> </w:t>
      </w:r>
      <w:r>
        <w:t xml:space="preserve">3,</w:t>
      </w:r>
      <w:r>
        <w:t xml:space="preserve"> </w:t>
      </w:r>
      <w:r>
        <w:t xml:space="preserve">2019)</w:t>
      </w:r>
      <w:r>
        <w:t xml:space="preserve">   </w:t>
      </w:r>
      <w:r>
        <w:tab/>
      </w:r>
      <w:r>
        <w:t xml:space="preserve">12</w:t>
      </w:r>
    </w:p>
    <w:p>
      <w:pPr>
        <w:keepLines/>
        <w:tabs>
          <w:tab w:val="right" w:leader="dot" w:pos="9360"/>
        </w:tabs>
        <w:spacing w:before="252" w:after="0" w:line="322" w:lineRule="exact"/>
        <w:ind w:left="720" w:right="1120" w:hanging="720"/>
      </w:pPr>
      <w:r>
        <w:t xml:space="preserve">Va.</w:t>
      </w:r>
      <w:r>
        <w:t xml:space="preserve"> </w:t>
      </w:r>
      <w:r>
        <w:t xml:space="preserve">Dep’t</w:t>
      </w:r>
      <w:r>
        <w:t xml:space="preserve"> </w:t>
      </w:r>
      <w:r>
        <w:t xml:space="preserve">of</w:t>
      </w:r>
      <w:r>
        <w:t xml:space="preserve"> </w:t>
      </w:r>
      <w:r>
        <w:t xml:space="preserve">Corrections,</w:t>
      </w:r>
      <w:r>
        <w:t xml:space="preserve"> </w:t>
      </w:r>
      <w:r>
        <w:t xml:space="preserve">Inmate</w:t>
      </w:r>
      <w:r>
        <w:t xml:space="preserve"> </w:t>
      </w:r>
      <w:r>
        <w:t xml:space="preserve">and</w:t>
      </w:r>
      <w:r>
        <w:t xml:space="preserve"> </w:t>
      </w:r>
      <w:r>
        <w:t xml:space="preserve">CCAP</w:t>
      </w:r>
      <w:r>
        <w:t xml:space="preserve"> </w:t>
      </w:r>
      <w:r>
        <w:t xml:space="preserve">Probationer/​Parolee</w:t>
      </w:r>
      <w:r>
        <w:t xml:space="preserve"> </w:t>
      </w:r>
      <w:r>
        <w:t xml:space="preserve">Telephone</w:t>
      </w:r>
      <w:r>
        <w:t xml:space="preserve"> </w:t>
      </w:r>
      <w:r>
        <w:t xml:space="preserve">Calls,</w:t>
      </w:r>
      <w:r>
        <w:t xml:space="preserve"> </w:t>
      </w:r>
      <w:r>
        <w:t xml:space="preserve">Operating</w:t>
      </w:r>
      <w:r>
        <w:t xml:space="preserve"> </w:t>
      </w:r>
      <w:r>
        <w:t xml:space="preserve">Procedure</w:t>
      </w:r>
      <w:r>
        <w:t xml:space="preserve"> </w:t>
      </w:r>
      <w:r>
        <w:t xml:space="preserve">803.3</w:t>
      </w:r>
      <w:r>
        <w:t xml:space="preserve"> </w:t>
      </w:r>
      <w:r>
        <w:t xml:space="preserve">(Mar.</w:t>
      </w:r>
      <w:r>
        <w:t xml:space="preserve"> </w:t>
      </w:r>
      <w:r>
        <w:t xml:space="preserve">1,</w:t>
      </w:r>
      <w:r>
        <w:t xml:space="preserve"> </w:t>
      </w:r>
      <w:r>
        <w:t xml:space="preserve">2023)</w:t>
      </w:r>
      <w:r>
        <w:t xml:space="preserve">   </w:t>
      </w:r>
      <w:r>
        <w:tab/>
      </w:r>
      <w:r>
        <w:t xml:space="preserve">4</w:t>
      </w:r>
    </w:p>
    <w:p>
      <w:pPr>
        <w:keepLines/>
        <w:tabs>
          <w:tab w:val="right" w:leader="dot" w:pos="9360"/>
        </w:tabs>
        <w:spacing w:before="252" w:after="0" w:line="322" w:lineRule="exact"/>
        <w:ind w:left="720" w:right="1120" w:hanging="720"/>
      </w:pPr>
      <w:r>
        <w:t xml:space="preserve">Va.</w:t>
      </w:r>
      <w:r>
        <w:t xml:space="preserve"> </w:t>
      </w:r>
      <w:r>
        <w:t xml:space="preserve">Dep’t</w:t>
      </w:r>
      <w:r>
        <w:t xml:space="preserve"> </w:t>
      </w:r>
      <w:r>
        <w:t xml:space="preserve">of</w:t>
      </w:r>
      <w:r>
        <w:t xml:space="preserve"> </w:t>
      </w:r>
      <w:r>
        <w:t xml:space="preserve">Corrections,</w:t>
      </w:r>
      <w:r>
        <w:t xml:space="preserve"> </w:t>
      </w:r>
      <w:r>
        <w:t xml:space="preserve">Inmate</w:t>
      </w:r>
      <w:r>
        <w:t xml:space="preserve"> </w:t>
      </w:r>
      <w:r>
        <w:t xml:space="preserve">and</w:t>
      </w:r>
      <w:r>
        <w:t xml:space="preserve"> </w:t>
      </w:r>
      <w:r>
        <w:t xml:space="preserve">Probationer/​Parolee</w:t>
      </w:r>
      <w:r>
        <w:t xml:space="preserve"> </w:t>
      </w:r>
      <w:r>
        <w:t xml:space="preserve">Correspondence,</w:t>
      </w:r>
      <w:r>
        <w:t xml:space="preserve"> </w:t>
      </w:r>
      <w:r>
        <w:t xml:space="preserve">Operating</w:t>
      </w:r>
      <w:r>
        <w:t xml:space="preserve"> </w:t>
      </w:r>
      <w:r>
        <w:t xml:space="preserve">Procedure</w:t>
      </w:r>
      <w:r>
        <w:t xml:space="preserve"> </w:t>
      </w:r>
      <w:r>
        <w:t xml:space="preserve">803.1</w:t>
      </w:r>
      <w:r>
        <w:t xml:space="preserve"> </w:t>
      </w:r>
      <w:r>
        <w:t xml:space="preserve">(Mar.</w:t>
      </w:r>
      <w:r>
        <w:t xml:space="preserve"> </w:t>
      </w:r>
      <w:r>
        <w:t xml:space="preserve">1,</w:t>
      </w:r>
      <w:r>
        <w:t xml:space="preserve"> </w:t>
      </w:r>
      <w:r>
        <w:t xml:space="preserve">2021)</w:t>
      </w:r>
      <w:r>
        <w:t xml:space="preserve">   </w:t>
      </w:r>
      <w:r>
        <w:tab/>
      </w:r>
      <w:r>
        <w:t xml:space="preserve">4</w:t>
      </w:r>
    </w:p>
    <w:p>
      <w:pPr>
        <w:keepLines/>
        <w:tabs>
          <w:tab w:val="right" w:leader="dot" w:pos="9360"/>
        </w:tabs>
        <w:spacing w:before="252" w:after="0" w:line="322" w:lineRule="exact"/>
        <w:ind w:left="720" w:right="1120" w:hanging="720"/>
      </w:pPr>
      <w:r>
        <w:t xml:space="preserve">Va.</w:t>
      </w:r>
      <w:r>
        <w:t xml:space="preserve"> </w:t>
      </w:r>
      <w:r>
        <w:t xml:space="preserve">Dep’t</w:t>
      </w:r>
      <w:r>
        <w:t xml:space="preserve"> </w:t>
      </w:r>
      <w:r>
        <w:t xml:space="preserve">of</w:t>
      </w:r>
      <w:r>
        <w:t xml:space="preserve"> </w:t>
      </w:r>
      <w:r>
        <w:t xml:space="preserve">Corrections,</w:t>
      </w:r>
      <w:r>
        <w:t xml:space="preserve"> </w:t>
      </w:r>
      <w:r>
        <w:t xml:space="preserve">Inmate</w:t>
      </w:r>
      <w:r>
        <w:t xml:space="preserve"> </w:t>
      </w:r>
      <w:r>
        <w:t xml:space="preserve">and</w:t>
      </w:r>
      <w:r>
        <w:t xml:space="preserve"> </w:t>
      </w:r>
      <w:r>
        <w:t xml:space="preserve">Probationer/​Parole</w:t>
      </w:r>
      <w:r>
        <w:t xml:space="preserve"> </w:t>
      </w:r>
      <w:r>
        <w:t xml:space="preserve">Records</w:t>
      </w:r>
      <w:r>
        <w:t xml:space="preserve"> </w:t>
      </w:r>
      <w:r>
        <w:t xml:space="preserve">Management,</w:t>
      </w:r>
      <w:r>
        <w:t xml:space="preserve"> </w:t>
      </w:r>
      <w:r>
        <w:t xml:space="preserve">Operating</w:t>
      </w:r>
      <w:r>
        <w:t xml:space="preserve"> </w:t>
      </w:r>
      <w:r>
        <w:t xml:space="preserve">Procedure</w:t>
      </w:r>
      <w:r>
        <w:t xml:space="preserve"> </w:t>
      </w:r>
      <w:r>
        <w:t xml:space="preserve">050.1</w:t>
      </w:r>
      <w:r>
        <w:t xml:space="preserve"> </w:t>
      </w:r>
      <w:r>
        <w:t xml:space="preserve">(May</w:t>
      </w:r>
      <w:r>
        <w:t xml:space="preserve"> </w:t>
      </w:r>
      <w:r>
        <w:t xml:space="preserve">1,</w:t>
      </w:r>
      <w:r>
        <w:t xml:space="preserve"> </w:t>
      </w:r>
      <w:r>
        <w:t xml:space="preserve">2023)</w:t>
      </w:r>
      <w:r>
        <w:t xml:space="preserve">   </w:t>
      </w:r>
      <w:r>
        <w:tab/>
      </w:r>
      <w:r>
        <w:t xml:space="preserve">4</w:t>
      </w:r>
    </w:p>
    <w:p>
      <w:pPr>
        <w:keepLines/>
        <w:tabs>
          <w:tab w:val="right" w:leader="dot" w:pos="9360"/>
        </w:tabs>
        <w:spacing w:before="252" w:after="0" w:line="322" w:lineRule="exact"/>
        <w:ind w:left="720" w:right="1120" w:hanging="720"/>
      </w:pPr>
      <w:r>
        <w:t xml:space="preserve">Va.</w:t>
      </w:r>
      <w:r>
        <w:t xml:space="preserve"> </w:t>
      </w:r>
      <w:r>
        <w:t xml:space="preserve">Dep’t</w:t>
      </w:r>
      <w:r>
        <w:t xml:space="preserve"> </w:t>
      </w:r>
      <w:r>
        <w:t xml:space="preserve">of</w:t>
      </w:r>
      <w:r>
        <w:t xml:space="preserve"> </w:t>
      </w:r>
      <w:r>
        <w:t xml:space="preserve">Corrections,</w:t>
      </w:r>
      <w:r>
        <w:t xml:space="preserve"> </w:t>
      </w:r>
      <w:r>
        <w:t xml:space="preserve">Population</w:t>
      </w:r>
      <w:r>
        <w:t xml:space="preserve"> </w:t>
      </w:r>
      <w:r>
        <w:t xml:space="preserve">Summary</w:t>
      </w:r>
      <w:r>
        <w:t xml:space="preserve"> </w:t>
      </w:r>
      <w:r>
        <w:t xml:space="preserve">January</w:t>
      </w:r>
      <w:r>
        <w:t xml:space="preserve"> </w:t>
      </w:r>
      <w:r>
        <w:t xml:space="preserve">2024</w:t>
      </w:r>
      <w:r>
        <w:t xml:space="preserve">   </w:t>
      </w:r>
      <w:r>
        <w:tab/>
      </w:r>
      <w:r>
        <w:t xml:space="preserve">6</w:t>
      </w:r>
    </w:p>
    <w:p>
      <w:pPr>
        <w:spacing w:before="0" w:after="0" w:line="1" w:lineRule="exact"/>
        <w:sectPr>
          <w:footerReference w:type="default" r:id="rIdXdPage"/>
          <w:pgSz w:w="12240" w:h="15840"/>
          <w:pgMar w:top="1440" w:right="1440" w:bottom="1440" w:left="1440" w:header="720" w:footer="686" w:gutter="0"/>
          <w:pgNumType w:fmt="lowerRoman" w:start="1"/>
        </w:sectPr>
      </w:pPr>
    </w:p>
    <w:p>
      <w:pPr>
        <w:pStyle w:val="BodyText"/>
      </w:pPr>
      <w:r>
        <w:t xml:space="preserve">The Virginia Freedom of Information Act (“VFOIA”) requires that “any exemption from public access to records ⁠. ⁠. ⁠. shall be narrowly construed.” Va. Code § 2.2-⁠3700(B).</w:t>
      </w:r>
      <w:r>
        <w:t xml:space="preserve"> </w:t>
      </w:r>
      <w:r>
        <w:t xml:space="preserve">Despite this, Appellee (“VADOC”) urges this Court to “broadly” construe Va. Code § 2.2-⁠3706(B)⁠(4)</w:t>
      </w:r>
      <w:r>
        <w:t xml:space="preserve"> </w:t>
      </w:r>
      <w:r>
        <w:t xml:space="preserve">(the “Records of Persons Imprisoned Exemption”). Appellee Br. 7–8. And, despite VFOIA’s explicit statutory instruction that “the affairs of government are not intended to be conducted in an atmosphere of secrecy,” Va. Code § 2.2-⁠3700(B),</w:t>
      </w:r>
      <w:r>
        <w:t xml:space="preserve"> </w:t>
      </w:r>
      <w:r>
        <w:t xml:space="preserve">VADOC asserts that public access to its records should be “curtail[ed].” Appellee Br. 11–12. Appellants respectfully submit this argument in reply.</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pure</w:t>
      </w:r>
      <w:r>
        <w:rPr>
          <w:b/>
          <w:bCs/>
        </w:rPr>
        <w:t xml:space="preserve"> </w:t>
      </w:r>
      <w:r>
        <w:rPr>
          <w:b/>
          <w:bCs/>
        </w:rPr>
        <w:t xml:space="preserve">matter</w:t>
      </w:r>
      <w:r>
        <w:rPr>
          <w:b/>
          <w:bCs/>
        </w:rPr>
        <w:t xml:space="preserve"> </w:t>
      </w:r>
      <w:r>
        <w:rPr>
          <w:b/>
          <w:bCs/>
        </w:rPr>
        <w:t xml:space="preserve">of</w:t>
      </w:r>
      <w:r>
        <w:rPr>
          <w:b/>
          <w:bCs/>
        </w:rPr>
        <w:t xml:space="preserve"> </w:t>
      </w:r>
      <w:r>
        <w:rPr>
          <w:b/>
          <w:bCs/>
        </w:rPr>
        <w:t xml:space="preserve">statutory</w:t>
      </w:r>
      <w:r>
        <w:rPr>
          <w:b/>
          <w:bCs/>
        </w:rPr>
        <w:t xml:space="preserve"> </w:t>
      </w:r>
      <w:r>
        <w:rPr>
          <w:b/>
          <w:bCs/>
        </w:rPr>
        <w:t xml:space="preserve">construction,</w:t>
      </w:r>
      <w:r>
        <w:rPr>
          <w:b/>
          <w:bCs/>
        </w:rPr>
        <w:t xml:space="preserve"> </w:t>
      </w:r>
      <w:r>
        <w:rPr>
          <w:b/>
          <w:bCs/>
        </w:rPr>
        <w:t xml:space="preserve">the</w:t>
      </w:r>
      <w:r>
        <w:rPr>
          <w:b/>
          <w:bCs/>
        </w:rPr>
        <w:t xml:space="preserve"> </w:t>
      </w:r>
      <w:r>
        <w:rPr>
          <w:b/>
          <w:bCs/>
        </w:rPr>
        <w:t xml:space="preserve">scope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Records</w:t>
      </w:r>
      <w:r>
        <w:rPr>
          <w:b/>
          <w:bCs/>
        </w:rPr>
        <w:t xml:space="preserve"> </w:t>
      </w:r>
      <w:r>
        <w:rPr>
          <w:b/>
          <w:bCs/>
        </w:rPr>
        <w:t xml:space="preserve">of</w:t>
      </w:r>
      <w:r>
        <w:rPr>
          <w:b/>
          <w:bCs/>
        </w:rPr>
        <w:t xml:space="preserve"> </w:t>
      </w:r>
      <w:r>
        <w:rPr>
          <w:b/>
          <w:bCs/>
        </w:rPr>
        <w:t xml:space="preserve">Persons</w:t>
      </w:r>
      <w:r>
        <w:rPr>
          <w:b/>
          <w:bCs/>
        </w:rPr>
        <w:t xml:space="preserve"> </w:t>
      </w:r>
      <w:r>
        <w:rPr>
          <w:b/>
          <w:bCs/>
        </w:rPr>
        <w:t xml:space="preserve">Imprisoned</w:t>
      </w:r>
      <w:r>
        <w:rPr>
          <w:b/>
          <w:bCs/>
        </w:rPr>
        <w:t xml:space="preserve"> </w:t>
      </w:r>
      <w:r>
        <w:rPr>
          <w:b/>
          <w:bCs/>
        </w:rPr>
        <w:t xml:space="preserve">Exemption</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reach</w:t>
      </w:r>
      <w:r>
        <w:rPr>
          <w:b/>
          <w:bCs/>
        </w:rPr>
        <w:t xml:space="preserve"> </w:t>
      </w:r>
      <w:r>
        <w:rPr>
          <w:b/>
          <w:bCs/>
        </w:rPr>
        <w:t xml:space="preserve">records</w:t>
      </w:r>
      <w:r>
        <w:rPr>
          <w:b/>
          <w:bCs/>
        </w:rPr>
        <w:t xml:space="preserve"> </w:t>
      </w:r>
      <w:r>
        <w:rPr>
          <w:b/>
          <w:bCs/>
        </w:rPr>
        <w:t xml:space="preserve">responsive</w:t>
      </w:r>
      <w:r>
        <w:rPr>
          <w:b/>
          <w:bCs/>
        </w:rPr>
        <w:t xml:space="preserve"> </w:t>
      </w:r>
      <w:r>
        <w:rPr>
          <w:b/>
          <w:bCs/>
        </w:rPr>
        <w:t xml:space="preserve">to</w:t>
      </w:r>
      <w:r>
        <w:rPr>
          <w:b/>
          <w:bCs/>
        </w:rPr>
        <w:t xml:space="preserve"> </w:t>
      </w:r>
      <w:r>
        <w:rPr>
          <w:b/>
          <w:bCs/>
        </w:rPr>
        <w:t xml:space="preserve">Appellants’</w:t>
      </w:r>
      <w:r>
        <w:rPr>
          <w:b/>
          <w:bCs/>
        </w:rPr>
        <w:t xml:space="preserve"> </w:t>
      </w:r>
      <w:r>
        <w:rPr>
          <w:b/>
          <w:bCs/>
        </w:rPr>
        <w:t xml:space="preserve">request</w:t>
      </w:r>
      <w:r>
        <w:rPr>
          <w:b/>
          <w:bCs/>
        </w:rPr>
        <w:t xml:space="preserve"> </w:t>
      </w:r>
      <w:r>
        <w:rPr>
          <w:b/>
          <w:bCs/>
        </w:rPr>
        <w:t xml:space="preserve">(AOE</w:t>
        <w:noBreakHyphen/>
        <w:t xml:space="preserve">1).</w:t>
      </w:r>
    </w:p>
    <w:p>
      <w:pPr>
        <w:pStyle w:val="BodyTextNote"/>
      </w:pPr>
      <w:r>
        <w:t xml:space="preserve">Appellants’ first assignment of error does not involve the fact record. Opening Br. 5, 12. The circuit court’s overbroad construction of the Records of Persons Imprisoned Exemption is purely an issue of law—not a mixed question of law and fact as Appellee asserts.</w:t>
      </w:r>
      <w:r>
        <w:t xml:space="preserve"> </w:t>
      </w:r>
      <w:r>
        <w:rPr>
          <w:i/>
          <w:iCs/>
        </w:rPr>
        <w:t xml:space="preserve">See</w:t>
      </w:r>
      <w:r>
        <w:t xml:space="preserve"> </w:t>
      </w:r>
      <w:r>
        <w:t xml:space="preserve">Appellee Br. 6–7;</w:t>
      </w:r>
      <w:r>
        <w:t xml:space="preserve"> </w:t>
      </w:r>
      <w:r>
        <w:rPr>
          <w:i/>
          <w:iCs/>
        </w:rPr>
        <w:t xml:space="preserve">Hawkins</w:t>
      </w:r>
      <w:r>
        <w:rPr>
          <w:i/>
          <w:iCs/>
        </w:rPr>
        <w:t xml:space="preserve"> </w:t>
      </w:r>
      <w:r>
        <w:rPr>
          <w:i/>
          <w:iCs/>
        </w:rPr>
        <w:t xml:space="preserve">v. Town of South Hill</w:t>
      </w:r>
      <w:r>
        <w:t xml:space="preserve">, 301 Va. 416, 424 (2022);</w:t>
      </w:r>
      <w:r>
        <w:t xml:space="preserve"> </w:t>
      </w:r>
      <w:r>
        <w:rPr>
          <w:i/>
          <w:iCs/>
        </w:rPr>
        <w:t xml:space="preserve">Harris v. Commonwealth</w:t>
      </w:r>
      <w:r>
        <w:t xml:space="preserve">, 274 Va. 409,</w:t>
      </w:r>
      <w:r>
        <w:t xml:space="preserve"> </w:t>
      </w:r>
      <w:r>
        <w:t xml:space="preserve">413 (2007). The question is: Did the circuit court incorrectly subsume the narrow statutory term “records of persons imprisoned” within the separate, broader limitation that any withheld information must “relate to the imprisonment” of an incarcerated individual?</w:t>
      </w:r>
      <w:r>
        <w:t xml:space="preserve"> </w:t>
      </w:r>
      <w:r>
        <w:rPr>
          <w:i/>
          <w:iCs/>
        </w:rPr>
        <w:t xml:space="preserve">See</w:t>
      </w:r>
      <w:r>
        <w:t xml:space="preserve"> </w:t>
      </w:r>
      <w:r>
        <w:t xml:space="preserve">Opening Br. 20; R.188:12–90:3. Put differently, is Va. Code § 2.2-⁠3706(B)⁠(4)</w:t>
      </w:r>
      <w:r>
        <w:t xml:space="preserve"> </w:t>
      </w:r>
      <w:r>
        <w:t xml:space="preserve">“limited only by the clarification that the records should ‘relate’ to the imprisonment,” as Appellee claims,</w:t>
      </w:r>
      <w:r>
        <w:t xml:space="preserve"> </w:t>
      </w:r>
      <w:r>
        <w:rPr>
          <w:i/>
          <w:iCs/>
        </w:rPr>
        <w:t xml:space="preserve">see</w:t>
      </w:r>
      <w:r>
        <w:t xml:space="preserve"> </w:t>
      </w:r>
      <w:r>
        <w:t xml:space="preserve">Appellee Br. 8, or does the term “records of person imprisoned” have independent meaning?</w:t>
      </w:r>
      <w:r>
        <w:rPr>
          <w:rStyle w:val="FootnoteReference"/>
        </w:rPr>
        <w:footnoteReference w:id="9"/>
      </w:r>
    </w:p>
    <w:p>
      <w:pPr>
        <w:pStyle w:val="BodyText"/>
      </w:pPr>
      <w:r>
        <w:t xml:space="preserve">Appellants’ position is the latter. Specifically, the term “records of persons imprisoned” distinguishes information generated, controlled, or possessed (but for incarceration) by prisoners from other types of information possessed by VADOC, including the documentation of agency action upon prisoners. A record “of” a person imprisoned involves information that would typically otherwise belong to an inmate, but for their incarceration. In contrast, information about VADOC’s actions, if possessed by VADOC, is a record “of” VADOC itself. Opening Br. 13–18.</w:t>
      </w:r>
    </w:p>
    <w:p>
      <w:pPr>
        <w:pStyle w:val="BodyTextNote"/>
      </w:pPr>
      <w:r>
        <w:t xml:space="preserve">VADOC misstates the scope and overall operation of VFOIA in an effort to escape this clear meaning. The agency claims, incorrectly, that Appellants’ reading of the exemption would lead to an “absurd result” because information created, controlled, or possessed (but for incarceration) by inmates is not contemplated by VFOIA in the first place. Appellee Br. 8–9. Not so. VFOIA’s definition of “public records” includes documents “in the possession of” a public body. Va. Code § 2.2-⁠3701.</w:t>
      </w:r>
      <w:r>
        <w:t xml:space="preserve"> </w:t>
      </w:r>
      <w:r>
        <w:t xml:space="preserve">Public entities possess many records that contain information they did not generate; often, this information is valuable to public oversight.</w:t>
      </w:r>
      <w:r>
        <w:t xml:space="preserve"> </w:t>
      </w:r>
      <w:r>
        <w:rPr>
          <w:i/>
          <w:iCs/>
        </w:rPr>
        <w:t xml:space="preserve">See, e.g.</w:t>
      </w:r>
      <w:r>
        <w:t xml:space="preserve">,</w:t>
      </w:r>
      <w:r>
        <w:t xml:space="preserve"> </w:t>
      </w:r>
      <w:r>
        <w:rPr>
          <w:i/>
          <w:iCs/>
        </w:rPr>
        <w:t xml:space="preserve">Lee BHM</w:t>
      </w:r>
      <w:r>
        <w:rPr>
          <w:i/>
          <w:iCs/>
        </w:rPr>
        <w:t xml:space="preserve"> </w:t>
      </w:r>
      <w:r>
        <w:rPr>
          <w:i/>
          <w:iCs/>
        </w:rPr>
        <w:t xml:space="preserve">Corp. v. Sch. Bd. of Richmond</w:t>
      </w:r>
      <w:r>
        <w:t xml:space="preserve">, CL23</w:t>
      </w:r>
      <w:r>
        <w:noBreakHyphen/>
      </w:r>
      <w:r>
        <w:t xml:space="preserve">5464 at 3, 11–12 (Richmond Cir. Ct. Jan. 16, 2024) (ordering disclosure of report generated by law firm investigating mass shooting occurring after high school graduation ceremony).</w:t>
      </w:r>
      <w:r>
        <w:rPr>
          <w:rStyle w:val="FootnoteReference"/>
        </w:rPr>
        <w:footnoteReference w:id="10"/>
      </w:r>
      <w:r>
        <w:t xml:space="preserve"> </w:t>
      </w:r>
      <w:r>
        <w:t xml:space="preserve">Accordingly, these records are “presumed open, unless an exemption is properly invoked.” Va. Code § 2.2-⁠3700(B).</w:t>
      </w:r>
      <w:r>
        <w:t xml:space="preserve"> </w:t>
      </w:r>
      <w:r>
        <w:t xml:space="preserve">The only way for information in a record possessed by an agency to escape public oversight is for an exemption to apply.</w:t>
      </w:r>
      <w:r>
        <w:t xml:space="preserve"> </w:t>
      </w:r>
      <w:r>
        <w:rPr>
          <w:i/>
          <w:iCs/>
        </w:rPr>
        <w:t xml:space="preserve">Id.</w:t>
      </w:r>
    </w:p>
    <w:p>
      <w:pPr>
        <w:pStyle w:val="BodyText"/>
      </w:pPr>
      <w:r>
        <w:t xml:space="preserve">VADOC is a public body that transacts public business; records that it possesses are contemplated under Va. Code § 2.2-⁠3701.</w:t>
      </w:r>
      <w:r>
        <w:t xml:space="preserve"> </w:t>
      </w:r>
      <w:r>
        <w:t xml:space="preserve">Nothing in the statute supports VADOC’s apparent assertion that public records are only those “created in the transaction of public business.” Appellee Br. 9 (emphasis added). The dicta VADOC quotes from</w:t>
      </w:r>
      <w:r>
        <w:t xml:space="preserve"> </w:t>
      </w:r>
      <w:r>
        <w:rPr>
          <w:i/>
          <w:iCs/>
        </w:rPr>
        <w:t xml:space="preserve">American Tradition Institute v. Rector and Visitors of the University of Virginia</w:t>
      </w:r>
      <w:r>
        <w:t xml:space="preserve">, stands, at most, for the proposition that a public employee’s private email account is not subject to VFOIA because it is not “in the custody of a public body.” 287 Va. 330,</w:t>
      </w:r>
      <w:r>
        <w:t xml:space="preserve"> </w:t>
      </w:r>
      <w:r>
        <w:t xml:space="preserve">339–40 (2014). But here, the reality of incarceration is that VADOC is “in the custody of” extensive information created or controlled by inmates, because VADOC is legislatively tasked with maintaining custody over thousands of individuals—this is the agency’s “transaction of public business.” Va. Code § 2.2-⁠3701.</w:t>
      </w:r>
    </w:p>
    <w:p>
      <w:pPr>
        <w:pStyle w:val="BodyTextNote"/>
      </w:pPr>
      <w:r>
        <w:t xml:space="preserve">To name a few examples, VADOC holds “Educational and Vocational Records” and “Personal Property Inventories” within an inmate’s file. Opening Br. 15 &amp; n.23. VADOC would not possess the information in these records but for incarceration.</w:t>
      </w:r>
      <w:r>
        <w:rPr>
          <w:rStyle w:val="FootnoteReference"/>
        </w:rPr>
        <w:footnoteReference w:id="11"/>
      </w:r>
      <w:r>
        <w:t xml:space="preserve"> </w:t>
      </w:r>
      <w:r>
        <w:t xml:space="preserve">Similarly, VADOC retains copies of what it deems “unauthorized” correspondence to inmates,</w:t>
      </w:r>
      <w:r>
        <w:rPr>
          <w:rStyle w:val="FootnoteReference"/>
        </w:rPr>
        <w:footnoteReference w:id="12"/>
      </w:r>
      <w:r>
        <w:t xml:space="preserve"> </w:t>
      </w:r>
      <w:r>
        <w:t xml:space="preserve">and it “monitors and records” phone calls made by inmates.</w:t>
      </w:r>
      <w:r>
        <w:rPr>
          <w:rStyle w:val="FootnoteReference"/>
        </w:rPr>
        <w:footnoteReference w:id="13"/>
      </w:r>
      <w:r>
        <w:t xml:space="preserve"> </w:t>
      </w:r>
      <w:r>
        <w:t xml:space="preserve">Again, while possessed by VADOC in its transaction of public business, this information does not necessarily shed light on “action taken [by] any level of government,” Va. Code § 2.2-⁠3700(B).</w:t>
      </w:r>
      <w:r>
        <w:t xml:space="preserve"> </w:t>
      </w:r>
      <w:r>
        <w:t xml:space="preserve">Accordingly, to the extent it “relate[s] to the imprisonment,” Va. Code § 2.2-⁠3706(B)⁠(4),</w:t>
      </w:r>
      <w:r>
        <w:t xml:space="preserve"> </w:t>
      </w:r>
      <w:r>
        <w:t xml:space="preserve">the General Assembly has seen fit to exclude it from mandatory disclosure.</w:t>
      </w:r>
    </w:p>
    <w:p>
      <w:pPr>
        <w:pStyle w:val="BodyTextNote"/>
      </w:pPr>
      <w:r>
        <w:t xml:space="preserve">Unsurprisingly, the Attorney General Opinion cited by VADOC largely comports with this view. 1987 Att’y</w:t>
      </w:r>
      <w:r>
        <w:t xml:space="preserve"> </w:t>
      </w:r>
      <w:r>
        <w:t xml:space="preserve">Gen. Va. 37, R.121–2;</w:t>
      </w:r>
      <w:r>
        <w:t xml:space="preserve"> </w:t>
      </w:r>
      <w:r>
        <w:rPr>
          <w:i/>
          <w:iCs/>
        </w:rPr>
        <w:t xml:space="preserve">see</w:t>
      </w:r>
      <w:r>
        <w:t xml:space="preserve"> </w:t>
      </w:r>
      <w:r>
        <w:t xml:space="preserve">Appellee Br. 12. The requester sought a jail log—a record of inmate correspondence, visits, medical care, attorney visits, and discipline.</w:t>
      </w:r>
      <w:r>
        <w:t xml:space="preserve"> </w:t>
      </w:r>
      <w:r>
        <w:rPr>
          <w:i/>
          <w:iCs/>
        </w:rPr>
        <w:t xml:space="preserve">Id.</w:t>
      </w:r>
      <w:r>
        <w:rPr>
          <w:rStyle w:val="FootnoteReference"/>
        </w:rPr>
        <w:footnoteReference w:id="14"/>
      </w:r>
      <w:r>
        <w:t xml:space="preserve"> </w:t>
      </w:r>
      <w:r>
        <w:t xml:space="preserve">For the most part, this is information generated or controlled by a private individual that a public body only possessed because of that person’s incarceration. Likewise, the withheld records in</w:t>
      </w:r>
      <w:r>
        <w:t xml:space="preserve"> </w:t>
      </w:r>
      <w:r>
        <w:rPr>
          <w:i/>
          <w:iCs/>
        </w:rPr>
        <w:t xml:space="preserve">Zabala</w:t>
      </w:r>
      <w:r>
        <w:rPr>
          <w:i/>
          <w:iCs/>
        </w:rPr>
        <w:t xml:space="preserve"> </w:t>
      </w:r>
      <w:r>
        <w:rPr>
          <w:i/>
          <w:iCs/>
        </w:rPr>
        <w:t xml:space="preserve">v. Okanogan County</w:t>
      </w:r>
      <w:r>
        <w:t xml:space="preserve">, 5 App. 2d 517, 527 (Wash. Ct. App. 2018)—recordings of inmates’ private telephone conversations—fit cleanly within Appellants’ asserted construction of the exemption.</w:t>
      </w:r>
      <w:r>
        <w:t xml:space="preserve"> </w:t>
      </w:r>
      <w:r>
        <w:rPr>
          <w:i/>
          <w:iCs/>
        </w:rPr>
        <w:t xml:space="preserve">See</w:t>
      </w:r>
      <w:r>
        <w:t xml:space="preserve"> </w:t>
      </w:r>
      <w:r>
        <w:t xml:space="preserve">Appellee Br. 14.</w:t>
      </w:r>
    </w:p>
    <w:p>
      <w:pPr>
        <w:pStyle w:val="BodyTextNote"/>
      </w:pPr>
      <w:r>
        <w:t xml:space="preserve">In contrast, records that document agency action implicate VFOIA’s fundamental purpose—they allow the public to scrutinize potentially controversial “affairs of government” taken in the public’s name. Va. Code § 2.2-⁠3700(B).</w:t>
      </w:r>
      <w:r>
        <w:rPr>
          <w:rStyle w:val="FootnoteReference"/>
        </w:rPr>
        <w:footnoteReference w:id="15"/>
      </w:r>
      <w:r>
        <w:t xml:space="preserve"> </w:t>
      </w:r>
      <w:r>
        <w:t xml:space="preserve">The General Assembly has instructed that exemptions “shall be narrowly construed” because those affairs “are not intended to be conducted in an atmosphere of secrecy.” Va. Code § 2.2-⁠3700(B).</w:t>
      </w:r>
      <w:r>
        <w:t xml:space="preserve"> </w:t>
      </w:r>
      <w:r>
        <w:t xml:space="preserve">Yet VADOC urges a “broad,” construction, Appellee Br. 7, that would exempt any record that “relate[s] to the imprisonment” of any individual,</w:t>
      </w:r>
      <w:r>
        <w:t xml:space="preserve"> </w:t>
      </w:r>
      <w:r>
        <w:rPr>
          <w:i/>
          <w:iCs/>
        </w:rPr>
        <w:t xml:space="preserve">id.</w:t>
      </w:r>
      <w:r>
        <w:t xml:space="preserve"> </w:t>
      </w:r>
      <w:r>
        <w:t xml:space="preserve">at 7–8. This would undermine the legislature’s explicit intent to “ensure[] the people of the Commonwealth ready access to public records in the custody of a public body.” Va. Code § 2.2-⁠3700(B).</w:t>
      </w:r>
      <w:r>
        <w:t xml:space="preserve"> </w:t>
      </w:r>
      <w:r>
        <w:t xml:space="preserve">And it would allow VADOC to operate “in an atmosphere of secrecy” by rendering VFOIA toothless against the agency tasked with the care and custody of more than 23,500 Virginians.</w:t>
      </w:r>
      <w:r>
        <w:t xml:space="preserve"> </w:t>
      </w:r>
      <w:r>
        <w:rPr>
          <w:i/>
          <w:iCs/>
        </w:rPr>
        <w:t xml:space="preserve">Id</w:t>
      </w:r>
      <w:r>
        <w:t xml:space="preserve">; Va. Dep’t of Corrections, Population Summary</w:t>
      </w:r>
      <w:r>
        <w:t xml:space="preserve"> </w:t>
      </w:r>
      <w:r>
        <w:t xml:space="preserve">January 2024.</w:t>
      </w:r>
      <w:r>
        <w:rPr>
          <w:rStyle w:val="FootnoteReference"/>
        </w:rPr>
        <w:footnoteReference w:id="16"/>
      </w:r>
    </w:p>
    <w:p>
      <w:pPr>
        <w:keepNext/>
        <w:keepLines/>
        <w:spacing w:before="336" w:after="224" w:line="322" w:lineRule="exact"/>
        <w:ind w:left="720" w:hanging="720"/>
        <w:jc w:val="left"/>
      </w:pPr>
      <w:r>
        <w:rPr>
          <w:b/>
          <w:bCs/>
        </w:rPr>
        <w:t xml:space="preserve">II.</w:t>
      </w:r>
      <w:r>
        <w:rPr>
          <w:b/>
          <w:bCs/>
        </w:rPr>
        <w:t xml:space="preserve"> </w:t>
      </w:r>
      <w:r>
        <w:rPr>
          <w:b/>
          <w:bCs/>
        </w:rPr>
        <w:t xml:space="preserve">No</w:t>
      </w:r>
      <w:r>
        <w:rPr>
          <w:b/>
          <w:bCs/>
        </w:rPr>
        <w:t xml:space="preserve"> </w:t>
      </w:r>
      <w:r>
        <w:rPr>
          <w:b/>
          <w:bCs/>
        </w:rPr>
        <w:t xml:space="preserve">record</w:t>
      </w:r>
      <w:r>
        <w:rPr>
          <w:b/>
          <w:bCs/>
        </w:rPr>
        <w:t xml:space="preserve"> </w:t>
      </w:r>
      <w:r>
        <w:rPr>
          <w:b/>
          <w:bCs/>
        </w:rPr>
        <w:t xml:space="preserve">evidence</w:t>
      </w:r>
      <w:r>
        <w:rPr>
          <w:b/>
          <w:bCs/>
        </w:rPr>
        <w:t xml:space="preserve"> </w:t>
      </w:r>
      <w:r>
        <w:rPr>
          <w:b/>
          <w:bCs/>
        </w:rPr>
        <w:t xml:space="preserve">supports</w:t>
      </w:r>
      <w:r>
        <w:rPr>
          <w:b/>
          <w:bCs/>
        </w:rPr>
        <w:t xml:space="preserve"> </w:t>
      </w:r>
      <w:r>
        <w:rPr>
          <w:b/>
          <w:bCs/>
        </w:rPr>
        <w:t xml:space="preserve">the</w:t>
      </w:r>
      <w:r>
        <w:rPr>
          <w:b/>
          <w:bCs/>
        </w:rPr>
        <w:t xml:space="preserve"> </w:t>
      </w:r>
      <w:r>
        <w:rPr>
          <w:b/>
          <w:bCs/>
        </w:rPr>
        <w:t xml:space="preserve">conclusions</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in</w:t>
      </w:r>
      <w:r>
        <w:rPr>
          <w:b/>
          <w:bCs/>
        </w:rPr>
        <w:t xml:space="preserve"> </w:t>
      </w:r>
      <w:r>
        <w:rPr>
          <w:b/>
          <w:bCs/>
        </w:rPr>
        <w:t xml:space="preserve">Paragraphs</w:t>
      </w:r>
      <w:r>
        <w:rPr>
          <w:b/>
          <w:bCs/>
        </w:rPr>
        <w:t xml:space="preserve"> </w:t>
      </w:r>
      <w:r>
        <w:rPr>
          <w:b/>
          <w:bCs/>
        </w:rPr>
        <w:t xml:space="preserve">3</w:t>
      </w:r>
      <w:r>
        <w:rPr>
          <w:b/>
          <w:bCs/>
        </w:rPr>
        <w:t xml:space="preserve"> </w:t>
      </w:r>
      <w:r>
        <w:rPr>
          <w:b/>
          <w:bCs/>
        </w:rPr>
        <w:t xml:space="preserve">and</w:t>
      </w:r>
      <w:r>
        <w:rPr>
          <w:b/>
          <w:bCs/>
        </w:rPr>
        <w:t xml:space="preserve"> </w:t>
      </w:r>
      <w:r>
        <w:rPr>
          <w:b/>
          <w:bCs/>
        </w:rPr>
        <w:t xml:space="preserve">5</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court’s</w:t>
      </w:r>
      <w:r>
        <w:rPr>
          <w:b/>
          <w:bCs/>
        </w:rPr>
        <w:t xml:space="preserve"> </w:t>
      </w:r>
      <w:r>
        <w:rPr>
          <w:b/>
          <w:bCs/>
        </w:rPr>
        <w:t xml:space="preserve">order</w:t>
      </w:r>
      <w:r>
        <w:rPr>
          <w:b/>
          <w:bCs/>
        </w:rPr>
        <w:t xml:space="preserve"> </w:t>
      </w:r>
      <w:r>
        <w:rPr>
          <w:b/>
          <w:bCs/>
        </w:rPr>
        <w:t xml:space="preserve">(AOE</w:t>
        <w:noBreakHyphen/>
        <w:t xml:space="preserve">2).</w:t>
      </w:r>
    </w:p>
    <w:p>
      <w:pPr>
        <w:pStyle w:val="BodyTextNote"/>
      </w:pPr>
      <w:r>
        <w:t xml:space="preserve">VADOC misrepresents the trial court record.</w:t>
      </w:r>
      <w:r>
        <w:t xml:space="preserve"> </w:t>
      </w:r>
      <w:r>
        <w:rPr>
          <w:i/>
          <w:iCs/>
        </w:rPr>
        <w:t xml:space="preserve">See</w:t>
      </w:r>
      <w:r>
        <w:t xml:space="preserve"> </w:t>
      </w:r>
      <w:r>
        <w:t xml:space="preserve">Appellee Br. 17–19. The affidavits of Mr. Fulmer and Mr. Robinson were attached to VADOC’s responsive brief. R.106–07, 125–28.</w:t>
      </w:r>
      <w:r>
        <w:rPr>
          <w:rStyle w:val="FootnoteReference"/>
        </w:rPr>
        <w:footnoteReference w:id="17"/>
      </w:r>
      <w:r>
        <w:t xml:space="preserve"> </w:t>
      </w:r>
      <w:r>
        <w:t xml:space="preserve">VADOC chose not to offer the affidavits into evidence at the August 2023 hearing, stating instead that it planned to call those witnesses to give oral testimony. R.168:5–11 (“I understand that they want to cross-examine [Mr. Robinson]. That’s their right.”), R.168:17–69:7 (informing court that Mr. Fulmer was present for hearing). But in the end, VADOC neither attempted to move its affidavits into evidence nor called any witness because the circuit court stated that it desired only legal argument from VADOC.</w:t>
      </w:r>
    </w:p>
    <w:p>
      <w:pPr>
        <w:pStyle w:val="BodyTextNote"/>
      </w:pPr>
      <w:r>
        <w:t xml:space="preserve">Indeed, this is the crux of Appellants’ second assignment of error.</w:t>
      </w:r>
      <w:r>
        <w:rPr>
          <w:rStyle w:val="FootnoteReference"/>
        </w:rPr>
        <w:footnoteReference w:id="18"/>
      </w:r>
      <w:r>
        <w:t xml:space="preserve"> </w:t>
      </w:r>
      <w:r>
        <w:t xml:space="preserve">The circuit court incorrectly determined that it did not need a factual presentation from VADOC, yet later made findings of fact:</w:t>
      </w:r>
    </w:p>
    <w:p>
      <w:pPr>
        <w:pStyle w:val="XdQuoteOnly"/>
      </w:pPr>
      <w:r>
        <w:t xml:space="preserve">THE COURT: We’ll hear your argument now ⁠. ⁠. ⁠. with regard to the legal issues as to whether or not ⁠. ⁠. ⁠. the [Records of Persons Imprisoned Exemption] is applicable here and the degree that it is. And if we have to find another date, we’ll find another date, but I’ll hear you on [the legal issues] first.</w:t>
      </w:r>
    </w:p>
    <w:p>
      <w:pPr>
        <w:pStyle w:val="BodyTextNote"/>
      </w:pPr>
      <w:r>
        <w:t xml:space="preserve">R.179:3–11;</w:t>
      </w:r>
      <w:r>
        <w:t xml:space="preserve"> </w:t>
      </w:r>
      <w:r>
        <w:rPr>
          <w:i/>
          <w:iCs/>
        </w:rPr>
        <w:t xml:space="preserve">cf.</w:t>
      </w:r>
      <w:r>
        <w:t xml:space="preserve"> </w:t>
      </w:r>
      <w:r>
        <w:t xml:space="preserve">152–53 (findings of fact at Paragraphs 3 and 5).</w:t>
      </w:r>
      <w:r>
        <w:rPr>
          <w:rStyle w:val="FootnoteReference"/>
        </w:rPr>
        <w:footnoteReference w:id="19"/>
      </w:r>
      <w:r>
        <w:t xml:space="preserve"> </w:t>
      </w:r>
      <w:r>
        <w:t xml:space="preserve">Appellants timely objected to VADOC’s affidavits and were prepared to move to exclude them if offered, R.170:9–18;</w:t>
      </w:r>
      <w:r>
        <w:t xml:space="preserve"> </w:t>
      </w:r>
      <w:r>
        <w:rPr>
          <w:i/>
          <w:iCs/>
        </w:rPr>
        <w:t xml:space="preserve">see also</w:t>
      </w:r>
      <w:r>
        <w:t xml:space="preserve"> </w:t>
      </w:r>
      <w:r>
        <w:t xml:space="preserve">R.142 &amp; n.10, R.154,</w:t>
      </w:r>
      <w:r>
        <w:rPr>
          <w:rStyle w:val="FootnoteReference"/>
        </w:rPr>
        <w:footnoteReference w:id="20"/>
      </w:r>
      <w:r>
        <w:t xml:space="preserve"> </w:t>
      </w:r>
      <w:r>
        <w:t xml:space="preserve">but the circuit court had no opportunity to admit or reject</w:t>
      </w:r>
      <w:r>
        <w:t xml:space="preserve"> </w:t>
      </w:r>
      <w:r>
        <w:rPr>
          <w:i/>
          <w:iCs/>
        </w:rPr>
        <w:t xml:space="preserve">any</w:t>
      </w:r>
      <w:r>
        <w:t xml:space="preserve"> </w:t>
      </w:r>
      <w:r>
        <w:t xml:space="preserve">evidence from VADOC because none was offered.</w:t>
      </w:r>
      <w:r>
        <w:rPr>
          <w:rStyle w:val="FootnoteReference"/>
        </w:rPr>
        <w:footnoteReference w:id="21"/>
      </w:r>
    </w:p>
    <w:p>
      <w:pPr>
        <w:pStyle w:val="BodyTextNote"/>
      </w:pPr>
      <w:r>
        <w:t xml:space="preserve">This makes the near-verbatim recitation of these affidavits in VADOC’s Statement of Facts (and elsewhere) inappropriate.</w:t>
      </w:r>
      <w:r>
        <w:t xml:space="preserve"> </w:t>
      </w:r>
      <w:r>
        <w:rPr>
          <w:i/>
          <w:iCs/>
        </w:rPr>
        <w:t xml:space="preserve">Compare</w:t>
      </w:r>
      <w:r>
        <w:t xml:space="preserve"> </w:t>
      </w:r>
      <w:r>
        <w:t xml:space="preserve">Appellee Br. 3–5</w:t>
      </w:r>
      <w:r>
        <w:t xml:space="preserve"> </w:t>
      </w:r>
      <w:r>
        <w:rPr>
          <w:i/>
          <w:iCs/>
        </w:rPr>
        <w:t xml:space="preserve">with</w:t>
      </w:r>
      <w:r>
        <w:t xml:space="preserve"> </w:t>
      </w:r>
      <w:r>
        <w:t xml:space="preserve">R.106–107</w:t>
      </w:r>
      <w:r>
        <w:t xml:space="preserve"> </w:t>
      </w:r>
      <w:r>
        <w:rPr>
          <w:i/>
          <w:iCs/>
        </w:rPr>
        <w:t xml:space="preserve">and</w:t>
      </w:r>
      <w:r>
        <w:t xml:space="preserve"> </w:t>
      </w:r>
      <w:r>
        <w:t xml:space="preserve">R.125–128. “[M]ere affidavits, taken ⁠. ⁠. ⁠. in the absence of the other party and without notice, have no weight as evidence, and ought not to be considered as testimony in the cause unless the parties consent to the use.”</w:t>
      </w:r>
      <w:r>
        <w:t xml:space="preserve"> </w:t>
      </w:r>
      <w:r>
        <w:rPr>
          <w:i/>
          <w:iCs/>
        </w:rPr>
        <w:t xml:space="preserve">Ohlen</w:t>
      </w:r>
      <w:r>
        <w:rPr>
          <w:i/>
          <w:iCs/>
        </w:rPr>
        <w:t xml:space="preserve"> </w:t>
      </w:r>
      <w:r>
        <w:rPr>
          <w:i/>
          <w:iCs/>
        </w:rPr>
        <w:t xml:space="preserve">v. Shively</w:t>
      </w:r>
      <w:r>
        <w:t xml:space="preserve">, 16 Va. App. 419, 424</w:t>
      </w:r>
      <w:r>
        <w:noBreakHyphen/>
      </w:r>
      <w:r>
        <w:t xml:space="preserve">25 (1993);</w:t>
      </w:r>
      <w:r>
        <w:t xml:space="preserve"> </w:t>
      </w:r>
      <w:r>
        <w:rPr>
          <w:i/>
          <w:iCs/>
        </w:rPr>
        <w:t xml:space="preserve">see Scott v. Rutherfoord</w:t>
      </w:r>
      <w:r>
        <w:t xml:space="preserve">, 30 Va. App. 176, 189 (1999) (“Under Virginia law, unless subject to a hearsay exception, affidavits are not generally admissible as evidence.”).</w:t>
      </w:r>
      <w:r>
        <w:rPr>
          <w:rStyle w:val="FootnoteReference"/>
        </w:rPr>
        <w:footnoteReference w:id="22"/>
      </w:r>
      <w:r>
        <w:t xml:space="preserve"> </w:t>
      </w:r>
      <w:r>
        <w:t xml:space="preserve">The inquiry is not controlled by</w:t>
      </w:r>
      <w:r>
        <w:t xml:space="preserve"> </w:t>
      </w:r>
      <w:r>
        <w:rPr>
          <w:i/>
          <w:iCs/>
        </w:rPr>
        <w:t xml:space="preserve">Adjei</w:t>
      </w:r>
      <w:r>
        <w:rPr>
          <w:i/>
          <w:iCs/>
        </w:rPr>
        <w:t xml:space="preserve"> </w:t>
      </w:r>
      <w:r>
        <w:rPr>
          <w:i/>
          <w:iCs/>
        </w:rPr>
        <w:t xml:space="preserve">v. Commonwealth</w:t>
      </w:r>
      <w:r>
        <w:t xml:space="preserve">; there was no VADOC evidence to “determin[e] ⁠. ⁠. ⁠. the admissibility of.” 63 Va. App. 727, 737 (2014). Likewise,</w:t>
      </w:r>
      <w:r>
        <w:t xml:space="preserve"> </w:t>
      </w:r>
      <w:r>
        <w:rPr>
          <w:i/>
          <w:iCs/>
        </w:rPr>
        <w:t xml:space="preserve">Moncrieffe</w:t>
      </w:r>
      <w:r>
        <w:rPr>
          <w:i/>
          <w:iCs/>
        </w:rPr>
        <w:t xml:space="preserve"> </w:t>
      </w:r>
      <w:r>
        <w:rPr>
          <w:i/>
          <w:iCs/>
        </w:rPr>
        <w:t xml:space="preserve">v. Deno</w:t>
      </w:r>
      <w:r>
        <w:t xml:space="preserve">, 76 Va. App. 488 (2023), and</w:t>
      </w:r>
      <w:r>
        <w:t xml:space="preserve"> </w:t>
      </w:r>
      <w:r>
        <w:rPr>
          <w:i/>
          <w:iCs/>
        </w:rPr>
        <w:t xml:space="preserve">Commonwealth v. White</w:t>
      </w:r>
      <w:r>
        <w:t xml:space="preserve">, 293 Va. 411</w:t>
      </w:r>
      <w:r>
        <w:t xml:space="preserve"> </w:t>
      </w:r>
      <w:r>
        <w:t xml:space="preserve">(2017), are not helpful.</w:t>
      </w:r>
      <w:r>
        <w:t xml:space="preserve"> </w:t>
      </w:r>
      <w:r>
        <w:rPr>
          <w:i/>
          <w:iCs/>
        </w:rPr>
        <w:t xml:space="preserve">See</w:t>
      </w:r>
      <w:r>
        <w:t xml:space="preserve"> </w:t>
      </w:r>
      <w:r>
        <w:t xml:space="preserve">Appellee Br. 17–18, 21. Those cases involve errors in an evidentiary record—which, again, VADOC did not create, because the circuit court limited its presentation to issues of law. R.179:3–11; R.168:12–16; R.171:7–12; R.172:19–73:6.</w:t>
      </w:r>
    </w:p>
    <w:p>
      <w:pPr>
        <w:pStyle w:val="BodyTextNote"/>
      </w:pPr>
      <w:r>
        <w:t xml:space="preserve">The evidentiary record does, however, contain the four recordings obtained by Ms. Eisner.</w:t>
      </w:r>
      <w:r>
        <w:t xml:space="preserve"> </w:t>
      </w:r>
      <w:r>
        <w:rPr>
          <w:i/>
          <w:iCs/>
        </w:rPr>
        <w:t xml:space="preserve">See</w:t>
      </w:r>
      <w:r>
        <w:t xml:space="preserve"> </w:t>
      </w:r>
      <w:r>
        <w:t xml:space="preserve">R.18. VADOC concedes this, as it must,</w:t>
      </w:r>
      <w:r>
        <w:t xml:space="preserve"> </w:t>
      </w:r>
      <w:r>
        <w:rPr>
          <w:i/>
          <w:iCs/>
        </w:rPr>
        <w:t xml:space="preserve">see</w:t>
      </w:r>
      <w:r>
        <w:t xml:space="preserve"> </w:t>
      </w:r>
      <w:r>
        <w:t xml:space="preserve">Appellee Br. 21–22, because it confirmed their authenticity and responsiveness in its circuit court brief, R.86–87 &amp; n.5, and because the circuit court considered the recordings at the hearing without objection from either party,</w:t>
      </w:r>
      <w:r>
        <w:t xml:space="preserve"> </w:t>
      </w:r>
      <w:r>
        <w:rPr>
          <w:i/>
          <w:iCs/>
        </w:rPr>
        <w:t xml:space="preserve">see, e.g.</w:t>
      </w:r>
      <w:r>
        <w:t xml:space="preserve">, R.200–01.</w:t>
      </w:r>
      <w:r>
        <w:rPr>
          <w:rStyle w:val="FootnoteReference"/>
        </w:rPr>
        <w:footnoteReference w:id="23"/>
      </w:r>
      <w:r>
        <w:t xml:space="preserve"> </w:t>
      </w:r>
      <w:r>
        <w:t xml:space="preserve">VADOC’s acknowledgment that Mr. Fulmer was “present,” Appellee Br. 20 n.4, only makes matters worse, given that the circuit court was required to find that VADOC carried its burden to prove “by a preponderance of the evidence” that the asserted exemption applied. Va. Code § 2.2-⁠3713(E).</w:t>
      </w:r>
    </w:p>
    <w:p>
      <w:pPr>
        <w:pStyle w:val="BodyTextNote"/>
      </w:pPr>
      <w:r>
        <w:t xml:space="preserve">The parties agree that the applicable standard of review for this assignment of error is whether the circuit court was “plainly wrong or without evidence to support” its findings of fact. Opening Br. 10–11 (citing</w:t>
      </w:r>
      <w:r>
        <w:t xml:space="preserve"> </w:t>
      </w:r>
      <w:r>
        <w:rPr>
          <w:i/>
          <w:iCs/>
        </w:rPr>
        <w:t xml:space="preserve">Suffolk City Sch. Bd. v. Wahlstrom</w:t>
      </w:r>
      <w:r>
        <w:t xml:space="preserve">, 302 Va. 188, 15–16 (2023)); Appellee Br. 16. The four recordings in evidence demonstrate that the circuit court was plainly wrong to find that “the entire contents of the audio recordings fall within the scope of [Va.] Code § 2.2-⁠3706(B)⁠(4).”</w:t>
      </w:r>
      <w:r>
        <w:t xml:space="preserve"> </w:t>
      </w:r>
      <w:r>
        <w:rPr>
          <w:i/>
          <w:iCs/>
        </w:rPr>
        <w:t xml:space="preserve">See</w:t>
      </w:r>
      <w:r>
        <w:t xml:space="preserve"> </w:t>
      </w:r>
      <w:r>
        <w:t xml:space="preserve">R.168 ¶ 5. Instead, the recordings contain descriptions of government action both inside and outside of the execution chamber.</w:t>
      </w:r>
      <w:r>
        <w:rPr>
          <w:rStyle w:val="FootnoteReference"/>
        </w:rPr>
        <w:footnoteReference w:id="24"/>
      </w:r>
      <w:r>
        <w:t xml:space="preserve"> </w:t>
      </w:r>
      <w:r>
        <w:t xml:space="preserve">They also do not “begin[] when the witnesses enter the room adjoining the execution chamber, and end[] after time of death is announced.”</w:t>
      </w:r>
      <w:r>
        <w:rPr>
          <w:rStyle w:val="FootnoteReference"/>
        </w:rPr>
        <w:footnoteReference w:id="25"/>
      </w:r>
      <w:r>
        <w:t xml:space="preserve"> </w:t>
      </w:r>
      <w:r>
        <w:rPr>
          <w:i/>
          <w:iCs/>
        </w:rPr>
        <w:t xml:space="preserve">See</w:t>
      </w:r>
      <w:r>
        <w:t xml:space="preserve"> </w:t>
      </w:r>
      <w:r>
        <w:t xml:space="preserve">R.168 ¶ 3. These errant findings of fact cannot support withholding the records under the Records of Persons Imprisoned Exemption.</w:t>
      </w:r>
    </w:p>
    <w:p>
      <w:pPr>
        <w:keepNext/>
        <w:keepLines/>
        <w:spacing w:before="336" w:after="224" w:line="322" w:lineRule="exact"/>
        <w:ind w:left="720" w:hanging="720"/>
        <w:jc w:val="left"/>
      </w:pPr>
      <w:r>
        <w:rPr>
          <w:b/>
          <w:bCs/>
        </w:rPr>
        <w:t xml:space="preserve">III.</w:t>
      </w:r>
      <w:r>
        <w:rPr>
          <w:b/>
          <w:bCs/>
        </w:rPr>
        <w:t xml:space="preserve"> </w:t>
      </w:r>
      <w:r>
        <w:rPr>
          <w:b/>
          <w:bCs/>
        </w:rPr>
        <w:t xml:space="preserve">VADOC</w:t>
      </w:r>
      <w:r>
        <w:rPr>
          <w:b/>
          <w:bCs/>
        </w:rPr>
        <w:t xml:space="preserve"> </w:t>
      </w:r>
      <w:r>
        <w:rPr>
          <w:b/>
          <w:bCs/>
        </w:rPr>
        <w:t xml:space="preserve">is</w:t>
      </w:r>
      <w:r>
        <w:rPr>
          <w:b/>
          <w:bCs/>
        </w:rPr>
        <w:t xml:space="preserve"> </w:t>
      </w:r>
      <w:r>
        <w:rPr>
          <w:b/>
          <w:bCs/>
        </w:rPr>
        <w:t xml:space="preserve">required</w:t>
      </w:r>
      <w:r>
        <w:rPr>
          <w:b/>
          <w:bCs/>
        </w:rPr>
        <w:t xml:space="preserve"> </w:t>
      </w:r>
      <w:r>
        <w:rPr>
          <w:b/>
          <w:bCs/>
        </w:rPr>
        <w:t xml:space="preserve">to</w:t>
      </w:r>
      <w:r>
        <w:rPr>
          <w:b/>
          <w:bCs/>
        </w:rPr>
        <w:t xml:space="preserve"> </w:t>
      </w:r>
      <w:r>
        <w:rPr>
          <w:b/>
          <w:bCs/>
        </w:rPr>
        <w:t xml:space="preserve">produce</w:t>
      </w:r>
      <w:r>
        <w:rPr>
          <w:b/>
          <w:bCs/>
        </w:rPr>
        <w:t xml:space="preserve"> </w:t>
      </w:r>
      <w:r>
        <w:rPr>
          <w:b/>
          <w:bCs/>
        </w:rPr>
        <w:t xml:space="preserve">non-exempt</w:t>
      </w:r>
      <w:r>
        <w:rPr>
          <w:b/>
          <w:bCs/>
        </w:rPr>
        <w:t xml:space="preserve"> </w:t>
      </w:r>
      <w:r>
        <w:rPr>
          <w:b/>
          <w:bCs/>
        </w:rPr>
        <w:t xml:space="preserve">portions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requested</w:t>
      </w:r>
      <w:r>
        <w:rPr>
          <w:b/>
          <w:bCs/>
        </w:rPr>
        <w:t xml:space="preserve"> </w:t>
      </w:r>
      <w:r>
        <w:rPr>
          <w:b/>
          <w:bCs/>
        </w:rPr>
        <w:t xml:space="preserve">records</w:t>
      </w:r>
      <w:r>
        <w:rPr>
          <w:b/>
          <w:bCs/>
        </w:rPr>
        <w:t xml:space="preserve"> </w:t>
      </w:r>
      <w:r>
        <w:rPr>
          <w:b/>
          <w:bCs/>
        </w:rPr>
        <w:t xml:space="preserve">under</w:t>
      </w:r>
      <w:r>
        <w:rPr>
          <w:b/>
          <w:bCs/>
        </w:rPr>
        <w:t xml:space="preserve"> </w:t>
      </w:r>
      <w:r>
        <w:rPr>
          <w:b/>
          <w:bCs/>
        </w:rPr>
        <w:t xml:space="preserve">any</w:t>
      </w:r>
      <w:r>
        <w:rPr>
          <w:b/>
          <w:bCs/>
        </w:rPr>
        <w:t xml:space="preserve"> </w:t>
      </w:r>
      <w:r>
        <w:rPr>
          <w:b/>
          <w:bCs/>
        </w:rPr>
        <w:t xml:space="preserve">construction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(AOE</w:t>
        <w:noBreakHyphen/>
        <w:t xml:space="preserve">3).</w:t>
      </w:r>
    </w:p>
    <w:p>
      <w:pPr>
        <w:pStyle w:val="BodyText"/>
      </w:pPr>
      <w:r>
        <w:t xml:space="preserve">VADOC’s bald assertion that the General Assembly’s FOIA amendments “didn’t actually overturn anything,” Appellee Br. 28, clashes with the amendment’s text. 2016 Va. Acts ch. 620,</w:t>
      </w:r>
      <w:r>
        <w:t xml:space="preserve"> </w:t>
      </w:r>
      <w:r>
        <w:t xml:space="preserve">1264 (“[T]he provisions of this act are declaratory of the law as[] existed prior to the September 17, 2015 decision of the Supreme Court of Virginia in [Surovell].”). It is also at odds with the view of the Virginia Supreme Court.</w:t>
      </w:r>
      <w:r>
        <w:t xml:space="preserve"> </w:t>
      </w:r>
      <w:r>
        <w:rPr>
          <w:i/>
          <w:iCs/>
        </w:rPr>
        <w:t xml:space="preserve">Hawkins</w:t>
      </w:r>
      <w:r>
        <w:rPr>
          <w:i/>
          <w:iCs/>
        </w:rPr>
        <w:t xml:space="preserve"> </w:t>
      </w:r>
      <w:r>
        <w:rPr>
          <w:i/>
          <w:iCs/>
        </w:rPr>
        <w:t xml:space="preserve">v. Town of South Hill</w:t>
      </w:r>
      <w:r>
        <w:t xml:space="preserve">, 301 Va. 416, 428 (2022) (“[T]he General Assembly enacted a right of redaction, intended to reverse this Court’s [Surovell] decision.”). It is true that the General Assembly did not amend § 2.2-⁠3706(B)⁠(4)</w:t>
      </w:r>
      <w:r>
        <w:t xml:space="preserve"> </w:t>
      </w:r>
      <w:r>
        <w:t xml:space="preserve">in 2016—it did not need to. Instead, the General Assembly created a blanket rule that touched every VFOIA exemption and allowed for partial redaction and release of public records.</w:t>
      </w:r>
    </w:p>
    <w:p>
      <w:pPr>
        <w:pStyle w:val="BodyText"/>
      </w:pPr>
      <w:r>
        <w:t xml:space="preserve">Here, that rule requires VADOC to release any portions of the audio tapes that are (i) not “records of persons imprisoned” and/​or (ii) not “related to the imprisonment.” VADOC recognizes as much, conceding that if portions of the recordings do not “relate to” an inmate’s imprisonment, those portions would be subject to redaction and release.</w:t>
      </w:r>
      <w:r>
        <w:t xml:space="preserve"> </w:t>
      </w:r>
      <w:r>
        <w:rPr>
          <w:i/>
          <w:iCs/>
        </w:rPr>
        <w:t xml:space="preserve">See</w:t>
      </w:r>
      <w:r>
        <w:t xml:space="preserve"> </w:t>
      </w:r>
      <w:r>
        <w:t xml:space="preserve">Appellee Br. 24, n.6. But contrary to VADOC’s assertion, Appellants have not abandoned any argument with respect to redaction.</w:t>
      </w:r>
      <w:r>
        <w:t xml:space="preserve"> </w:t>
      </w:r>
      <w:r>
        <w:rPr>
          <w:i/>
          <w:iCs/>
        </w:rPr>
        <w:t xml:space="preserve">Id.</w:t>
      </w:r>
      <w:r>
        <w:t xml:space="preserve"> </w:t>
      </w:r>
      <w:r>
        <w:t xml:space="preserve">While Appellants do not press their prior textual argument that execution is distinct from imprisonment as a matter of law, R.55, to the extent an exemption applies, the lower court must still take evidence to determine what portions of the tapes can be properly exempted. This includes a determination of which portions relate to imprisonment and which do not. That process has not happened yet because, as explained</w:t>
      </w:r>
      <w:r>
        <w:t xml:space="preserve"> </w:t>
      </w:r>
      <w:r>
        <w:rPr>
          <w:i/>
          <w:iCs/>
        </w:rPr>
        <w:t xml:space="preserve">supra</w:t>
      </w:r>
      <w:r>
        <w:t xml:space="preserve">, the circuit court directed VADOC to only present legal argument.</w:t>
      </w:r>
    </w:p>
    <w:p>
      <w:pPr>
        <w:pStyle w:val="BodyTextNote"/>
      </w:pPr>
      <w:r>
        <w:t xml:space="preserve">The FOIA Advisory Council did not opine that exemptions may be “categorical” in the sense meant by VADOC.</w:t>
      </w:r>
      <w:r>
        <w:t xml:space="preserve"> </w:t>
      </w:r>
      <w:r>
        <w:rPr>
          <w:i/>
          <w:iCs/>
        </w:rPr>
        <w:t xml:space="preserve">See</w:t>
      </w:r>
      <w:r>
        <w:t xml:space="preserve"> </w:t>
      </w:r>
      <w:r>
        <w:t xml:space="preserve">Appellee Br. 25. Rather, that body’s nonbinding opinion about school records suggests that wholesale withholding is only appropriate if even near-total redaction would still lead to the disclosure of exempt portions of a record. FOIA Advisory Opinion AO</w:t>
      </w:r>
      <w:r>
        <w:noBreakHyphen/>
      </w:r>
      <w:r>
        <w:t xml:space="preserve">03</w:t>
      </w:r>
      <w:r>
        <w:noBreakHyphen/>
      </w:r>
      <w:r>
        <w:t xml:space="preserve">19</w:t>
      </w:r>
      <w:r>
        <w:t xml:space="preserve"> </w:t>
      </w:r>
      <w:r>
        <w:t xml:space="preserve">(Apr. 3, 2019) (“FOIA allows for the redaction or removal of exempt information from a record that would otherwise be nonexempt, if that information were not present.”) (emphasis added). In the case of student test scores, redaction was not sufficient; even without a name attached, a score remained specific scholastic information regarding a particular student’s academic work.</w:t>
      </w:r>
      <w:r>
        <w:t xml:space="preserve"> </w:t>
      </w:r>
      <w:r>
        <w:rPr>
          <w:i/>
          <w:iCs/>
        </w:rPr>
        <w:t xml:space="preserve">Id.</w:t>
      </w:r>
      <w:r>
        <w:rPr>
          <w:rStyle w:val="FootnoteReference"/>
        </w:rPr>
        <w:footnoteReference w:id="26"/>
      </w:r>
    </w:p>
    <w:p>
      <w:pPr>
        <w:pStyle w:val="BodyTextNote"/>
      </w:pPr>
      <w:r>
        <w:t xml:space="preserve">But in this case, even under VADOC’s asserted statutory construction, a factfinding court would reach the opposite result. The recordings obtained by Ms. Eisner, R.18, show that VADOC’s recordings contain ample information not about an inmate at all, nor that inmate’s imprisonment. Opening Br. 6–7, 12, 17. Rather, they contain information about VADOC and the actions it took.</w:t>
      </w:r>
      <w:r>
        <w:t xml:space="preserve"> </w:t>
      </w:r>
      <w:r>
        <w:rPr>
          <w:i/>
          <w:iCs/>
        </w:rPr>
        <w:t xml:space="preserve">Id.</w:t>
      </w:r>
      <w:r>
        <w:rPr>
          <w:rStyle w:val="FootnoteReference"/>
        </w:rPr>
        <w:footnoteReference w:id="27"/>
      </w:r>
      <w:r>
        <w:t xml:space="preserve"> </w:t>
      </w:r>
      <w:r>
        <w:t xml:space="preserve">In sum, it is clear that “entire content” of the requested recordings cannot be exempted by the Records of Persons Imprisoned Exemption. Va. Code § 2.2-⁠3704.01.</w:t>
      </w:r>
    </w:p>
    <w:p>
      <w:pPr>
        <w:keepNext/>
        <w:keepLines/>
        <w:spacing w:before="336" w:after="224" w:line="322" w:lineRule="exact"/>
        <w:ind w:left="720" w:hanging="720"/>
        <w:jc w:val="left"/>
      </w:pPr>
      <w:r>
        <w:rPr>
          <w:b/>
          <w:bCs/>
        </w:rPr>
        <w:t xml:space="preserve">IV.</w:t>
      </w:r>
      <w:r>
        <w:rPr>
          <w:b/>
          <w:bCs/>
        </w:rPr>
        <w:t xml:space="preserve"> </w:t>
      </w:r>
      <w:r>
        <w:rPr>
          <w:b/>
          <w:bCs/>
        </w:rPr>
        <w:t xml:space="preserve">None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other</w:t>
      </w:r>
      <w:r>
        <w:rPr>
          <w:b/>
          <w:bCs/>
        </w:rPr>
        <w:t xml:space="preserve"> </w:t>
      </w:r>
      <w:r>
        <w:rPr>
          <w:b/>
          <w:bCs/>
        </w:rPr>
        <w:t xml:space="preserve">exemptions</w:t>
      </w:r>
      <w:r>
        <w:rPr>
          <w:b/>
          <w:bCs/>
        </w:rPr>
        <w:t xml:space="preserve"> </w:t>
      </w:r>
      <w:r>
        <w:rPr>
          <w:b/>
          <w:bCs/>
        </w:rPr>
        <w:t xml:space="preserve">relied</w:t>
      </w:r>
      <w:r>
        <w:rPr>
          <w:b/>
          <w:bCs/>
        </w:rPr>
        <w:t xml:space="preserve"> </w:t>
      </w:r>
      <w:r>
        <w:rPr>
          <w:b/>
          <w:bCs/>
        </w:rPr>
        <w:t xml:space="preserve">upon</w:t>
      </w:r>
      <w:r>
        <w:rPr>
          <w:b/>
          <w:bCs/>
        </w:rPr>
        <w:t xml:space="preserve"> </w:t>
      </w:r>
      <w:r>
        <w:rPr>
          <w:b/>
          <w:bCs/>
        </w:rPr>
        <w:t xml:space="preserve">by</w:t>
      </w:r>
      <w:r>
        <w:rPr>
          <w:b/>
          <w:bCs/>
        </w:rPr>
        <w:t xml:space="preserve"> </w:t>
      </w:r>
      <w:r>
        <w:rPr>
          <w:b/>
          <w:bCs/>
        </w:rPr>
        <w:t xml:space="preserve">VADOC</w:t>
      </w:r>
      <w:r>
        <w:rPr>
          <w:b/>
          <w:bCs/>
        </w:rPr>
        <w:t xml:space="preserve"> </w:t>
      </w:r>
      <w:r>
        <w:rPr>
          <w:b/>
          <w:bCs/>
        </w:rPr>
        <w:t xml:space="preserve">justify</w:t>
      </w:r>
      <w:r>
        <w:rPr>
          <w:b/>
          <w:bCs/>
        </w:rPr>
        <w:t xml:space="preserve"> </w:t>
      </w:r>
      <w:r>
        <w:rPr>
          <w:b/>
          <w:bCs/>
        </w:rPr>
        <w:t xml:space="preserve">the</w:t>
      </w:r>
      <w:r>
        <w:rPr>
          <w:b/>
          <w:bCs/>
        </w:rPr>
        <w:t xml:space="preserve"> </w:t>
      </w:r>
      <w:r>
        <w:rPr>
          <w:b/>
          <w:bCs/>
        </w:rPr>
        <w:t xml:space="preserve">complete</w:t>
      </w:r>
      <w:r>
        <w:rPr>
          <w:b/>
          <w:bCs/>
        </w:rPr>
        <w:t xml:space="preserve"> </w:t>
      </w:r>
      <w:r>
        <w:rPr>
          <w:b/>
          <w:bCs/>
        </w:rPr>
        <w:t xml:space="preserve">withholding</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requested</w:t>
      </w:r>
      <w:r>
        <w:rPr>
          <w:b/>
          <w:bCs/>
        </w:rPr>
        <w:t xml:space="preserve"> </w:t>
      </w:r>
      <w:r>
        <w:rPr>
          <w:b/>
          <w:bCs/>
        </w:rPr>
        <w:t xml:space="preserve">records</w:t>
      </w:r>
      <w:r>
        <w:rPr>
          <w:b/>
          <w:bCs/>
        </w:rPr>
        <w:t xml:space="preserve"> </w:t>
      </w:r>
      <w:r>
        <w:rPr>
          <w:b/>
          <w:bCs/>
        </w:rPr>
        <w:t xml:space="preserve">(AOE</w:t>
        <w:noBreakHyphen/>
        <w:t xml:space="preserve">4).</w:t>
      </w:r>
    </w:p>
    <w:p>
      <w:pPr>
        <w:pStyle w:val="BodyText"/>
      </w:pPr>
      <w:r>
        <w:t xml:space="preserve">The parties agree that if this Court does not find that the other exemptions relied on by VADOC are inapplicable as a matter of law, it must remand for determination of the extent that those exemptions apply.</w:t>
      </w:r>
      <w:r>
        <w:t xml:space="preserve"> </w:t>
      </w:r>
      <w:r>
        <w:rPr>
          <w:i/>
          <w:iCs/>
        </w:rPr>
        <w:t xml:space="preserve">See</w:t>
      </w:r>
      <w:r>
        <w:t xml:space="preserve"> </w:t>
      </w:r>
      <w:r>
        <w:t xml:space="preserve">Appellee Br. 31. But VADOC’s cases do not demonstrate that these exemptions would apply, even with a full fact record.</w:t>
      </w:r>
    </w:p>
    <w:p>
      <w:pPr>
        <w:pStyle w:val="BodyText"/>
      </w:pPr>
      <w:r>
        <w:t xml:space="preserve">First, Appellees discuss a purported historical tradition of concealing executioners’ identities to help them avoid retaliation. Opening Br. 33–34 (citing</w:t>
      </w:r>
      <w:r>
        <w:t xml:space="preserve"> </w:t>
      </w:r>
      <w:r>
        <w:rPr>
          <w:i/>
          <w:iCs/>
        </w:rPr>
        <w:t xml:space="preserve">Owens</w:t>
      </w:r>
      <w:r>
        <w:rPr>
          <w:i/>
          <w:iCs/>
        </w:rPr>
        <w:t xml:space="preserve"> </w:t>
      </w:r>
      <w:r>
        <w:rPr>
          <w:i/>
          <w:iCs/>
        </w:rPr>
        <w:t xml:space="preserve">v. Hill</w:t>
      </w:r>
      <w:r>
        <w:t xml:space="preserve">, 295 Ga. 302 (2014)). The Plaintiffs in</w:t>
      </w:r>
      <w:r>
        <w:t xml:space="preserve"> </w:t>
      </w:r>
      <w:r>
        <w:rPr>
          <w:i/>
          <w:iCs/>
        </w:rPr>
        <w:t xml:space="preserve">Owens</w:t>
      </w:r>
      <w:r>
        <w:t xml:space="preserve"> </w:t>
      </w:r>
      <w:r>
        <w:t xml:space="preserve">advanced a claim that concealing the identities of executioners was itself unconstitutional; they sought the identities of certain manufacturers of lethal injection drugs.</w:t>
      </w:r>
      <w:r>
        <w:t xml:space="preserve"> </w:t>
      </w:r>
      <w:r>
        <w:rPr>
          <w:i/>
          <w:iCs/>
        </w:rPr>
        <w:t xml:space="preserve">Owens</w:t>
      </w:r>
      <w:r>
        <w:t xml:space="preserve">, 295 Ga. at 309. This case is different. There is no evidence to suggest that any tape reveals the identity of an executioner, even if the names of administrative VADOC employees are occasionally spoken. R.200. But if, on remand, VADOC can demonstrate by a preponderance of evidence that an executioner is named in an unreleased tape, Appellants have already agreed that name can be redacted. R.42:16–20.</w:t>
      </w:r>
    </w:p>
    <w:p>
      <w:pPr>
        <w:pStyle w:val="BodyText"/>
      </w:pPr>
      <w:r>
        <w:t xml:space="preserve">Second, Appellants’ demonstration that</w:t>
      </w:r>
      <w:r>
        <w:t xml:space="preserve"> </w:t>
      </w:r>
      <w:r>
        <w:rPr>
          <w:i/>
          <w:iCs/>
        </w:rPr>
        <w:t xml:space="preserve">Hawkins</w:t>
      </w:r>
      <w:r>
        <w:t xml:space="preserve">, 301 Va. 416, precludes application of Va. Code § 2.2-⁠3705.1(1)</w:t>
      </w:r>
      <w:r>
        <w:t xml:space="preserve"> </w:t>
      </w:r>
      <w:r>
        <w:t xml:space="preserve">(the “Personnel Information Exemption”) is not impacted by</w:t>
      </w:r>
      <w:r>
        <w:t xml:space="preserve"> </w:t>
      </w:r>
      <w:r>
        <w:rPr>
          <w:i/>
          <w:iCs/>
        </w:rPr>
        <w:t xml:space="preserve">ACLU v. Federal</w:t>
      </w:r>
      <w:r>
        <w:rPr>
          <w:i/>
          <w:iCs/>
        </w:rPr>
        <w:t xml:space="preserve"> </w:t>
      </w:r>
      <w:r>
        <w:rPr>
          <w:i/>
          <w:iCs/>
        </w:rPr>
        <w:t xml:space="preserve">Bureau of Prisons</w:t>
      </w:r>
      <w:r>
        <w:t xml:space="preserve">, No. 20</w:t>
      </w:r>
      <w:r>
        <w:noBreakHyphen/>
      </w:r>
      <w:r>
        <w:t xml:space="preserve">2320, 2022 U.S. Dist. LEXIS 213748 (D.D.C. Nov. 28, 2022), or</w:t>
      </w:r>
      <w:r>
        <w:t xml:space="preserve"> </w:t>
      </w:r>
      <w:r>
        <w:rPr>
          <w:i/>
          <w:iCs/>
        </w:rPr>
        <w:t xml:space="preserve">Cameranesi</w:t>
      </w:r>
      <w:r>
        <w:rPr>
          <w:i/>
          <w:iCs/>
        </w:rPr>
        <w:t xml:space="preserve"> </w:t>
      </w:r>
      <w:r>
        <w:rPr>
          <w:i/>
          <w:iCs/>
        </w:rPr>
        <w:t xml:space="preserve">v. U.S. Department of Defense</w:t>
      </w:r>
      <w:r>
        <w:t xml:space="preserve">, 856 F.3d 626, 638 (9th Cir. 2017).</w:t>
      </w:r>
      <w:r>
        <w:t xml:space="preserve"> </w:t>
      </w:r>
      <w:r>
        <w:rPr>
          <w:i/>
          <w:iCs/>
        </w:rPr>
        <w:t xml:space="preserve">See</w:t>
      </w:r>
      <w:r>
        <w:t xml:space="preserve"> </w:t>
      </w:r>
      <w:r>
        <w:t xml:space="preserve">Appellee Br. 37. These cases involved application of federal FOIA exemptions 5 U.S.C. § 552(b)⁠(6)</w:t>
      </w:r>
      <w:r>
        <w:t xml:space="preserve"> </w:t>
      </w:r>
      <w:r>
        <w:t xml:space="preserve">and (b)⁠(7), which are different in substance, subject to different binding appellate authority, and require a less substantial evidentiary showing than VFOIA’s Personnel Information Exemption.</w:t>
      </w:r>
      <w:r>
        <w:t xml:space="preserve"> </w:t>
      </w:r>
      <w:r>
        <w:rPr>
          <w:i/>
          <w:iCs/>
        </w:rPr>
        <w:t xml:space="preserve">Compare Hawkins</w:t>
      </w:r>
      <w:r>
        <w:t xml:space="preserve">, 301 Va. at 432 (accord Va. Code §§ 2.2-⁠3705.1(1)</w:t>
      </w:r>
      <w:r>
        <w:t xml:space="preserve"> </w:t>
      </w:r>
      <w:r>
        <w:t xml:space="preserve">and 2.2</w:t>
      </w:r>
      <w:r>
        <w:noBreakHyphen/>
      </w:r>
      <w:r>
        <w:t xml:space="preserve">3713(E))</w:t>
      </w:r>
      <w:r>
        <w:t xml:space="preserve"> </w:t>
      </w:r>
      <w:r>
        <w:t xml:space="preserve">(agency must demonstrate by preponderance of evidence that certain individual’s information is “in the possession of the [public] entity solely because of the individual’s employment relationship with the entity, and ⁠. ⁠. ⁠. are private, but for the individual’s employment with the entity”)</w:t>
      </w:r>
      <w:r>
        <w:t xml:space="preserve"> </w:t>
      </w:r>
      <w:r>
        <w:rPr>
          <w:i/>
          <w:iCs/>
        </w:rPr>
        <w:t xml:space="preserve">with Cameranesi</w:t>
      </w:r>
      <w:r>
        <w:t xml:space="preserve">, 856 F.3d at 637 (court may rely on agency’s assessment of “the potential” for “possible embarrassment and retaliatory action”).</w:t>
      </w:r>
    </w:p>
    <w:p>
      <w:pPr>
        <w:pStyle w:val="BodyText"/>
      </w:pPr>
      <w:r>
        <w:t xml:space="preserve">Finally, HIPAA and federal regulations involving health records have no relevance here.</w:t>
      </w:r>
      <w:r>
        <w:t xml:space="preserve"> </w:t>
      </w:r>
      <w:r>
        <w:rPr>
          <w:i/>
          <w:iCs/>
        </w:rPr>
        <w:t xml:space="preserve">See</w:t>
      </w:r>
      <w:r>
        <w:t xml:space="preserve"> </w:t>
      </w:r>
      <w:r>
        <w:t xml:space="preserve">Appellee Br. 38 n.10. Appellants do not argue that legitimate health records become “un-exempt” after an individual’s death. Rather, Va. Code § 2.2-⁠3705.5(1)</w:t>
      </w:r>
      <w:r>
        <w:t xml:space="preserve"> </w:t>
      </w:r>
      <w:r>
        <w:t xml:space="preserve">(the “Health Records Exemption”) is inapplicable to the records sought because they are simply not “health records,” and, in any event, VADOC is not a “health care entity,” and thus cannot claim the exemption. Opening Br. 34–35.</w:t>
      </w:r>
    </w:p>
    <w:p>
      <w:pPr>
        <w:keepNext/>
        <w:keepLines/>
        <w:spacing w:before="448" w:after="336" w:line="322" w:lineRule="exact"/>
        <w:ind w:left="0" w:firstLine="0"/>
        <w:jc w:val="center"/>
      </w:pPr>
      <w:r>
        <w:rPr>
          <w:b/>
          <w:bCs/>
        </w:rPr>
        <w:t xml:space="preserve">CONCLUSION</w:t>
      </w:r>
    </w:p>
    <w:p>
      <w:pPr>
        <w:pStyle w:val="BodyText"/>
      </w:pPr>
      <w:r>
        <w:t xml:space="preserve">Appellants respectfully ask this Court to reverse the circuit court and order VADOC to produce the requested records and pay Appellants’ costs. In the alternative, to the extent necessary, the Court should vacate and remand for factfinding.</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u w:val="single"/>
              </w:rPr>
              <w:t xml:space="preserve">/s/</w:t>
            </w:r>
            <w:r>
              <w:rPr>
                <w:u w:val="single"/>
              </w:rPr>
              <w:t xml:space="preserve"> </w:t>
            </w:r>
            <w:r>
              <w:rPr>
                <w:i/>
                <w:iCs/>
                <w:u w:val="single"/>
              </w:rPr>
              <w:t xml:space="preserve">Lin</w:t>
            </w:r>
            <w:r>
              <w:rPr>
                <w:i/>
                <w:iCs/>
                <w:u w:val="single"/>
              </w:rPr>
              <w:t xml:space="preserve"> </w:t>
            </w:r>
            <w:r>
              <w:rPr>
                <w:i/>
                <w:iCs/>
                <w:u w:val="single"/>
              </w:rPr>
              <w:t xml:space="preserve">Weeks</w:t>
            </w:r>
          </w:p>
          <w:p>
            <w:pPr>
              <w:spacing w:before="0" w:after="0" w:line="322" w:lineRule="exact"/>
              <w:ind w:left="4608" w:firstLine="0"/>
              <w:jc w:val="left"/>
            </w:pPr>
            <w:r>
              <w:t xml:space="preserve">Lin</w:t>
            </w:r>
            <w:r>
              <w:t xml:space="preserve"> </w:t>
            </w:r>
            <w:r>
              <w:t xml:space="preserve">Weeks</w:t>
            </w:r>
          </w:p>
          <w:p>
            <w:pPr>
              <w:spacing w:before="0" w:after="0" w:line="322" w:lineRule="exact"/>
              <w:ind w:left="4608" w:firstLine="0"/>
              <w:jc w:val="left"/>
            </w:pPr>
            <w:r>
              <w:t xml:space="preserve">VA</w:t>
            </w:r>
            <w:r>
              <w:t xml:space="preserve"> </w:t>
            </w:r>
            <w:r>
              <w:t xml:space="preserve">Bar</w:t>
            </w:r>
            <w:r>
              <w:t xml:space="preserve"> </w:t>
            </w:r>
            <w:r>
              <w:t xml:space="preserve">No.</w:t>
            </w:r>
            <w:r>
              <w:t xml:space="preserve"> </w:t>
            </w:r>
            <w:r>
              <w:t xml:space="preserve">97351</w:t>
            </w:r>
          </w:p>
          <w:p>
            <w:pPr>
              <w:spacing w:before="0" w:after="0" w:line="322" w:lineRule="exact"/>
              <w:ind w:left="4608" w:firstLine="0"/>
              <w:jc w:val="left"/>
            </w:pPr>
            <w:r>
              <w:t xml:space="preserve">Gabriel</w:t>
            </w:r>
            <w:r>
              <w:t xml:space="preserve"> </w:t>
            </w:r>
            <w:r>
              <w:t xml:space="preserve">Rottman,</w:t>
            </w:r>
            <w:r>
              <w:t xml:space="preserve"> </w:t>
            </w:r>
            <w:r>
              <w:rPr>
                <w:i/>
                <w:iCs/>
              </w:rPr>
              <w:t xml:space="preserve">pro</w:t>
            </w:r>
            <w:r>
              <w:rPr>
                <w:i/>
                <w:iCs/>
              </w:rPr>
              <w:t xml:space="preserve"> </w:t>
            </w:r>
            <w:r>
              <w:rPr>
                <w:i/>
                <w:iCs/>
              </w:rPr>
              <w:t xml:space="preserve">hac</w:t>
            </w:r>
            <w:r>
              <w:rPr>
                <w:i/>
                <w:iCs/>
              </w:rPr>
              <w:t xml:space="preserve"> </w:t>
            </w:r>
            <w:r>
              <w:rPr>
                <w:i/>
                <w:iCs/>
              </w:rPr>
              <w:t xml:space="preserve">vice</w:t>
            </w:r>
          </w:p>
          <w:p>
            <w:pPr>
              <w:spacing w:before="0" w:after="0" w:line="322" w:lineRule="exact"/>
              <w:ind w:left="4608" w:firstLine="0"/>
              <w:jc w:val="left"/>
            </w:pPr>
            <w:r>
              <w:t xml:space="preserve">UNIVERSITY</w:t>
            </w:r>
            <w:r>
              <w:t xml:space="preserve"> </w:t>
            </w:r>
            <w:r>
              <w:t xml:space="preserve">OF</w:t>
            </w:r>
            <w:r>
              <w:t xml:space="preserve"> </w:t>
            </w:r>
            <w:r>
              <w:t xml:space="preserve">VIRGINIA</w:t>
            </w:r>
            <w:r>
              <w:t xml:space="preserve"> </w:t>
            </w:r>
            <w:r>
              <w:t xml:space="preserve">SCHOOL</w:t>
            </w:r>
            <w:r>
              <w:t xml:space="preserve"> </w:t>
            </w:r>
            <w:r>
              <w:t xml:space="preserve">OF</w:t>
            </w:r>
            <w:r>
              <w:t xml:space="preserve"> </w:t>
            </w:r>
            <w:r>
              <w:t xml:space="preserve">LAW</w:t>
            </w:r>
          </w:p>
          <w:p>
            <w:pPr>
              <w:spacing w:before="0" w:after="0" w:line="322" w:lineRule="exact"/>
              <w:ind w:left="4608" w:firstLine="0"/>
              <w:jc w:val="left"/>
            </w:pPr>
            <w:r>
              <w:t xml:space="preserve">FIRST</w:t>
            </w:r>
            <w:r>
              <w:t xml:space="preserve"> </w:t>
            </w:r>
            <w:r>
              <w:t xml:space="preserve">AMENDMENT</w:t>
            </w:r>
            <w:r>
              <w:t xml:space="preserve"> </w:t>
            </w:r>
            <w:r>
              <w:t xml:space="preserve">CLINIC</w:t>
            </w:r>
          </w:p>
          <w:p>
            <w:pPr>
              <w:spacing w:before="0" w:after="0" w:line="322" w:lineRule="exact"/>
              <w:ind w:left="4608" w:firstLine="0"/>
              <w:jc w:val="left"/>
            </w:pPr>
            <w:r>
              <w:t xml:space="preserve">1156</w:t>
            </w:r>
            <w:r>
              <w:t xml:space="preserve"> </w:t>
            </w:r>
            <w:r>
              <w:t xml:space="preserve">15th</w:t>
            </w:r>
            <w:r>
              <w:t xml:space="preserve"> </w:t>
            </w:r>
            <w:r>
              <w:t xml:space="preserve">Street</w:t>
            </w:r>
            <w:r>
              <w:t xml:space="preserve"> </w:t>
            </w:r>
            <w:r>
              <w:t xml:space="preserve">NW,</w:t>
            </w:r>
            <w:r>
              <w:t xml:space="preserve"> </w:t>
            </w:r>
            <w:r>
              <w:t xml:space="preserve">Suite</w:t>
            </w:r>
            <w:r>
              <w:t xml:space="preserve"> </w:t>
            </w:r>
            <w:r>
              <w:t xml:space="preserve">1020</w:t>
            </w:r>
          </w:p>
          <w:p>
            <w:pPr>
              <w:spacing w:before="0" w:after="0" w:line="322" w:lineRule="exact"/>
              <w:ind w:left="4608" w:firstLine="0"/>
              <w:jc w:val="left"/>
            </w:pPr>
            <w:r>
              <w:t xml:space="preserve">Washington,</w:t>
            </w:r>
            <w:r>
              <w:t xml:space="preserve"> </w:t>
            </w:r>
            <w:r>
              <w:t xml:space="preserve">D.C.</w:t>
            </w:r>
            <w:r>
              <w:t xml:space="preserve"> </w:t>
            </w:r>
            <w:r>
              <w:t xml:space="preserve">20005</w:t>
            </w:r>
          </w:p>
          <w:p>
            <w:pPr>
              <w:spacing w:before="0" w:after="0" w:line="322" w:lineRule="exact"/>
              <w:ind w:left="4608" w:firstLine="0"/>
              <w:jc w:val="left"/>
            </w:pPr>
            <w:r>
              <w:t xml:space="preserve">Tel:</w:t>
            </w:r>
            <w:r>
              <w:t xml:space="preserve"> </w:t>
            </w:r>
            <w:r>
              <w:t xml:space="preserve">(202)</w:t>
            </w:r>
            <w:r>
              <w:t xml:space="preserve"> </w:t>
            </w:r>
            <w:r>
              <w:t xml:space="preserve">800</w:t>
              <w:noBreakHyphen/>
              <w:t xml:space="preserve">3533</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p>
        </w:tc>
      </w:tr>
    </w:tbl>
    <w:p>
      <w:pPr>
        <w:pageBreakBefore/>
        <w:spacing w:before="0" w:after="0" w:line="1" w:lineRule="exact"/>
      </w:pPr>
    </w:p>
    <w:p>
      <w:pPr>
        <w:spacing w:before="0" w:after="336" w:line="322" w:lineRule="exact"/>
        <w:ind w:left="0" w:firstLine="0"/>
        <w:jc w:val="center"/>
      </w:pPr>
      <w:r>
        <w:rPr>
          <w:b/>
          <w:bCs/>
        </w:rPr>
        <w:t xml:space="preserve">CERTIFICATE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March</w:t>
      </w:r>
      <w:r>
        <w:t xml:space="preserve"> </w:t>
      </w:r>
      <w:r>
        <w:t xml:space="preserve">11,</w:t>
      </w:r>
      <w:r>
        <w:t xml:space="preserve"> </w:t>
      </w:r>
      <w:r>
        <w:t xml:space="preserve">2024,</w:t>
      </w:r>
      <w:r>
        <w:t xml:space="preserve"> </w:t>
      </w:r>
      <w:r>
        <w:t xml:space="preserve">this</w:t>
      </w:r>
      <w:r>
        <w:t xml:space="preserve"> </w:t>
      </w:r>
      <w:r>
        <w:t xml:space="preserve">document</w:t>
      </w:r>
      <w:r>
        <w:t xml:space="preserve"> </w:t>
      </w:r>
      <w:r>
        <w:t xml:space="preserve">was</w:t>
      </w:r>
      <w:r>
        <w:t xml:space="preserve"> </w:t>
      </w:r>
      <w:r>
        <w:t xml:space="preserve">filed</w:t>
      </w:r>
      <w:r>
        <w:t xml:space="preserve"> </w:t>
      </w:r>
      <w:r>
        <w:t xml:space="preserve">electronically</w:t>
      </w:r>
      <w:r>
        <w:t xml:space="preserve"> </w:t>
      </w:r>
      <w:r>
        <w:t xml:space="preserve">with</w:t>
      </w:r>
      <w:r>
        <w:t xml:space="preserve"> </w:t>
      </w:r>
      <w:r>
        <w:t xml:space="preserve">the</w:t>
      </w:r>
      <w:r>
        <w:t xml:space="preserve"> </w:t>
      </w:r>
      <w:r>
        <w:t xml:space="preserve">Court</w:t>
      </w:r>
      <w:r>
        <w:t xml:space="preserve"> </w:t>
      </w:r>
      <w:r>
        <w:t xml:space="preserve">through</w:t>
      </w:r>
      <w:r>
        <w:t xml:space="preserve"> </w:t>
      </w:r>
      <w:r>
        <w:t xml:space="preserve">VACES,</w:t>
      </w:r>
      <w:r>
        <w:t xml:space="preserve"> </w:t>
      </w:r>
      <w:r>
        <w:t xml:space="preserve">and</w:t>
      </w:r>
      <w:r>
        <w:t xml:space="preserve"> </w:t>
      </w:r>
      <w:r>
        <w:t xml:space="preserve">transmitted</w:t>
      </w:r>
      <w:r>
        <w:t xml:space="preserve"> </w:t>
      </w:r>
      <w:r>
        <w:t xml:space="preserve">by</w:t>
      </w:r>
      <w:r>
        <w:t xml:space="preserve"> </w:t>
      </w:r>
      <w:r>
        <w:t xml:space="preserve">email</w:t>
      </w:r>
      <w:r>
        <w:t xml:space="preserve"> </w:t>
      </w:r>
      <w:r>
        <w:t xml:space="preserve">to:</w:t>
      </w:r>
      <w:r>
        <w:t xml:space="preserve"> </w:t>
      </w:r>
      <w:r>
        <w:t xml:space="preserve">Margaret</w:t>
      </w:r>
      <w:r>
        <w:t xml:space="preserve"> </w:t>
      </w:r>
      <w:r>
        <w:t xml:space="preserve">Hoehl</w:t>
      </w:r>
      <w:r>
        <w:t xml:space="preserve"> </w:t>
      </w:r>
      <w:r>
        <w:t xml:space="preserve">O’Shea,</w:t>
      </w:r>
      <w:r>
        <w:t xml:space="preserve"> </w:t>
      </w: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202</w:t>
      </w:r>
      <w:r>
        <w:t xml:space="preserve"> </w:t>
      </w:r>
      <w:r>
        <w:t xml:space="preserve">North</w:t>
      </w:r>
      <w:r>
        <w:t xml:space="preserve"> </w:t>
      </w:r>
      <w:r>
        <w:t xml:space="preserve">Ninth</w:t>
      </w:r>
      <w:r>
        <w:t xml:space="preserve"> </w:t>
      </w:r>
      <w:r>
        <w:t xml:space="preserve">Street,</w:t>
      </w:r>
      <w:r>
        <w:t xml:space="preserve"> </w:t>
      </w:r>
      <w:r>
        <w:t xml:space="preserve">Richmond,</w:t>
      </w:r>
      <w:r>
        <w:t xml:space="preserve"> </w:t>
      </w:r>
      <w:r>
        <w:t xml:space="preserve">VA</w:t>
      </w:r>
      <w:r>
        <w:t xml:space="preserve"> </w:t>
      </w:r>
      <w:r>
        <w:t xml:space="preserve">23219,</w:t>
      </w:r>
      <w:r>
        <w:t xml:space="preserve"> </w:t>
      </w:r>
      <w:r>
        <w:t xml:space="preserve">MOShea@oag.state.va.us,</w:t>
      </w:r>
      <w:r>
        <w:t xml:space="preserve"> </w:t>
      </w:r>
      <w:r>
        <w:rPr>
          <w:i/>
          <w:iCs/>
        </w:rPr>
        <w:t xml:space="preserve">Counsel</w:t>
      </w:r>
      <w:r>
        <w:rPr>
          <w:i/>
          <w:iCs/>
        </w:rPr>
        <w:t xml:space="preserve"> </w:t>
      </w:r>
      <w:r>
        <w:rPr>
          <w:i/>
          <w:iCs/>
        </w:rPr>
        <w:t xml:space="preserve">for</w:t>
      </w:r>
      <w:r>
        <w:rPr>
          <w:i/>
          <w:iCs/>
        </w:rPr>
        <w:t xml:space="preserve"> </w:t>
      </w:r>
      <w:r>
        <w:rPr>
          <w:i/>
          <w:iCs/>
        </w:rPr>
        <w:t xml:space="preserve">Appellee</w:t>
      </w:r>
      <w:r>
        <w:t xml:space="preserve">;</w:t>
      </w:r>
      <w:r>
        <w:t xml:space="preserve"> </w:t>
      </w:r>
      <w:r>
        <w:t xml:space="preserve">and</w:t>
      </w:r>
      <w:r>
        <w:t xml:space="preserve"> </w:t>
      </w:r>
      <w:r>
        <w:t xml:space="preserve">Alia</w:t>
      </w:r>
      <w:r>
        <w:t xml:space="preserve"> </w:t>
      </w:r>
      <w:r>
        <w:t xml:space="preserve">Smith,</w:t>
      </w:r>
      <w:r>
        <w:t xml:space="preserve"> </w:t>
      </w:r>
      <w:r>
        <w:t xml:space="preserve">Ballard</w:t>
      </w:r>
      <w:r>
        <w:t xml:space="preserve"> </w:t>
      </w:r>
      <w:r>
        <w:t xml:space="preserve">Spahr</w:t>
      </w:r>
      <w:r>
        <w:t xml:space="preserve"> </w:t>
      </w:r>
      <w:r>
        <w:t xml:space="preserve">LLP,</w:t>
      </w:r>
      <w:r>
        <w:t xml:space="preserve"> </w:t>
      </w:r>
      <w:r>
        <w:t xml:space="preserve">1909</w:t>
      </w:r>
      <w:r>
        <w:t xml:space="preserve"> </w:t>
      </w:r>
      <w:r>
        <w:t xml:space="preserve">K</w:t>
      </w:r>
      <w:r>
        <w:t xml:space="preserve"> </w:t>
      </w:r>
      <w:r>
        <w:t xml:space="preserve">St.,</w:t>
      </w:r>
      <w:r>
        <w:t xml:space="preserve"> </w:t>
      </w:r>
      <w:r>
        <w:t xml:space="preserve">NW,</w:t>
      </w:r>
      <w:r>
        <w:t xml:space="preserve"> </w:t>
      </w:r>
      <w:r>
        <w:t xml:space="preserve">12th</w:t>
      </w:r>
      <w:r>
        <w:t xml:space="preserve"> </w:t>
      </w:r>
      <w:r>
        <w:t xml:space="preserve">Floor,</w:t>
      </w:r>
      <w:r>
        <w:t xml:space="preserve"> </w:t>
      </w:r>
      <w:r>
        <w:t xml:space="preserve">Washington,</w:t>
      </w:r>
      <w:r>
        <w:t xml:space="preserve"> </w:t>
      </w:r>
      <w:r>
        <w:t xml:space="preserve">D.C.</w:t>
      </w:r>
      <w:r>
        <w:t xml:space="preserve"> </w:t>
      </w:r>
      <w:r>
        <w:t xml:space="preserve">20006,</w:t>
      </w:r>
      <w:r>
        <w:t xml:space="preserve"> </w:t>
      </w:r>
      <w:r>
        <w:t xml:space="preserve">smithalia@ballardspahr.com,</w:t>
      </w:r>
      <w:r>
        <w:t xml:space="preserve"> </w:t>
      </w:r>
      <w:r>
        <w:rPr>
          <w:i/>
          <w:iCs/>
        </w:rPr>
        <w:t xml:space="preserve">Counsel</w:t>
      </w:r>
      <w:r>
        <w:rPr>
          <w:i/>
          <w:iCs/>
        </w:rPr>
        <w:t xml:space="preserve"> </w:t>
      </w:r>
      <w:r>
        <w:rPr>
          <w:i/>
          <w:iCs/>
        </w:rPr>
        <w:t xml:space="preserve">for</w:t>
      </w:r>
      <w:r>
        <w:rPr>
          <w:i/>
          <w:iCs/>
        </w:rPr>
        <w:t xml:space="preserve"> </w:t>
      </w:r>
      <w:r>
        <w:rPr>
          <w:i/>
          <w:iCs/>
        </w:rPr>
        <w:t xml:space="preserve">Amici</w:t>
      </w:r>
      <w:r>
        <w:rPr>
          <w:i/>
          <w:iCs/>
        </w:rPr>
        <w:t xml:space="preserve"> </w:t>
      </w:r>
      <w:r>
        <w:rPr>
          <w:i/>
          <w:iCs/>
        </w:rPr>
        <w:t xml:space="preserve">Curiae</w:t>
      </w:r>
      <w:r>
        <w:t xml:space="preserve">.</w:t>
      </w:r>
    </w:p>
    <w:p>
      <w:pPr>
        <w:spacing w:before="0" w:after="0" w:line="644" w:lineRule="exact"/>
        <w:ind w:left="0" w:firstLine="720"/>
        <w:jc w:val="left"/>
      </w:pPr>
      <w:r>
        <w:t xml:space="preserve">Appellants</w:t>
      </w:r>
      <w:r>
        <w:t xml:space="preserve"> </w:t>
      </w:r>
      <w:r>
        <w:t xml:space="preserve">request</w:t>
      </w:r>
      <w:r>
        <w:t xml:space="preserve"> </w:t>
      </w:r>
      <w:r>
        <w:t xml:space="preserve">oral</w:t>
      </w:r>
      <w:r>
        <w:t xml:space="preserve"> </w:t>
      </w:r>
      <w:r>
        <w:t xml:space="preserve">argument.</w:t>
      </w:r>
    </w:p>
    <w:p>
      <w:pPr>
        <w:spacing w:before="0" w:after="0" w:line="644" w:lineRule="exact"/>
        <w:ind w:left="0" w:firstLine="720"/>
        <w:jc w:val="left"/>
      </w:pPr>
      <w:r>
        <w:t xml:space="preserve">This</w:t>
      </w:r>
      <w:r>
        <w:t xml:space="preserve"> </w:t>
      </w:r>
      <w:r>
        <w:t xml:space="preserve">brief</w:t>
      </w:r>
      <w:r>
        <w:t xml:space="preserve"> </w:t>
      </w:r>
      <w:r>
        <w:t xml:space="preserve">contains</w:t>
      </w:r>
      <w:r>
        <w:t xml:space="preserve"> </w:t>
      </w:r>
      <w:r>
        <w:t xml:space="preserve">3,705</w:t>
      </w:r>
      <w:r>
        <w:t xml:space="preserve"> </w:t>
      </w:r>
      <w:r>
        <w:t xml:space="preserve">words,</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blocks,</w:t>
      </w:r>
      <w:r>
        <w:t xml:space="preserve"> </w:t>
      </w:r>
      <w:r>
        <w:t xml:space="preserve">and</w:t>
      </w:r>
      <w:r>
        <w:t xml:space="preserve"> </w:t>
      </w:r>
      <w:r>
        <w:t xml:space="preserve">this</w:t>
      </w:r>
      <w:r>
        <w:t xml:space="preserve"> </w:t>
      </w:r>
      <w:r>
        <w:t xml:space="preserve">certificate.</w:t>
      </w:r>
      <w:r>
        <w:t xml:space="preserve"> </w:t>
      </w:r>
      <w:r>
        <w:t xml:space="preserve">Headings,</w:t>
      </w:r>
      <w:r>
        <w:t xml:space="preserve"> </w:t>
      </w:r>
      <w:r>
        <w:t xml:space="preserve">footnotes,</w:t>
      </w:r>
      <w:r>
        <w:t xml:space="preserve"> </w:t>
      </w:r>
      <w:r>
        <w:t xml:space="preserve">and</w:t>
      </w:r>
      <w:r>
        <w:t xml:space="preserve"> </w:t>
      </w:r>
      <w:r>
        <w:t xml:space="preserve">quotations</w:t>
      </w:r>
      <w:r>
        <w:t xml:space="preserve"> </w:t>
      </w:r>
      <w:r>
        <w:t xml:space="preserve">are</w:t>
      </w:r>
      <w:r>
        <w:t xml:space="preserve"> </w:t>
      </w:r>
      <w:r>
        <w:t xml:space="preserve">included</w:t>
      </w:r>
      <w:r>
        <w:t xml:space="preserve"> </w:t>
      </w:r>
      <w:r>
        <w:t xml:space="preserve">in</w:t>
      </w:r>
      <w:r>
        <w:t xml:space="preserve"> </w:t>
      </w:r>
      <w:r>
        <w:t xml:space="preserve">the</w:t>
      </w:r>
      <w:r>
        <w:t xml:space="preserve"> </w:t>
      </w:r>
      <w:r>
        <w:t xml:space="preserve">count.</w:t>
      </w:r>
    </w:p>
    <w:p>
      <w:pPr>
        <w:spacing w:before="0" w:after="0" w:line="9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u w:val="single"/>
              </w:rPr>
              <w:t xml:space="preserve">/s/</w:t>
            </w:r>
            <w:r>
              <w:rPr>
                <w:u w:val="single"/>
              </w:rPr>
              <w:t xml:space="preserve"> </w:t>
            </w:r>
            <w:r>
              <w:rPr>
                <w:i/>
                <w:iCs/>
                <w:u w:val="single"/>
              </w:rPr>
              <w:t xml:space="preserve">Lin</w:t>
            </w:r>
            <w:r>
              <w:rPr>
                <w:i/>
                <w:iCs/>
                <w:u w:val="single"/>
              </w:rPr>
              <w:t xml:space="preserve"> </w:t>
            </w:r>
            <w:r>
              <w:rPr>
                <w:i/>
                <w:iCs/>
                <w:u w:val="single"/>
              </w:rPr>
              <w:t xml:space="preserve">Weeks</w:t>
            </w:r>
          </w:p>
          <w:p>
            <w:pPr>
              <w:spacing w:before="0" w:after="0" w:line="322" w:lineRule="exact"/>
              <w:ind w:left="4608" w:firstLine="0"/>
              <w:jc w:val="left"/>
            </w:pPr>
            <w:r>
              <w:t xml:space="preserve">Lin</w:t>
            </w:r>
            <w:r>
              <w:t xml:space="preserve"> </w:t>
            </w:r>
            <w:r>
              <w:t xml:space="preserve">Weeks</w:t>
            </w:r>
          </w:p>
          <w:p>
            <w:pPr>
              <w:spacing w:before="0" w:after="0" w:line="322" w:lineRule="exact"/>
              <w:ind w:left="4608" w:firstLine="0"/>
              <w:jc w:val="left"/>
            </w:pPr>
            <w:r>
              <w:t xml:space="preserve">VA</w:t>
            </w:r>
            <w:r>
              <w:t xml:space="preserve"> </w:t>
            </w:r>
            <w:r>
              <w:t xml:space="preserve">Bar</w:t>
            </w:r>
            <w:r>
              <w:t xml:space="preserve"> </w:t>
            </w:r>
            <w:r>
              <w:t xml:space="preserve">No.</w:t>
            </w:r>
            <w:r>
              <w:t xml:space="preserve"> </w:t>
            </w:r>
            <w:r>
              <w:t xml:space="preserve">97351</w:t>
            </w:r>
          </w:p>
          <w:p>
            <w:pPr>
              <w:spacing w:before="0" w:after="0" w:line="322" w:lineRule="exact"/>
              <w:ind w:left="4608" w:firstLine="0"/>
              <w:jc w:val="left"/>
            </w:pPr>
            <w:r>
              <w:t xml:space="preserve">Gabriel</w:t>
            </w:r>
            <w:r>
              <w:t xml:space="preserve"> </w:t>
            </w:r>
            <w:r>
              <w:t xml:space="preserve">Rottman,</w:t>
            </w:r>
            <w:r>
              <w:t xml:space="preserve"> </w:t>
            </w:r>
            <w:r>
              <w:rPr>
                <w:i/>
                <w:iCs/>
              </w:rPr>
              <w:t xml:space="preserve">pro</w:t>
            </w:r>
            <w:r>
              <w:rPr>
                <w:i/>
                <w:iCs/>
              </w:rPr>
              <w:t xml:space="preserve"> </w:t>
            </w:r>
            <w:r>
              <w:rPr>
                <w:i/>
                <w:iCs/>
              </w:rPr>
              <w:t xml:space="preserve">hac</w:t>
            </w:r>
            <w:r>
              <w:rPr>
                <w:i/>
                <w:iCs/>
              </w:rPr>
              <w:t xml:space="preserve"> </w:t>
            </w:r>
            <w:r>
              <w:rPr>
                <w:i/>
                <w:iCs/>
              </w:rPr>
              <w:t xml:space="preserve">vice</w:t>
            </w:r>
          </w:p>
          <w:p>
            <w:pPr>
              <w:spacing w:before="0" w:after="0" w:line="322" w:lineRule="exact"/>
              <w:ind w:left="4608" w:firstLine="0"/>
              <w:jc w:val="left"/>
            </w:pPr>
            <w:r>
              <w:t xml:space="preserve">UNIVERSITY</w:t>
            </w:r>
            <w:r>
              <w:t xml:space="preserve"> </w:t>
            </w:r>
            <w:r>
              <w:t xml:space="preserve">OF</w:t>
            </w:r>
            <w:r>
              <w:t xml:space="preserve"> </w:t>
            </w:r>
            <w:r>
              <w:t xml:space="preserve">VIRGINIA</w:t>
            </w:r>
            <w:r>
              <w:t xml:space="preserve"> </w:t>
            </w:r>
            <w:r>
              <w:t xml:space="preserve">SCHOOL</w:t>
            </w:r>
            <w:r>
              <w:t xml:space="preserve"> </w:t>
            </w:r>
            <w:r>
              <w:t xml:space="preserve">OF</w:t>
            </w:r>
            <w:r>
              <w:t xml:space="preserve"> </w:t>
            </w:r>
            <w:r>
              <w:t xml:space="preserve">LAW</w:t>
            </w:r>
          </w:p>
          <w:p>
            <w:pPr>
              <w:spacing w:before="0" w:after="0" w:line="322" w:lineRule="exact"/>
              <w:ind w:left="4608" w:firstLine="0"/>
              <w:jc w:val="left"/>
            </w:pPr>
            <w:r>
              <w:t xml:space="preserve">FIRST</w:t>
            </w:r>
            <w:r>
              <w:t xml:space="preserve"> </w:t>
            </w:r>
            <w:r>
              <w:t xml:space="preserve">AMENDMENT</w:t>
            </w:r>
            <w:r>
              <w:t xml:space="preserve"> </w:t>
            </w:r>
            <w:r>
              <w:t xml:space="preserve">CLINIC</w:t>
            </w:r>
          </w:p>
          <w:p>
            <w:pPr>
              <w:spacing w:before="0" w:after="0" w:line="322" w:lineRule="exact"/>
              <w:ind w:left="4608" w:firstLine="0"/>
              <w:jc w:val="left"/>
            </w:pPr>
            <w:r>
              <w:t xml:space="preserve">1156</w:t>
            </w:r>
            <w:r>
              <w:t xml:space="preserve"> </w:t>
            </w:r>
            <w:r>
              <w:t xml:space="preserve">15th</w:t>
            </w:r>
            <w:r>
              <w:t xml:space="preserve"> </w:t>
            </w:r>
            <w:r>
              <w:t xml:space="preserve">Street</w:t>
            </w:r>
            <w:r>
              <w:t xml:space="preserve"> </w:t>
            </w:r>
            <w:r>
              <w:t xml:space="preserve">NW,</w:t>
            </w:r>
            <w:r>
              <w:t xml:space="preserve"> </w:t>
            </w:r>
            <w:r>
              <w:t xml:space="preserve">Suite</w:t>
            </w:r>
            <w:r>
              <w:t xml:space="preserve"> </w:t>
            </w:r>
            <w:r>
              <w:t xml:space="preserve">1020</w:t>
            </w:r>
          </w:p>
          <w:p>
            <w:pPr>
              <w:spacing w:before="0" w:after="0" w:line="322" w:lineRule="exact"/>
              <w:ind w:left="4608" w:firstLine="0"/>
              <w:jc w:val="left"/>
            </w:pPr>
            <w:r>
              <w:t xml:space="preserve">Washington,</w:t>
            </w:r>
            <w:r>
              <w:t xml:space="preserve"> </w:t>
            </w:r>
            <w:r>
              <w:t xml:space="preserve">D.C.</w:t>
            </w:r>
            <w:r>
              <w:t xml:space="preserve"> </w:t>
            </w:r>
            <w:r>
              <w:t xml:space="preserve">20005</w:t>
            </w:r>
          </w:p>
          <w:p>
            <w:pPr>
              <w:spacing w:before="0" w:after="0" w:line="322" w:lineRule="exact"/>
              <w:ind w:left="4608" w:firstLine="0"/>
              <w:jc w:val="left"/>
            </w:pPr>
            <w:r>
              <w:t xml:space="preserve">Tel:</w:t>
            </w:r>
            <w:r>
              <w:t xml:space="preserve"> </w:t>
            </w:r>
            <w:r>
              <w:t xml:space="preserve">(202)</w:t>
            </w:r>
            <w:r>
              <w:t xml:space="preserve"> </w:t>
            </w:r>
            <w:r>
              <w:t xml:space="preserve">800</w:t>
              <w:noBreakHyphen/>
              <w:t xml:space="preserve">3533</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Elsewhere, VADOC argues that the phrase “of persons imprisoned” means “about,” “connected with,” or “as concerns” persons imprisoned. Appellee Br. at 8 (internal citations omitted). These terms are synonymous with “related to,” which the General Assembly used in the very same sentence. Yet the rules of surplusage and consistent usage dictate that “of” and “relate to” must have distinct meaning in the statute. Opening Br. 19–20. VADOC concedes as much through its citations to</w:t>
      </w:r>
      <w:r>
        <w:t xml:space="preserve"> </w:t>
      </w:r>
      <w:r>
        <w:rPr>
          <w:i/>
          <w:iCs/>
        </w:rPr>
        <w:t xml:space="preserve">Newton v.</w:t>
      </w:r>
      <w:r>
        <w:rPr>
          <w:i/>
          <w:iCs/>
        </w:rPr>
        <w:t xml:space="preserve"> </w:t>
      </w:r>
      <w:r>
        <w:rPr>
          <w:i/>
          <w:iCs/>
        </w:rPr>
        <w:t xml:space="preserve">Commonwealth</w:t>
      </w:r>
      <w:r>
        <w:t xml:space="preserve">, 21 Va. App. 86, 89 (1995) and</w:t>
      </w:r>
      <w:r>
        <w:t xml:space="preserve"> </w:t>
      </w:r>
      <w:r>
        <w:rPr>
          <w:i/>
          <w:iCs/>
        </w:rPr>
        <w:t xml:space="preserve">Sandidge</w:t>
      </w:r>
      <w:r>
        <w:rPr>
          <w:i/>
          <w:iCs/>
        </w:rPr>
        <w:t xml:space="preserve"> </w:t>
      </w:r>
      <w:r>
        <w:rPr>
          <w:i/>
          <w:iCs/>
        </w:rPr>
        <w:t xml:space="preserve">v. Commonwealth</w:t>
      </w:r>
      <w:r>
        <w:t xml:space="preserve">, 67 Va. App. 150, 159 (2016).</w:t>
      </w:r>
      <w:r>
        <w:t xml:space="preserve"> </w:t>
      </w:r>
      <w:r>
        <w:rPr>
          <w:i/>
          <w:iCs/>
        </w:rPr>
        <w:t xml:space="preserve">See</w:t>
      </w:r>
      <w:r>
        <w:t xml:space="preserve"> </w:t>
      </w:r>
      <w:r>
        <w:t xml:space="preserve">Appellee Br. 9.</w:t>
      </w:r>
    </w:p>
  </w:footnote>
  <w:footnote w:id="10">
    <w:p>
      <w:pPr>
        <w:pStyle w:val="FootnoteText"/>
      </w:pPr>
      <w:r>
        <w:rPr>
          <w:rStyle w:val="FootnoteReference"/>
        </w:rPr>
        <w:footnoteRef/>
      </w:r>
      <w:r>
        <w:t xml:space="preserve"> </w:t>
      </w:r>
      <w:r>
        <w:t xml:space="preserve">Available at https://​www.​opengovva.​org/​lee-​bhm-​v-​school-​board-​city-​richmondcircuit-​ct.</w:t>
      </w:r>
    </w:p>
  </w:footnote>
  <w:footnote w:id="11">
    <w:p>
      <w:pPr>
        <w:pStyle w:val="FootnoteText"/>
      </w:pPr>
      <w:r>
        <w:rPr>
          <w:rStyle w:val="FootnoteReference"/>
        </w:rPr>
        <w:footnoteRef/>
      </w:r>
      <w:r>
        <w:t xml:space="preserve"> </w:t>
      </w:r>
      <w:r>
        <w:t xml:space="preserve">The same logic holds for the “records of” parolees exempted by Va. Code § 2.2-⁠3706(B)⁠(6).</w:t>
      </w:r>
      <w:r>
        <w:t xml:space="preserve"> </w:t>
      </w:r>
      <w:r>
        <w:rPr>
          <w:i/>
          <w:iCs/>
        </w:rPr>
        <w:t xml:space="preserve">See</w:t>
      </w:r>
      <w:r>
        <w:t xml:space="preserve"> </w:t>
      </w:r>
      <w:r>
        <w:t xml:space="preserve">Opening Br. 16 n.24; Appellee Br. 9. That exemption is not “superfluous,” but rather excludes “probationer/​parolee student records,” and other information collected by VADOC from parolees from mandatory disclosure under VFOIA.</w:t>
      </w:r>
      <w:r>
        <w:t xml:space="preserve"> </w:t>
      </w:r>
      <w:r>
        <w:rPr>
          <w:i/>
          <w:iCs/>
        </w:rPr>
        <w:t xml:space="preserve">See</w:t>
      </w:r>
      <w:r>
        <w:t xml:space="preserve"> </w:t>
      </w:r>
      <w:r>
        <w:t xml:space="preserve">Va. Dep’t of Corrections, Inmate and Probationer/​Parole Records Management, Operating Procedure 050.1</w:t>
      </w:r>
      <w:r>
        <w:t xml:space="preserve"> </w:t>
      </w:r>
      <w:r>
        <w:t xml:space="preserve">(May 1, 2023), https://​perma.​cc/​6KRJ-​GPVX.</w:t>
      </w:r>
    </w:p>
  </w:footnote>
  <w:footnote w:id="12">
    <w:p>
      <w:pPr>
        <w:pStyle w:val="FootnoteText"/>
      </w:pPr>
      <w:r>
        <w:rPr>
          <w:rStyle w:val="FootnoteReference"/>
        </w:rPr>
        <w:footnoteRef/>
      </w:r>
      <w:r>
        <w:t xml:space="preserve"> </w:t>
      </w:r>
      <w:r>
        <w:t xml:space="preserve">Va. Dep’t of Corrections, Inmate and Probationer/​Parolee Correspondence, Operating Procedure 803.1</w:t>
      </w:r>
      <w:r>
        <w:t xml:space="preserve"> </w:t>
      </w:r>
      <w:r>
        <w:t xml:space="preserve">at 20 (Mar. 1, 2021), https://​perma.​cc/​C2RT-​R5AS.</w:t>
      </w:r>
    </w:p>
  </w:footnote>
  <w:footnote w:id="13">
    <w:p>
      <w:pPr>
        <w:pStyle w:val="FootnoteText"/>
      </w:pPr>
      <w:r>
        <w:rPr>
          <w:rStyle w:val="FootnoteReference"/>
        </w:rPr>
        <w:footnoteRef/>
      </w:r>
      <w:r>
        <w:t xml:space="preserve"> </w:t>
      </w:r>
      <w:r>
        <w:t xml:space="preserve">Va. Dep’t of Corrections, Inmate and CCAP Probationer/​Parolee Telephone Calls, Operating Procedure 803.3</w:t>
      </w:r>
      <w:r>
        <w:t xml:space="preserve"> </w:t>
      </w:r>
      <w:r>
        <w:t xml:space="preserve">at 7 (Mar. 1, 2023), https://​perma.​cc/​CK66WB98.</w:t>
      </w:r>
    </w:p>
  </w:footnote>
  <w:footnote w:id="14">
    <w:p>
      <w:pPr>
        <w:pStyle w:val="FootnoteText"/>
      </w:pPr>
      <w:r>
        <w:rPr>
          <w:rStyle w:val="FootnoteReference"/>
        </w:rPr>
        <w:footnoteRef/>
      </w:r>
      <w:r>
        <w:t xml:space="preserve"> </w:t>
      </w:r>
      <w:r>
        <w:t xml:space="preserve">This opinion, which involves an unrelated and dissimilar set of records, does not alter the de novo standard of review for statutory construction at issue in this case, despite Appellees’ claim otherwise.</w:t>
      </w:r>
      <w:r>
        <w:t xml:space="preserve"> </w:t>
      </w:r>
      <w:r>
        <w:rPr>
          <w:i/>
          <w:iCs/>
        </w:rPr>
        <w:t xml:space="preserve">See</w:t>
      </w:r>
      <w:r>
        <w:t xml:space="preserve"> </w:t>
      </w:r>
      <w:r>
        <w:t xml:space="preserve">Appellee Br. 13.</w:t>
      </w:r>
    </w:p>
  </w:footnote>
  <w:footnote w:id="15">
    <w:p>
      <w:pPr>
        <w:pStyle w:val="FootnoteText"/>
      </w:pPr>
      <w:r>
        <w:rPr>
          <w:rStyle w:val="FootnoteReference"/>
        </w:rPr>
        <w:footnoteRef/>
      </w:r>
      <w:r>
        <w:t xml:space="preserve"> </w:t>
      </w:r>
      <w:r>
        <w:t xml:space="preserve">Appellee’s non-binding cases do not override this statutory intent. Nor are they necessarily contrary.</w:t>
      </w:r>
      <w:r>
        <w:t xml:space="preserve"> </w:t>
      </w:r>
      <w:r>
        <w:rPr>
          <w:i/>
          <w:iCs/>
        </w:rPr>
        <w:t xml:space="preserve">Dallas v. Va.</w:t>
      </w:r>
      <w:r>
        <w:rPr>
          <w:i/>
          <w:iCs/>
        </w:rPr>
        <w:t xml:space="preserve"> </w:t>
      </w:r>
      <w:r>
        <w:rPr>
          <w:i/>
          <w:iCs/>
        </w:rPr>
        <w:t xml:space="preserve">Dep’t of Corrections</w:t>
      </w:r>
      <w:r>
        <w:t xml:space="preserve">, No. CL21</w:t>
      </w:r>
      <w:r>
        <w:noBreakHyphen/>
      </w:r>
      <w:r>
        <w:t xml:space="preserve">5564 (Norfolk Cir. Ct. Nov. 29, 2021), available at R.111–14, held only that certain records of a deceased inmate may still be subject to Va. Code § 2.2-⁠3706(B)⁠(4).</w:t>
      </w:r>
      <w:r>
        <w:t xml:space="preserve"> </w:t>
      </w:r>
      <w:r>
        <w:rPr>
          <w:i/>
          <w:iCs/>
        </w:rPr>
        <w:t xml:space="preserve">See</w:t>
      </w:r>
      <w:r>
        <w:t xml:space="preserve"> </w:t>
      </w:r>
      <w:r>
        <w:t xml:space="preserve">Appellee Br. 10. Likewise,</w:t>
      </w:r>
      <w:r>
        <w:t xml:space="preserve"> </w:t>
      </w:r>
      <w:r>
        <w:rPr>
          <w:i/>
          <w:iCs/>
        </w:rPr>
        <w:t xml:space="preserve">Estate of Cuffee</w:t>
      </w:r>
      <w:r>
        <w:rPr>
          <w:i/>
          <w:iCs/>
        </w:rPr>
        <w:t xml:space="preserve"> </w:t>
      </w:r>
      <w:r>
        <w:rPr>
          <w:i/>
          <w:iCs/>
        </w:rPr>
        <w:t xml:space="preserve">v. City of Chesapeake</w:t>
      </w:r>
      <w:r>
        <w:t xml:space="preserve">, No. 2:08-cv</w:t>
      </w:r>
      <w:r>
        <w:noBreakHyphen/>
      </w:r>
      <w:r>
        <w:t xml:space="preserve">329, 2009 U.S. Dist. LEXIS 144789, at *24 (E.D. Va. Aug. 4, 2009) involved a request for inmate health records, not records of VADOC action.</w:t>
      </w:r>
      <w:r>
        <w:t xml:space="preserve"> </w:t>
      </w:r>
      <w:r>
        <w:rPr>
          <w:i/>
          <w:iCs/>
        </w:rPr>
        <w:t xml:space="preserve">See</w:t>
      </w:r>
      <w:r>
        <w:t xml:space="preserve"> </w:t>
      </w:r>
      <w:r>
        <w:t xml:space="preserve">Def’s Mot. for Leave to File Early Discovery, Exhibit 1,</w:t>
      </w:r>
      <w:r>
        <w:t xml:space="preserve"> </w:t>
      </w:r>
      <w:r>
        <w:rPr>
          <w:i/>
          <w:iCs/>
        </w:rPr>
        <w:t xml:space="preserve">Estate of Cuffee</w:t>
      </w:r>
      <w:r>
        <w:rPr>
          <w:i/>
          <w:iCs/>
        </w:rPr>
        <w:t xml:space="preserve"> </w:t>
      </w:r>
      <w:r>
        <w:rPr>
          <w:i/>
          <w:iCs/>
        </w:rPr>
        <w:t xml:space="preserve">v. City of Chesapeake</w:t>
      </w:r>
      <w:r>
        <w:t xml:space="preserve">, No. 2:08-cv</w:t>
      </w:r>
      <w:r>
        <w:noBreakHyphen/>
      </w:r>
      <w:r>
        <w:t xml:space="preserve">329, ECF 12</w:t>
      </w:r>
      <w:r>
        <w:noBreakHyphen/>
      </w:r>
      <w:r>
        <w:t xml:space="preserve">1 (E.D. Va. Nov. 4, 2008).</w:t>
      </w:r>
    </w:p>
  </w:footnote>
  <w:footnote w:id="16">
    <w:p>
      <w:pPr>
        <w:pStyle w:val="FootnoteText"/>
      </w:pPr>
      <w:r>
        <w:rPr>
          <w:rStyle w:val="FootnoteReference"/>
        </w:rPr>
        <w:footnoteRef/>
      </w:r>
      <w:r>
        <w:t xml:space="preserve"> </w:t>
      </w:r>
      <w:r>
        <w:t xml:space="preserve">Available at https://​vadoc.​virginia.​gov/​media/​1940/​vadoc-​monthly-​populationreport-⁠2024-⁠01.​pdf.</w:t>
      </w:r>
    </w:p>
  </w:footnote>
  <w:footnote w:id="17">
    <w:p>
      <w:pPr>
        <w:pStyle w:val="FootnoteText"/>
      </w:pPr>
      <w:r>
        <w:rPr>
          <w:rStyle w:val="FootnoteReference"/>
        </w:rPr>
        <w:footnoteRef/>
      </w:r>
      <w:r>
        <w:t xml:space="preserve"> </w:t>
      </w:r>
      <w:r>
        <w:t xml:space="preserve">The affidavits are included in the appellate record because they are “documents and exhibits filed or lodged in the office of the clerk of the trial court,” Va. R. S. Ct. 5A:7(a)⁠(1), not as “exhibit[s] offered into evidence ⁠. ⁠. ⁠. and initialed by the trial judge,” Va. R. S. Ct. 5A:7(a)⁠(3). The suggestion that Appellants could have objected to the inclusion of part of a responsive brief in the appellate record is incorrect and unsupported.</w:t>
      </w:r>
      <w:r>
        <w:t xml:space="preserve"> </w:t>
      </w:r>
      <w:r>
        <w:rPr>
          <w:i/>
          <w:iCs/>
        </w:rPr>
        <w:t xml:space="preserve">See</w:t>
      </w:r>
      <w:r>
        <w:t xml:space="preserve"> </w:t>
      </w:r>
      <w:r>
        <w:t xml:space="preserve">Appellee Br. 19 n.3.</w:t>
      </w:r>
    </w:p>
  </w:footnote>
  <w:footnote w:id="18">
    <w:p>
      <w:pPr>
        <w:pStyle w:val="FootnoteText"/>
      </w:pPr>
      <w:r>
        <w:rPr>
          <w:rStyle w:val="FootnoteReference"/>
        </w:rPr>
        <w:footnoteRef/>
      </w:r>
      <w:r>
        <w:t xml:space="preserve"> </w:t>
      </w:r>
      <w:r>
        <w:t xml:space="preserve">As VADOC concedes,</w:t>
      </w:r>
      <w:r>
        <w:t xml:space="preserve"> </w:t>
      </w:r>
      <w:r>
        <w:rPr>
          <w:i/>
          <w:iCs/>
        </w:rPr>
        <w:t xml:space="preserve">see</w:t>
      </w:r>
      <w:r>
        <w:t xml:space="preserve"> </w:t>
      </w:r>
      <w:r>
        <w:t xml:space="preserve">Appellee Br. 17, this argument is set forth in Appellants’ Section II.B, the heading of which echoes Appellants’ Second Assignment of Error.</w:t>
      </w:r>
      <w:r>
        <w:t xml:space="preserve"> </w:t>
      </w:r>
      <w:r>
        <w:rPr>
          <w:i/>
          <w:iCs/>
        </w:rPr>
        <w:t xml:space="preserve">See</w:t>
      </w:r>
      <w:r>
        <w:t xml:space="preserve"> </w:t>
      </w:r>
      <w:r>
        <w:t xml:space="preserve">Opening Br. at 29–31. This complies with Va. Sup. Ct. R. 5A:20(e).</w:t>
      </w:r>
    </w:p>
  </w:footnote>
  <w:footnote w:id="19">
    <w:p>
      <w:pPr>
        <w:pStyle w:val="FootnoteText"/>
      </w:pPr>
      <w:r>
        <w:rPr>
          <w:rStyle w:val="FootnoteReference"/>
        </w:rPr>
        <w:footnoteRef/>
      </w:r>
      <w:r>
        <w:t xml:space="preserve"> </w:t>
      </w:r>
      <w:r>
        <w:rPr>
          <w:i/>
          <w:iCs/>
        </w:rPr>
        <w:t xml:space="preserve">See also</w:t>
      </w:r>
      <w:r>
        <w:t xml:space="preserve"> </w:t>
      </w:r>
      <w:r>
        <w:t xml:space="preserve">R.168:12–16 (“Well, does it matter ⁠. ⁠. ⁠. whether these individuals are available or not?”); R.171:7–12 (“[F]rom the Court’s point of view, as to most of the arguments made by ⁠. ⁠. ⁠. the Department, they’re all legal. There isn’t any factual basis for anything ⁠. ⁠. ⁠. ⁠.”) (emphasis added); R.172:19–73:6 (“I don’t think that’s a factual determination at all ⁠. ⁠. ⁠. ⁠. [It’s] just a matter of applying the existing statute in the law.”).</w:t>
      </w:r>
    </w:p>
  </w:footnote>
  <w:footnote w:id="20">
    <w:p>
      <w:pPr>
        <w:pStyle w:val="FootnoteText"/>
      </w:pPr>
      <w:r>
        <w:rPr>
          <w:rStyle w:val="FootnoteReference"/>
        </w:rPr>
        <w:footnoteRef/>
      </w:r>
      <w:r>
        <w:t xml:space="preserve"> </w:t>
      </w:r>
      <w:r>
        <w:t xml:space="preserve">VADOC’s claim that the relevant error was actually the circuit court’s “failure to strike” the affidavits from evidence,</w:t>
      </w:r>
      <w:r>
        <w:t xml:space="preserve"> </w:t>
      </w:r>
      <w:r>
        <w:rPr>
          <w:i/>
          <w:iCs/>
        </w:rPr>
        <w:t xml:space="preserve">see</w:t>
      </w:r>
      <w:r>
        <w:t xml:space="preserve"> </w:t>
      </w:r>
      <w:r>
        <w:t xml:space="preserve">Appellee Br. 19, is incorrect—the affidavits were never offered and thus could not be struck. Appellants did file a Motion to Strike pursuant to Va. Code § 8.01-⁠274, R.149–51; 205:1–17, but contrary to VADOC’s suggestion, that filing had nothing to with Appellants’ (separate) objection to the affidavits.</w:t>
      </w:r>
    </w:p>
  </w:footnote>
  <w:footnote w:id="21">
    <w:p>
      <w:pPr>
        <w:pStyle w:val="FootnoteText"/>
      </w:pPr>
      <w:r>
        <w:rPr>
          <w:rStyle w:val="FootnoteReference"/>
        </w:rPr>
        <w:footnoteRef/>
      </w:r>
      <w:r>
        <w:t xml:space="preserve"> </w:t>
      </w:r>
      <w:r>
        <w:t xml:space="preserve">VADOC purports confusion about whether Appellants’ second assignment of error involves only the lack of live oral testimony.</w:t>
      </w:r>
      <w:r>
        <w:t xml:space="preserve"> </w:t>
      </w:r>
      <w:r>
        <w:rPr>
          <w:i/>
          <w:iCs/>
        </w:rPr>
        <w:t xml:space="preserve">See</w:t>
      </w:r>
      <w:r>
        <w:t xml:space="preserve"> </w:t>
      </w:r>
      <w:r>
        <w:t xml:space="preserve">Appellee Br. 16. Obviously not. A court may “hear evidence” of many kinds—documentary evidence, oral testimony, stipulated or conceded facts, facts entered through judicial notice—at an aptly-named “hearing.”</w:t>
      </w:r>
    </w:p>
  </w:footnote>
  <w:footnote w:id="22">
    <w:p>
      <w:pPr>
        <w:pStyle w:val="FootnoteText"/>
      </w:pPr>
      <w:r>
        <w:rPr>
          <w:rStyle w:val="FootnoteReference"/>
        </w:rPr>
        <w:footnoteRef/>
      </w:r>
      <w:r>
        <w:t xml:space="preserve"> </w:t>
      </w:r>
      <w:r>
        <w:t xml:space="preserve">VADOC’s acknowledgment that Mr. Fulmer was “present,” Appellee Br. 20 n.4, only makes matters worse, given that the circuit court was required to find that VADOC carried its burden to prove “by a preponderance of the evidence” that the asserted exemption applied. Va. Code § 2.2-⁠3713(E).</w:t>
      </w:r>
    </w:p>
  </w:footnote>
  <w:footnote w:id="23">
    <w:p>
      <w:pPr>
        <w:pStyle w:val="FootnoteText"/>
      </w:pPr>
      <w:r>
        <w:rPr>
          <w:rStyle w:val="FootnoteReference"/>
        </w:rPr>
        <w:footnoteRef/>
      </w:r>
      <w:r>
        <w:t xml:space="preserve"> </w:t>
      </w:r>
      <w:r>
        <w:t xml:space="preserve">Appellee’s claim, just one page earlier, that Appellants did not offer evidence, Appellee Br. 20, is thus incorrect.</w:t>
      </w:r>
      <w:r>
        <w:t xml:space="preserve"> </w:t>
      </w:r>
      <w:r>
        <w:rPr>
          <w:i/>
          <w:iCs/>
        </w:rPr>
        <w:t xml:space="preserve">Moore v. Maroney</w:t>
      </w:r>
      <w:r>
        <w:t xml:space="preserve">, 258 Va. 21 (1999) is not on point,</w:t>
      </w:r>
      <w:r>
        <w:t xml:space="preserve"> </w:t>
      </w:r>
      <w:r>
        <w:rPr>
          <w:i/>
          <w:iCs/>
        </w:rPr>
        <w:t xml:space="preserve">see</w:t>
      </w:r>
      <w:r>
        <w:t xml:space="preserve"> </w:t>
      </w:r>
      <w:r>
        <w:t xml:space="preserve">Appellee Br. at 20, because the Court was able to review four recordings that were responsive to Appellants’ request. Still, review of a subset of the requested records still does not enable the court to make findings of fact regarding “each” of the remaining recordings.</w:t>
      </w:r>
      <w:r>
        <w:t xml:space="preserve"> </w:t>
      </w:r>
      <w:r>
        <w:rPr>
          <w:i/>
          <w:iCs/>
        </w:rPr>
        <w:t xml:space="preserve">See</w:t>
      </w:r>
      <w:r>
        <w:t xml:space="preserve"> </w:t>
      </w:r>
      <w:r>
        <w:t xml:space="preserve">R.152 ¶ 3.</w:t>
      </w:r>
    </w:p>
  </w:footnote>
  <w:footnote w:id="24">
    <w:p>
      <w:pPr>
        <w:pStyle w:val="FootnoteText"/>
      </w:pPr>
      <w:r>
        <w:rPr>
          <w:rStyle w:val="FootnoteReference"/>
        </w:rPr>
        <w:footnoteRef/>
      </w:r>
      <w:r>
        <w:t xml:space="preserve"> </w:t>
      </w:r>
      <w:r>
        <w:rPr>
          <w:i/>
          <w:iCs/>
        </w:rPr>
        <w:t xml:space="preserve">See</w:t>
      </w:r>
      <w:r>
        <w:t xml:space="preserve"> </w:t>
      </w:r>
      <w:r>
        <w:t xml:space="preserve">Opening Br. 17 n.26 (listing examples).</w:t>
      </w:r>
    </w:p>
  </w:footnote>
  <w:footnote w:id="25">
    <w:p>
      <w:pPr>
        <w:pStyle w:val="FootnoteText"/>
      </w:pPr>
      <w:r>
        <w:rPr>
          <w:rStyle w:val="FootnoteReference"/>
        </w:rPr>
        <w:footnoteRef/>
      </w:r>
      <w:r>
        <w:t xml:space="preserve"> </w:t>
      </w:r>
      <w:r>
        <w:rPr>
          <w:i/>
          <w:iCs/>
        </w:rPr>
        <w:t xml:space="preserve">See, e.g.</w:t>
      </w:r>
      <w:r>
        <w:t xml:space="preserve">, R.18, Ex. A at 0:00–12:50 (all before the inmate enters the chamber); R.18, Ex. A at 17:53–22:29 (reflecting the end of electrocution, the pronouncement of death, and concluding with the departure of the witnesses).</w:t>
      </w:r>
    </w:p>
  </w:footnote>
  <w:footnote w:id="26">
    <w:p>
      <w:pPr>
        <w:pStyle w:val="FootnoteText"/>
      </w:pPr>
      <w:r>
        <w:rPr>
          <w:rStyle w:val="FootnoteReference"/>
        </w:rPr>
        <w:footnoteRef/>
      </w:r>
      <w:r>
        <w:t xml:space="preserve"> </w:t>
      </w:r>
      <w:r>
        <w:t xml:space="preserve">Notably, the exemption at issue in that Advisory Opinion involved “records ⁠. ⁠. ⁠. concerning identifiable individuals,” not “records of students.”</w:t>
      </w:r>
      <w:r>
        <w:t xml:space="preserve"> </w:t>
      </w:r>
      <w:r>
        <w:rPr>
          <w:i/>
          <w:iCs/>
        </w:rPr>
        <w:t xml:space="preserve">Id.</w:t>
      </w:r>
    </w:p>
  </w:footnote>
  <w:footnote w:id="27">
    <w:p>
      <w:pPr>
        <w:pStyle w:val="FootnoteText"/>
      </w:pPr>
      <w:r>
        <w:rPr>
          <w:rStyle w:val="FootnoteReference"/>
        </w:rPr>
        <w:footnoteRef/>
      </w:r>
      <w:r>
        <w:t xml:space="preserve"> </w:t>
      </w:r>
      <w:r>
        <w:t xml:space="preserve">Moreover, decisions involving withholding of information to protect inmate safety are not relevant here.</w:t>
      </w:r>
      <w:r>
        <w:t xml:space="preserve"> </w:t>
      </w:r>
      <w:r>
        <w:rPr>
          <w:i/>
          <w:iCs/>
        </w:rPr>
        <w:t xml:space="preserve">See</w:t>
      </w:r>
      <w:r>
        <w:t xml:space="preserve"> </w:t>
      </w:r>
      <w:r>
        <w:t xml:space="preserve">Appellee Br. 29 n.7 (citing</w:t>
      </w:r>
      <w:r>
        <w:t xml:space="preserve"> </w:t>
      </w:r>
      <w:r>
        <w:rPr>
          <w:i/>
          <w:iCs/>
        </w:rPr>
        <w:t xml:space="preserve">Pinson</w:t>
      </w:r>
      <w:r>
        <w:rPr>
          <w:i/>
          <w:iCs/>
        </w:rPr>
        <w:t xml:space="preserve"> </w:t>
      </w:r>
      <w:r>
        <w:rPr>
          <w:i/>
          <w:iCs/>
        </w:rPr>
        <w:t xml:space="preserve">v. U.S. Dep’t of Justice</w:t>
      </w:r>
      <w:r>
        <w:t xml:space="preserve">, 199 F. Supp. 3d 203 (D.D.C. 2016) and</w:t>
      </w:r>
      <w:r>
        <w:t xml:space="preserve"> </w:t>
      </w:r>
      <w:r>
        <w:rPr>
          <w:i/>
          <w:iCs/>
        </w:rPr>
        <w:t xml:space="preserve">Jordan v.</w:t>
      </w:r>
      <w:r>
        <w:rPr>
          <w:i/>
          <w:iCs/>
        </w:rPr>
        <w:t xml:space="preserve"> </w:t>
      </w:r>
      <w:r>
        <w:rPr>
          <w:i/>
          <w:iCs/>
        </w:rPr>
        <w:t xml:space="preserve">U.S. Dep’t of Justice</w:t>
      </w:r>
      <w:r>
        <w:t xml:space="preserve">, No. 07-cv</w:t>
      </w:r>
      <w:r>
        <w:noBreakHyphen/>
      </w:r>
      <w:r>
        <w:t xml:space="preserve">02303, 2009 U.S. Dist. LEXIS 81081 (D. Colo. Aug. 14, 2009)). To the extent a former death-row inmate can be heard on a recording, that person’s safety is no longer in jeopardy. These cases are also unpersuasive, because</w:t>
      </w:r>
      <w:r>
        <w:t xml:space="preserve"> </w:t>
      </w:r>
      <w:r>
        <w:rPr>
          <w:i/>
          <w:iCs/>
        </w:rPr>
        <w:t xml:space="preserve">Pinson</w:t>
      </w:r>
      <w:r>
        <w:t xml:space="preserve"> </w:t>
      </w:r>
      <w:r>
        <w:t xml:space="preserve">and</w:t>
      </w:r>
      <w:r>
        <w:t xml:space="preserve"> </w:t>
      </w:r>
      <w:r>
        <w:rPr>
          <w:i/>
          <w:iCs/>
        </w:rPr>
        <w:t xml:space="preserve">Jordan</w:t>
      </w:r>
      <w:r>
        <w:t xml:space="preserve"> </w:t>
      </w:r>
      <w:r>
        <w:t xml:space="preserve">involved application of a federal FOIA exemption, 5 U.S.C. § 552(b)⁠(7)⁠(F),</w:t>
      </w:r>
      <w:r>
        <w:t xml:space="preserve"> </w:t>
      </w:r>
      <w:r>
        <w:t xml:space="preserve">that is not analogous to any asserted by VADOC. And the records sought in those cases—prison logs and inmate’s Central Files—are not like those sought in this case.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