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ALASKA</w:t>
      </w:r>
    </w:p>
    <w:p>
      <w:pPr>
        <w:spacing w:before="432" w:after="0" w:line="299"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No.</w:t>
      </w:r>
      <w:r>
        <w:rPr>
          <w:b/>
          <w:bCs/>
        </w:rPr>
        <w:t xml:space="preserve"> </w:t>
      </w:r>
      <w:r>
        <w:rPr>
          <w:b/>
          <w:bCs/>
        </w:rPr>
        <w:t xml:space="preserve">S</w:t>
        <w:noBreakHyphen/>
        <w:t xml:space="preserve">14920</w:t>
      </w:r>
    </w:p>
    <w:p>
      <w:pPr>
        <w:spacing w:before="0" w:after="0" w:line="299" w:lineRule="exact"/>
        <w:ind w:left="0" w:firstLine="0"/>
        <w:jc w:val="center"/>
      </w:pPr>
      <w:r>
        <w:t xml:space="preserve">Trial</w:t>
      </w:r>
      <w:r>
        <w:t xml:space="preserve"> </w:t>
      </w:r>
      <w:r>
        <w:t xml:space="preserve">Court</w:t>
      </w:r>
      <w:r>
        <w:t xml:space="preserve"> </w:t>
      </w:r>
      <w:r>
        <w:t xml:space="preserve">No.</w:t>
      </w:r>
      <w:r>
        <w:t xml:space="preserve"> </w:t>
      </w:r>
      <w:r>
        <w:t xml:space="preserve">4BE</w:t>
        <w:noBreakHyphen/>
        <w:t xml:space="preserve">07</w:t>
        <w:noBreakHyphen/>
        <w:t xml:space="preserve">00026</w:t>
      </w:r>
      <w:r>
        <w:t xml:space="preserve"> </w:t>
      </w:r>
      <w:r>
        <w:t xml:space="preserve">CI</w:t>
      </w:r>
    </w:p>
    <w:p>
      <w:pPr>
        <w:spacing w:before="432" w:after="0" w:line="299" w:lineRule="exact"/>
        <w:ind w:left="0" w:firstLine="0"/>
        <w:jc w:val="center"/>
      </w:pPr>
      <w:r>
        <w:t xml:space="preserve">THOMAS</w:t>
      </w:r>
      <w:r>
        <w:t xml:space="preserve"> </w:t>
      </w:r>
      <w:r>
        <w:t xml:space="preserve">OLSON,</w:t>
      </w:r>
    </w:p>
    <w:p>
      <w:pPr>
        <w:spacing w:before="0" w:after="0" w:line="299" w:lineRule="exact"/>
        <w:ind w:left="0" w:firstLine="0"/>
        <w:jc w:val="center"/>
      </w:pPr>
      <w:r>
        <w:rPr>
          <w:i/>
          <w:iCs/>
        </w:rPr>
        <w:t xml:space="preserve">Appellant,</w:t>
      </w:r>
    </w:p>
    <w:p>
      <w:pPr>
        <w:spacing w:before="288" w:after="288" w:line="299" w:lineRule="exact"/>
        <w:ind w:left="0" w:firstLine="0"/>
        <w:jc w:val="center"/>
      </w:pPr>
      <w:r>
        <w:t xml:space="preserve">v.</w:t>
      </w:r>
    </w:p>
    <w:p>
      <w:pPr>
        <w:spacing w:before="0" w:after="0" w:line="299" w:lineRule="exact"/>
        <w:ind w:left="0" w:firstLine="0"/>
        <w:jc w:val="center"/>
      </w:pPr>
      <w:r>
        <w:t xml:space="preserve">CITY</w:t>
      </w:r>
      <w:r>
        <w:t xml:space="preserve"> </w:t>
      </w:r>
      <w:r>
        <w:t xml:space="preserve">OF</w:t>
      </w:r>
      <w:r>
        <w:t xml:space="preserve"> </w:t>
      </w:r>
      <w:r>
        <w:t xml:space="preserve">HOOPER</w:t>
      </w:r>
      <w:r>
        <w:t xml:space="preserve"> </w:t>
      </w:r>
      <w:r>
        <w:t xml:space="preserve">BAY,</w:t>
      </w:r>
      <w:r>
        <w:t xml:space="preserve"> </w:t>
      </w:r>
      <w:r>
        <w:t xml:space="preserve">OFFICER</w:t>
      </w:r>
      <w:r>
        <w:t xml:space="preserve"> </w:t>
      </w:r>
      <w:r>
        <w:t xml:space="preserve">CHARLES</w:t>
      </w:r>
      <w:r>
        <w:t xml:space="preserve"> </w:t>
      </w:r>
      <w:r>
        <w:t xml:space="preserve">SIMON,</w:t>
      </w:r>
      <w:r>
        <w:t xml:space="preserve"> </w:t>
      </w:r>
      <w:r>
        <w:t xml:space="preserve">and</w:t>
      </w:r>
      <w:r>
        <w:t xml:space="preserve"> </w:t>
      </w:r>
      <w:r>
        <w:t xml:space="preserve">OFFICER</w:t>
      </w:r>
      <w:r>
        <w:t xml:space="preserve"> </w:t>
      </w:r>
      <w:r>
        <w:t xml:space="preserve">NATHAN</w:t>
      </w:r>
      <w:r>
        <w:t xml:space="preserve"> </w:t>
      </w:r>
      <w:r>
        <w:t xml:space="preserve">JOSEPH,</w:t>
      </w:r>
    </w:p>
    <w:p>
      <w:pPr>
        <w:spacing w:before="0" w:after="0" w:line="299" w:lineRule="exact"/>
        <w:ind w:left="0" w:firstLine="0"/>
        <w:jc w:val="center"/>
      </w:pPr>
      <w:r>
        <w:rPr>
          <w:i/>
          <w:iCs/>
        </w:rPr>
        <w:t xml:space="preserve">Appellees.</w:t>
      </w:r>
    </w:p>
    <w:p>
      <w:pPr>
        <w:spacing w:before="432" w:after="0" w:line="299" w:lineRule="exact"/>
        <w:ind w:left="0" w:firstLine="0"/>
        <w:jc w:val="center"/>
      </w:pPr>
      <w:r>
        <w:t xml:space="preserve">Appeal</w:t>
      </w:r>
      <w:r>
        <w:t xml:space="preserve"> </w:t>
      </w:r>
      <w:r>
        <w:t xml:space="preserve">from</w:t>
      </w:r>
      <w:r>
        <w:t xml:space="preserve"> </w:t>
      </w:r>
      <w:r>
        <w:t xml:space="preserve">the</w:t>
      </w:r>
      <w:r>
        <w:t xml:space="preserve"> </w:t>
      </w:r>
      <w:r>
        <w:t xml:space="preserve">Superior</w:t>
      </w:r>
      <w:r>
        <w:t xml:space="preserve"> </w:t>
      </w:r>
      <w:r>
        <w:t xml:space="preserve">Court</w:t>
      </w:r>
      <w:r>
        <w:t xml:space="preserve"> </w:t>
      </w:r>
      <w:r>
        <w:t xml:space="preserve">for</w:t>
      </w:r>
      <w:r>
        <w:t xml:space="preserve"> </w:t>
      </w:r>
      <w:r>
        <w:t xml:space="preserve">the</w:t>
      </w:r>
      <w:r>
        <w:t xml:space="preserve"> </w:t>
      </w:r>
      <w:r>
        <w:t xml:space="preserve">State</w:t>
      </w:r>
      <w:r>
        <w:t xml:space="preserve"> </w:t>
      </w:r>
      <w:r>
        <w:t xml:space="preserve">of</w:t>
      </w:r>
      <w:r>
        <w:t xml:space="preserve"> </w:t>
      </w:r>
      <w:r>
        <w:t xml:space="preserve">Alaska,</w:t>
      </w:r>
      <w:r>
        <w:t xml:space="preserve"> </w:t>
      </w:r>
      <w:r>
        <w:t xml:space="preserve">Fourth</w:t>
      </w:r>
      <w:r>
        <w:t xml:space="preserve"> </w:t>
      </w:r>
      <w:r>
        <w:t xml:space="preserve">Judicial</w:t>
      </w:r>
      <w:r>
        <w:t xml:space="preserve"> </w:t>
      </w:r>
      <w:r>
        <w:t xml:space="preserve">District</w:t>
      </w:r>
      <w:r>
        <w:t xml:space="preserve"> </w:t>
      </w:r>
      <w:r>
        <w:t xml:space="preserve">at</w:t>
      </w:r>
      <w:r>
        <w:t xml:space="preserve"> </w:t>
      </w:r>
      <w:r>
        <w:t xml:space="preserve">Bethel,</w:t>
      </w:r>
      <w:r>
        <w:t xml:space="preserve"> </w:t>
      </w:r>
      <w:r>
        <w:t xml:space="preserve">the</w:t>
      </w:r>
      <w:r>
        <w:t xml:space="preserve"> </w:t>
      </w:r>
      <w:r>
        <w:t xml:space="preserve">Honorable</w:t>
      </w:r>
      <w:r>
        <w:t xml:space="preserve"> </w:t>
      </w:r>
      <w:r>
        <w:t xml:space="preserve">Leonard</w:t>
      </w:r>
      <w:r>
        <w:t xml:space="preserve"> </w:t>
      </w:r>
      <w:r>
        <w:t xml:space="preserve">Devaney,</w:t>
      </w:r>
      <w:r>
        <w:t xml:space="preserve"> </w:t>
      </w:r>
      <w:r>
        <w:t xml:space="preserve">Presiding</w:t>
      </w:r>
    </w:p>
    <w:p>
      <w:pPr>
        <w:spacing w:before="1440" w:after="0" w:line="322" w:lineRule="exact"/>
        <w:ind w:left="0" w:firstLine="0"/>
        <w:jc w:val="center"/>
      </w:pPr>
      <w:r>
        <w:rPr>
          <w:b/>
          <w:bCs/>
          <w:sz w:val="28"/>
          <w:szCs w:val="28"/>
        </w:rPr>
        <w:t xml:space="preserve">AMICUS</w:t>
      </w:r>
      <w:r>
        <w:rPr>
          <w:b/>
          <w:bCs/>
          <w:sz w:val="28"/>
          <w:szCs w:val="28"/>
        </w:rPr>
        <w:t xml:space="preserve"> </w:t>
      </w:r>
      <w:r>
        <w:rPr>
          <w:b/>
          <w:bCs/>
          <w:sz w:val="28"/>
          <w:szCs w:val="28"/>
        </w:rPr>
        <w:t xml:space="preserve">CURIAE</w:t>
      </w:r>
      <w:r>
        <w:rPr>
          <w:b/>
          <w:bCs/>
          <w:sz w:val="28"/>
          <w:szCs w:val="28"/>
        </w:rPr>
        <w:t xml:space="preserve"> </w:t>
      </w:r>
      <w:r>
        <w:rPr>
          <w:b/>
          <w:bCs/>
          <w:sz w:val="28"/>
          <w:szCs w:val="28"/>
        </w:rPr>
        <w:t xml:space="preserve">BRIEF</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ACLU</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ALASKA</w:t>
      </w:r>
      <w:r>
        <w:rPr>
          <w:b/>
          <w:bCs/>
          <w:sz w:val="28"/>
          <w:szCs w:val="28"/>
        </w:rPr>
        <w:t xml:space="preserve"> </w:t>
      </w:r>
      <w:r>
        <w:rPr>
          <w:b/>
          <w:bCs/>
          <w:sz w:val="28"/>
          <w:szCs w:val="28"/>
        </w:rPr>
        <w:t xml:space="preserve">FOUNDATION</w:t>
      </w:r>
    </w:p>
    <w:p>
      <w:pPr>
        <w:spacing w:before="1440" w:after="0" w:line="299" w:lineRule="exact"/>
        <w:ind w:left="4608" w:firstLine="0"/>
        <w:jc w:val="left"/>
      </w:pPr>
      <w:r>
        <w:rPr>
          <w:b/>
          <w:bCs/>
        </w:rPr>
        <w:t xml:space="preserve">Thomas</w:t>
      </w:r>
      <w:r>
        <w:rPr>
          <w:b/>
          <w:bCs/>
        </w:rPr>
        <w:t xml:space="preserve"> </w:t>
      </w:r>
      <w:r>
        <w:rPr>
          <w:b/>
          <w:bCs/>
        </w:rPr>
        <w:t xml:space="preserve">Stenson,</w:t>
      </w:r>
      <w:r>
        <w:rPr>
          <w:b/>
          <w:bCs/>
        </w:rPr>
        <w:t xml:space="preserve"> </w:t>
      </w:r>
      <w:r>
        <w:rPr>
          <w:b/>
          <w:bCs/>
        </w:rPr>
        <w:t xml:space="preserve">AK</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0808054</w:t>
      </w:r>
    </w:p>
    <w:p>
      <w:pPr>
        <w:spacing w:before="0" w:after="0" w:line="299" w:lineRule="exact"/>
        <w:ind w:left="4608" w:firstLine="0"/>
        <w:jc w:val="left"/>
      </w:pPr>
      <w:r>
        <w:t xml:space="preserve">ACLU</w:t>
      </w:r>
      <w:r>
        <w:t xml:space="preserve"> </w:t>
      </w:r>
      <w:r>
        <w:t xml:space="preserve">of</w:t>
      </w:r>
      <w:r>
        <w:t xml:space="preserve"> </w:t>
      </w:r>
      <w:r>
        <w:t xml:space="preserve">Alaska</w:t>
      </w:r>
      <w:r>
        <w:t xml:space="preserve"> </w:t>
      </w:r>
      <w:r>
        <w:t xml:space="preserve">Foundation</w:t>
      </w:r>
    </w:p>
    <w:p>
      <w:pPr>
        <w:spacing w:before="0" w:after="0" w:line="299" w:lineRule="exact"/>
        <w:ind w:left="4608" w:firstLine="0"/>
        <w:jc w:val="left"/>
      </w:pPr>
      <w:r>
        <w:t xml:space="preserve">1057</w:t>
      </w:r>
      <w:r>
        <w:t xml:space="preserve"> </w:t>
      </w:r>
      <w:r>
        <w:t xml:space="preserve">W</w:t>
      </w:r>
      <w:r>
        <w:t xml:space="preserve"> </w:t>
      </w:r>
      <w:r>
        <w:t xml:space="preserve">Fireweed</w:t>
      </w:r>
      <w:r>
        <w:t xml:space="preserve"> </w:t>
      </w:r>
      <w:r>
        <w:t xml:space="preserve">Lane,</w:t>
      </w:r>
      <w:r>
        <w:t xml:space="preserve"> </w:t>
      </w:r>
      <w:r>
        <w:t xml:space="preserve">Ste.</w:t>
      </w:r>
      <w:r>
        <w:t xml:space="preserve"> </w:t>
      </w:r>
      <w:r>
        <w:t xml:space="preserve">207</w:t>
      </w:r>
    </w:p>
    <w:p>
      <w:pPr>
        <w:spacing w:before="0" w:after="0" w:line="299" w:lineRule="exact"/>
        <w:ind w:left="4608" w:firstLine="0"/>
        <w:jc w:val="left"/>
      </w:pPr>
      <w:r>
        <w:t xml:space="preserve">Anchorage,</w:t>
      </w:r>
      <w:r>
        <w:t xml:space="preserve"> </w:t>
      </w:r>
      <w:r>
        <w:t xml:space="preserve">AK</w:t>
      </w:r>
      <w:r>
        <w:t xml:space="preserve"> </w:t>
      </w:r>
      <w:r>
        <w:t xml:space="preserve">99503</w:t>
      </w:r>
    </w:p>
    <w:p>
      <w:pPr>
        <w:spacing w:before="0" w:after="0" w:line="299" w:lineRule="exact"/>
        <w:ind w:left="4608" w:firstLine="0"/>
        <w:jc w:val="left"/>
      </w:pPr>
      <w:r>
        <w:t xml:space="preserve">Telephone:</w:t>
      </w:r>
      <w:r>
        <w:t xml:space="preserve"> </w:t>
      </w:r>
      <w:r>
        <w:t xml:space="preserve">(907)</w:t>
      </w:r>
      <w:r>
        <w:t xml:space="preserve"> </w:t>
      </w:r>
      <w:r>
        <w:t xml:space="preserve">258</w:t>
        <w:noBreakHyphen/>
        <w:t xml:space="preserve">0044</w:t>
      </w:r>
    </w:p>
    <w:p>
      <w:pPr>
        <w:spacing w:before="0" w:after="0" w:line="299" w:lineRule="exact"/>
        <w:ind w:left="4608" w:firstLine="0"/>
        <w:jc w:val="left"/>
      </w:pPr>
      <w:r>
        <w:t xml:space="preserve">Facsimile:</w:t>
      </w:r>
      <w:r>
        <w:t xml:space="preserve"> </w:t>
      </w:r>
      <w:r>
        <w:t xml:space="preserve">(907)</w:t>
      </w:r>
      <w:r>
        <w:t xml:space="preserve"> </w:t>
      </w:r>
      <w:r>
        <w:t xml:space="preserve">258</w:t>
        <w:noBreakHyphen/>
        <w:t xml:space="preserve">0228</w:t>
      </w:r>
    </w:p>
    <w:p>
      <w:pPr>
        <w:spacing w:before="0" w:after="0" w:line="299" w:lineRule="exact"/>
        <w:ind w:left="4608" w:firstLine="0"/>
        <w:jc w:val="left"/>
      </w:pPr>
      <w:r>
        <w:t xml:space="preserve">tstenson@akclu.org</w:t>
      </w:r>
    </w:p>
    <w:p>
      <w:pPr>
        <w:spacing w:before="0" w:after="0" w:line="299" w:lineRule="exact"/>
        <w:ind w:left="4608" w:firstLine="0"/>
        <w:jc w:val="left"/>
      </w:pPr>
      <w:r>
        <w:t xml:space="preserve">Attorney</w:t>
      </w:r>
      <w:r>
        <w:t xml:space="preserve"> </w:t>
      </w:r>
      <w:r>
        <w:t xml:space="preserve">for</w:t>
      </w:r>
      <w:r>
        <w:t xml:space="preserve"> </w:t>
      </w:r>
      <w:r>
        <w:t xml:space="preserve">Amicus</w:t>
      </w:r>
      <w:r>
        <w:t xml:space="preserve"> </w:t>
      </w:r>
      <w:r>
        <w:t xml:space="preserve">Curiae</w:t>
      </w:r>
      <w:r>
        <w:t xml:space="preserve"> </w:t>
      </w:r>
      <w:r>
        <w:t xml:space="preserve">ACLU</w:t>
      </w:r>
      <w:r>
        <w:t xml:space="preserve"> </w:t>
      </w:r>
      <w:r>
        <w:t xml:space="preserve">of</w:t>
      </w:r>
      <w:r>
        <w:t xml:space="preserve"> </w:t>
      </w:r>
      <w:r>
        <w:t xml:space="preserve">Alaska</w:t>
      </w:r>
      <w:r>
        <w:t xml:space="preserve"> </w:t>
      </w:r>
      <w:r>
        <w:t xml:space="preserve">Foundation</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34" w:after="0" w:line="299" w:lineRule="exact"/>
        <w:ind w:left="390" w:right="720" w:hanging="390"/>
      </w:pPr>
      <w:r>
        <w:t xml:space="preserve">JURISDICTIONAL</w:t>
      </w:r>
      <w:r>
        <w:t xml:space="preserve"> </w:t>
      </w:r>
      <w:r>
        <w:t xml:space="preserve">STATEMENT</w:t>
      </w:r>
      <w:r>
        <w:t xml:space="preserve">   </w:t>
      </w:r>
      <w:r>
        <w:tab/>
      </w:r>
      <w:r>
        <w:t xml:space="preserve">3</w:t>
      </w:r>
    </w:p>
    <w:p>
      <w:pPr>
        <w:keepLines/>
        <w:tabs>
          <w:tab w:val="right" w:leader="dot" w:pos="9360"/>
        </w:tabs>
        <w:spacing w:before="234" w:after="0" w:line="299" w:lineRule="exact"/>
        <w:ind w:left="390" w:right="720" w:hanging="390"/>
      </w:pPr>
      <w:r>
        <w:t xml:space="preserve">ISSUES</w:t>
      </w:r>
      <w:r>
        <w:t xml:space="preserve"> </w:t>
      </w:r>
      <w:r>
        <w:t xml:space="preserve">PRESENTED</w:t>
      </w:r>
      <w:r>
        <w:t xml:space="preserve"> </w:t>
      </w:r>
      <w:r>
        <w:t xml:space="preserve">FOR</w:t>
      </w:r>
      <w:r>
        <w:t xml:space="preserve"> </w:t>
      </w:r>
      <w:r>
        <w:t xml:space="preserve">REVIEW</w:t>
      </w:r>
      <w:r>
        <w:t xml:space="preserve">   </w:t>
      </w:r>
      <w:r>
        <w:tab/>
      </w:r>
      <w:r>
        <w:t xml:space="preserve">3</w:t>
      </w:r>
    </w:p>
    <w:p>
      <w:pPr>
        <w:keepLines/>
        <w:tabs>
          <w:tab w:val="right" w:leader="dot" w:pos="9360"/>
        </w:tabs>
        <w:spacing w:before="234" w:after="0" w:line="299" w:lineRule="exact"/>
        <w:ind w:left="390" w:right="720" w:hanging="39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4</w:t>
      </w:r>
    </w:p>
    <w:p>
      <w:pPr>
        <w:keepLines/>
        <w:tabs>
          <w:tab w:val="right" w:leader="dot" w:pos="9360"/>
        </w:tabs>
        <w:spacing w:before="234" w:after="0" w:line="299" w:lineRule="exact"/>
        <w:ind w:left="780" w:right="720" w:hanging="390"/>
      </w:pPr>
      <w:r>
        <w:t xml:space="preserve">I.</w:t>
      </w:r>
      <w:r>
        <w:t xml:space="preserve"> </w:t>
      </w:r>
      <w:r>
        <w:t xml:space="preserve">Statement</w:t>
      </w:r>
      <w:r>
        <w:t xml:space="preserve"> </w:t>
      </w:r>
      <w:r>
        <w:t xml:space="preserve">of</w:t>
      </w:r>
      <w:r>
        <w:t xml:space="preserve"> </w:t>
      </w:r>
      <w:r>
        <w:t xml:space="preserve">Facts</w:t>
      </w:r>
      <w:r>
        <w:t xml:space="preserve">   </w:t>
      </w:r>
      <w:r>
        <w:tab/>
      </w:r>
      <w:r>
        <w:t xml:space="preserve">4</w:t>
      </w:r>
    </w:p>
    <w:p>
      <w:pPr>
        <w:keepLines/>
        <w:tabs>
          <w:tab w:val="right" w:leader="dot" w:pos="9360"/>
        </w:tabs>
        <w:spacing w:before="234" w:after="0" w:line="299" w:lineRule="exact"/>
        <w:ind w:left="780" w:right="720" w:hanging="390"/>
      </w:pPr>
      <w:r>
        <w:t xml:space="preserve">II.</w:t>
      </w:r>
      <w:r>
        <w:t xml:space="preserve"> </w:t>
      </w:r>
      <w:r>
        <w:t xml:space="preserve">Statement</w:t>
      </w:r>
      <w:r>
        <w:t xml:space="preserve"> </w:t>
      </w:r>
      <w:r>
        <w:t xml:space="preserve">of</w:t>
      </w:r>
      <w:r>
        <w:t xml:space="preserve"> </w:t>
      </w:r>
      <w:r>
        <w:t xml:space="preserve">the</w:t>
      </w:r>
      <w:r>
        <w:t xml:space="preserve"> </w:t>
      </w:r>
      <w:r>
        <w:t xml:space="preserve">Proceedings</w:t>
      </w:r>
      <w:r>
        <w:t xml:space="preserve">   </w:t>
      </w:r>
      <w:r>
        <w:tab/>
      </w:r>
      <w:r>
        <w:t xml:space="preserve">6</w:t>
      </w:r>
    </w:p>
    <w:p>
      <w:pPr>
        <w:keepLines/>
        <w:tabs>
          <w:tab w:val="right" w:leader="dot" w:pos="9360"/>
        </w:tabs>
        <w:spacing w:before="234" w:after="0" w:line="299" w:lineRule="exact"/>
        <w:ind w:left="780" w:right="720" w:hanging="390"/>
      </w:pPr>
      <w:r>
        <w:t xml:space="preserve">III.</w:t>
      </w:r>
      <w:r>
        <w:t xml:space="preserve"> </w:t>
      </w:r>
      <w:r>
        <w:t xml:space="preserve">Standard</w:t>
      </w:r>
      <w:r>
        <w:t xml:space="preserve"> </w:t>
      </w:r>
      <w:r>
        <w:t xml:space="preserve">of</w:t>
      </w:r>
      <w:r>
        <w:t xml:space="preserve"> </w:t>
      </w:r>
      <w:r>
        <w:t xml:space="preserve">Review</w:t>
      </w:r>
      <w:r>
        <w:t xml:space="preserve">   </w:t>
      </w:r>
      <w:r>
        <w:tab/>
      </w:r>
      <w:r>
        <w:t xml:space="preserve">7</w:t>
      </w:r>
    </w:p>
    <w:p>
      <w:pPr>
        <w:keepLines/>
        <w:tabs>
          <w:tab w:val="right" w:leader="dot" w:pos="9360"/>
        </w:tabs>
        <w:spacing w:before="234" w:after="0" w:line="299" w:lineRule="exact"/>
        <w:ind w:left="780" w:right="720" w:hanging="390"/>
      </w:pPr>
      <w:r>
        <w:t xml:space="preserve">IV.</w:t>
      </w:r>
      <w:r>
        <w:t xml:space="preserve"> </w:t>
      </w:r>
      <w:r>
        <w:t xml:space="preserve">Argument</w:t>
      </w:r>
      <w:r>
        <w:t xml:space="preserve">   </w:t>
      </w:r>
      <w:r>
        <w:tab/>
      </w:r>
      <w:r>
        <w:t xml:space="preserve">8</w:t>
      </w:r>
    </w:p>
    <w:p>
      <w:pPr>
        <w:keepLines/>
        <w:tabs>
          <w:tab w:val="right" w:leader="dot" w:pos="9360"/>
        </w:tabs>
        <w:spacing w:before="234" w:after="0" w:line="299" w:lineRule="exact"/>
        <w:ind w:left="1170" w:right="720" w:hanging="390"/>
      </w:pPr>
      <w:r>
        <w:t xml:space="preserve">a.</w:t>
      </w:r>
      <w:r>
        <w:t xml:space="preserve"> </w:t>
      </w:r>
      <w:r>
        <w:t xml:space="preserve">The</w:t>
      </w:r>
      <w:r>
        <w:t xml:space="preserve"> </w:t>
      </w:r>
      <w:r>
        <w:t xml:space="preserve">Superior</w:t>
      </w:r>
      <w:r>
        <w:t xml:space="preserve"> </w:t>
      </w:r>
      <w:r>
        <w:t xml:space="preserve">Court</w:t>
      </w:r>
      <w:r>
        <w:t xml:space="preserve"> </w:t>
      </w:r>
      <w:r>
        <w:t xml:space="preserve">Erred</w:t>
      </w:r>
      <w:r>
        <w:t xml:space="preserve"> </w:t>
      </w:r>
      <w:r>
        <w:t xml:space="preserve">by</w:t>
      </w:r>
      <w:r>
        <w:t xml:space="preserve"> </w:t>
      </w:r>
      <w:r>
        <w:t xml:space="preserve">Failing</w:t>
      </w:r>
      <w:r>
        <w:t xml:space="preserve"> </w:t>
      </w:r>
      <w:r>
        <w:t xml:space="preserve">to</w:t>
      </w:r>
      <w:r>
        <w:t xml:space="preserve"> </w:t>
      </w:r>
      <w:r>
        <w:t xml:space="preserve">View</w:t>
      </w:r>
      <w:r>
        <w:t xml:space="preserve"> </w:t>
      </w:r>
      <w:r>
        <w:t xml:space="preserve">the</w:t>
      </w:r>
      <w:r>
        <w:t xml:space="preserve"> </w:t>
      </w:r>
      <w:r>
        <w:t xml:space="preserve">Evidence</w:t>
      </w:r>
      <w:r>
        <w:t xml:space="preserve"> </w:t>
      </w:r>
      <w:r>
        <w:t xml:space="preserve">and</w:t>
      </w:r>
      <w:r>
        <w:t xml:space="preserve"> </w:t>
      </w:r>
      <w:r>
        <w:t xml:space="preserve">the</w:t>
      </w:r>
      <w:r>
        <w:t xml:space="preserve"> </w:t>
      </w:r>
      <w:r>
        <w:t xml:space="preserve">Verdict</w:t>
      </w:r>
      <w:r>
        <w:t xml:space="preserve"> </w:t>
      </w:r>
      <w:r>
        <w:t xml:space="preserve">in</w:t>
      </w:r>
      <w:r>
        <w:t xml:space="preserve"> </w:t>
      </w:r>
      <w:r>
        <w:t xml:space="preserve">the</w:t>
      </w:r>
      <w:r>
        <w:t xml:space="preserve"> </w:t>
      </w:r>
      <w:r>
        <w:t xml:space="preserve">Light</w:t>
      </w:r>
      <w:r>
        <w:t xml:space="preserve"> </w:t>
      </w:r>
      <w:r>
        <w:t xml:space="preserve">Most</w:t>
      </w:r>
      <w:r>
        <w:t xml:space="preserve"> </w:t>
      </w:r>
      <w:r>
        <w:t xml:space="preserve">Favorable</w:t>
      </w:r>
      <w:r>
        <w:t xml:space="preserve"> </w:t>
      </w:r>
      <w:r>
        <w:t xml:space="preserve">to</w:t>
      </w:r>
      <w:r>
        <w:t xml:space="preserve"> </w:t>
      </w:r>
      <w:r>
        <w:t xml:space="preserve">Mr.</w:t>
      </w:r>
      <w:r>
        <w:t xml:space="preserve"> </w:t>
      </w:r>
      <w:r>
        <w:t xml:space="preserve">Olson</w:t>
      </w:r>
      <w:r>
        <w:t xml:space="preserve">   </w:t>
      </w:r>
      <w:r>
        <w:tab/>
      </w:r>
      <w:r>
        <w:t xml:space="preserve">8</w:t>
      </w:r>
    </w:p>
    <w:p>
      <w:pPr>
        <w:keepLines/>
        <w:tabs>
          <w:tab w:val="right" w:leader="dot" w:pos="9360"/>
        </w:tabs>
        <w:spacing w:before="234" w:after="0" w:line="299" w:lineRule="exact"/>
        <w:ind w:left="1170" w:right="720" w:hanging="390"/>
      </w:pPr>
      <w:r>
        <w:t xml:space="preserve">b.</w:t>
      </w:r>
      <w:r>
        <w:t xml:space="preserve"> </w:t>
      </w:r>
      <w:r>
        <w:t xml:space="preserve">Even</w:t>
      </w:r>
      <w:r>
        <w:t xml:space="preserve"> </w:t>
      </w:r>
      <w:r>
        <w:t xml:space="preserve">Assuming</w:t>
      </w:r>
      <w:r>
        <w:t xml:space="preserve"> </w:t>
      </w:r>
      <w:r>
        <w:t xml:space="preserve">that</w:t>
      </w:r>
      <w:r>
        <w:t xml:space="preserve"> </w:t>
      </w:r>
      <w:r>
        <w:t xml:space="preserve">Mr.</w:t>
      </w:r>
      <w:r>
        <w:t xml:space="preserve"> </w:t>
      </w:r>
      <w:r>
        <w:t xml:space="preserve">Olson’s</w:t>
      </w:r>
      <w:r>
        <w:t xml:space="preserve"> </w:t>
      </w:r>
      <w:r>
        <w:t xml:space="preserve">Resistance</w:t>
      </w:r>
      <w:r>
        <w:t xml:space="preserve"> </w:t>
      </w:r>
      <w:r>
        <w:t xml:space="preserve">Continued</w:t>
      </w:r>
      <w:r>
        <w:t xml:space="preserve"> </w:t>
      </w:r>
      <w:r>
        <w:t xml:space="preserve">Until</w:t>
      </w:r>
      <w:r>
        <w:t xml:space="preserve"> </w:t>
      </w:r>
      <w:r>
        <w:t xml:space="preserve">the</w:t>
      </w:r>
      <w:r>
        <w:t xml:space="preserve"> </w:t>
      </w:r>
      <w:r>
        <w:t xml:space="preserve">Final</w:t>
      </w:r>
      <w:r>
        <w:t xml:space="preserve"> </w:t>
      </w:r>
      <w:r>
        <w:t xml:space="preserve">Tasing,</w:t>
      </w:r>
      <w:r>
        <w:t xml:space="preserve"> </w:t>
      </w:r>
      <w:r>
        <w:t xml:space="preserve">the</w:t>
      </w:r>
      <w:r>
        <w:t xml:space="preserve"> </w:t>
      </w:r>
      <w:r>
        <w:t xml:space="preserve">Egregious</w:t>
      </w:r>
      <w:r>
        <w:t xml:space="preserve"> </w:t>
      </w:r>
      <w:r>
        <w:t xml:space="preserve">Nature</w:t>
      </w:r>
      <w:r>
        <w:t xml:space="preserve"> </w:t>
      </w:r>
      <w:r>
        <w:t xml:space="preserve">of</w:t>
      </w:r>
      <w:r>
        <w:t xml:space="preserve"> </w:t>
      </w:r>
      <w:r>
        <w:t xml:space="preserve">the</w:t>
      </w:r>
      <w:r>
        <w:t xml:space="preserve"> </w:t>
      </w:r>
      <w:r>
        <w:t xml:space="preserve">Officers’</w:t>
      </w:r>
      <w:r>
        <w:t xml:space="preserve"> </w:t>
      </w:r>
      <w:r>
        <w:t xml:space="preserve">Own</w:t>
      </w:r>
      <w:r>
        <w:t xml:space="preserve"> </w:t>
      </w:r>
      <w:r>
        <w:t xml:space="preserve">Conduct</w:t>
      </w:r>
      <w:r>
        <w:t xml:space="preserve"> </w:t>
      </w:r>
      <w:r>
        <w:t xml:space="preserve">Gave</w:t>
      </w:r>
      <w:r>
        <w:t xml:space="preserve"> </w:t>
      </w:r>
      <w:r>
        <w:t xml:space="preserve">Notice</w:t>
      </w:r>
      <w:r>
        <w:t xml:space="preserve"> </w:t>
      </w:r>
      <w:r>
        <w:t xml:space="preserve">That</w:t>
      </w:r>
      <w:r>
        <w:t xml:space="preserve"> </w:t>
      </w:r>
      <w:r>
        <w:t xml:space="preserve">Tasing</w:t>
      </w:r>
      <w:r>
        <w:t xml:space="preserve"> </w:t>
      </w:r>
      <w:r>
        <w:t xml:space="preserve">Mr.</w:t>
      </w:r>
      <w:r>
        <w:t xml:space="preserve"> </w:t>
      </w:r>
      <w:r>
        <w:t xml:space="preserve">Olson</w:t>
      </w:r>
      <w:r>
        <w:t xml:space="preserve"> </w:t>
      </w:r>
      <w:r>
        <w:t xml:space="preserve">16</w:t>
      </w:r>
      <w:r>
        <w:t xml:space="preserve"> </w:t>
      </w:r>
      <w:r>
        <w:t xml:space="preserve">to</w:t>
      </w:r>
      <w:r>
        <w:t xml:space="preserve"> </w:t>
      </w:r>
      <w:r>
        <w:t xml:space="preserve">18</w:t>
      </w:r>
      <w:r>
        <w:t xml:space="preserve"> </w:t>
      </w:r>
      <w:r>
        <w:t xml:space="preserve">Times</w:t>
      </w:r>
      <w:r>
        <w:t xml:space="preserve"> </w:t>
      </w:r>
      <w:r>
        <w:t xml:space="preserve">Violated</w:t>
      </w:r>
      <w:r>
        <w:t xml:space="preserve"> </w:t>
      </w:r>
      <w:r>
        <w:t xml:space="preserve">the</w:t>
      </w:r>
      <w:r>
        <w:t xml:space="preserve"> </w:t>
      </w:r>
      <w:r>
        <w:t xml:space="preserve">Law</w:t>
      </w:r>
      <w:r>
        <w:t xml:space="preserve">   </w:t>
      </w:r>
      <w:r>
        <w:tab/>
      </w:r>
      <w:r>
        <w:t xml:space="preserve">18</w:t>
      </w:r>
    </w:p>
    <w:p>
      <w:pPr>
        <w:keepLines/>
        <w:tabs>
          <w:tab w:val="right" w:leader="dot" w:pos="9360"/>
        </w:tabs>
        <w:spacing w:before="234" w:after="0" w:line="299" w:lineRule="exact"/>
        <w:ind w:left="1170" w:right="720" w:hanging="390"/>
      </w:pPr>
      <w:r>
        <w:t xml:space="preserve">c.</w:t>
      </w:r>
      <w:r>
        <w:t xml:space="preserve"> </w:t>
      </w:r>
      <w:r>
        <w:t xml:space="preserve">Even</w:t>
      </w:r>
      <w:r>
        <w:t xml:space="preserve"> </w:t>
      </w:r>
      <w:r>
        <w:t xml:space="preserve">Assuming</w:t>
      </w:r>
      <w:r>
        <w:t xml:space="preserve"> </w:t>
      </w:r>
      <w:r>
        <w:t xml:space="preserve">that</w:t>
      </w:r>
      <w:r>
        <w:t xml:space="preserve"> </w:t>
      </w:r>
      <w:r>
        <w:t xml:space="preserve">Mr.</w:t>
      </w:r>
      <w:r>
        <w:t xml:space="preserve"> </w:t>
      </w:r>
      <w:r>
        <w:t xml:space="preserve">Olson’s</w:t>
      </w:r>
      <w:r>
        <w:t xml:space="preserve"> </w:t>
      </w:r>
      <w:r>
        <w:t xml:space="preserve">Resistance</w:t>
      </w:r>
      <w:r>
        <w:t xml:space="preserve"> </w:t>
      </w:r>
      <w:r>
        <w:t xml:space="preserve">Continued</w:t>
      </w:r>
      <w:r>
        <w:t xml:space="preserve"> </w:t>
      </w:r>
      <w:r>
        <w:t xml:space="preserve">Until</w:t>
      </w:r>
      <w:r>
        <w:t xml:space="preserve"> </w:t>
      </w:r>
      <w:r>
        <w:t xml:space="preserve">the</w:t>
      </w:r>
      <w:r>
        <w:t xml:space="preserve"> </w:t>
      </w:r>
      <w:r>
        <w:t xml:space="preserve">Final</w:t>
      </w:r>
      <w:r>
        <w:t xml:space="preserve"> </w:t>
      </w:r>
      <w:r>
        <w:t xml:space="preserve">Tasing,</w:t>
      </w:r>
      <w:r>
        <w:t xml:space="preserve"> </w:t>
      </w:r>
      <w:r>
        <w:t xml:space="preserve">Hooper</w:t>
      </w:r>
      <w:r>
        <w:t xml:space="preserve"> </w:t>
      </w:r>
      <w:r>
        <w:t xml:space="preserve">Bay’s</w:t>
      </w:r>
      <w:r>
        <w:t xml:space="preserve"> </w:t>
      </w:r>
      <w:r>
        <w:t xml:space="preserve">Policy</w:t>
      </w:r>
      <w:r>
        <w:t xml:space="preserve"> </w:t>
      </w:r>
      <w:r>
        <w:t xml:space="preserve">Gave</w:t>
      </w:r>
      <w:r>
        <w:t xml:space="preserve"> </w:t>
      </w:r>
      <w:r>
        <w:t xml:space="preserve">Notice</w:t>
      </w:r>
      <w:r>
        <w:t xml:space="preserve"> </w:t>
      </w:r>
      <w:r>
        <w:t xml:space="preserve">That</w:t>
      </w:r>
      <w:r>
        <w:t xml:space="preserve"> </w:t>
      </w:r>
      <w:r>
        <w:t xml:space="preserve">Tasing</w:t>
      </w:r>
      <w:r>
        <w:t xml:space="preserve"> </w:t>
      </w:r>
      <w:r>
        <w:t xml:space="preserve">Mr.</w:t>
      </w:r>
      <w:r>
        <w:t xml:space="preserve"> </w:t>
      </w:r>
      <w:r>
        <w:t xml:space="preserve">Olson</w:t>
      </w:r>
      <w:r>
        <w:t xml:space="preserve"> </w:t>
      </w:r>
      <w:r>
        <w:t xml:space="preserve">16</w:t>
      </w:r>
      <w:r>
        <w:t xml:space="preserve"> </w:t>
      </w:r>
      <w:r>
        <w:t xml:space="preserve">to</w:t>
      </w:r>
      <w:r>
        <w:t xml:space="preserve"> </w:t>
      </w:r>
      <w:r>
        <w:t xml:space="preserve">18</w:t>
      </w:r>
      <w:r>
        <w:t xml:space="preserve"> </w:t>
      </w:r>
      <w:r>
        <w:t xml:space="preserve">Times</w:t>
      </w:r>
      <w:r>
        <w:t xml:space="preserve"> </w:t>
      </w:r>
      <w:r>
        <w:t xml:space="preserve">Violated</w:t>
      </w:r>
      <w:r>
        <w:t xml:space="preserve"> </w:t>
      </w:r>
      <w:r>
        <w:t xml:space="preserve">the</w:t>
      </w:r>
      <w:r>
        <w:t xml:space="preserve"> </w:t>
      </w:r>
      <w:r>
        <w:t xml:space="preserve">Law</w:t>
      </w:r>
      <w:r>
        <w:t xml:space="preserve">   </w:t>
      </w:r>
      <w:r>
        <w:tab/>
      </w:r>
      <w:r>
        <w:t xml:space="preserve">31</w:t>
      </w:r>
    </w:p>
    <w:p>
      <w:pPr>
        <w:keepLines/>
        <w:tabs>
          <w:tab w:val="right" w:leader="dot" w:pos="9360"/>
        </w:tabs>
        <w:spacing w:before="234" w:after="0" w:line="299" w:lineRule="exact"/>
        <w:ind w:left="780" w:right="720" w:hanging="390"/>
      </w:pPr>
      <w:r>
        <w:t xml:space="preserve">V.</w:t>
      </w:r>
      <w:r>
        <w:t xml:space="preserve"> </w:t>
      </w:r>
      <w:r>
        <w:t xml:space="preserve">Conclusion</w:t>
      </w:r>
      <w:r>
        <w:t xml:space="preserve">   </w:t>
      </w:r>
      <w:r>
        <w:tab/>
      </w:r>
      <w:r>
        <w:t xml:space="preserve">34</w:t>
      </w:r>
    </w:p>
    <w:p>
      <w:pPr>
        <w:pageBreakBefore/>
        <w:spacing w:before="0" w:after="0" w:line="1" w:lineRule="exact"/>
      </w:pPr>
    </w:p>
    <w:p>
      <w:pPr>
        <w:keepNext/>
        <w:keepLines/>
        <w:spacing w:before="0" w:after="312" w:line="299" w:lineRule="exact"/>
        <w:ind w:left="0" w:firstLine="0"/>
        <w:jc w:val="center"/>
      </w:pPr>
      <w:r>
        <w:rPr>
          <w:b/>
          <w:bCs/>
        </w:rPr>
        <w:t xml:space="preserve">JURISDICTIONAL</w:t>
      </w:r>
      <w:r>
        <w:rPr>
          <w:b/>
          <w:bCs/>
        </w:rPr>
        <w:t xml:space="preserve"> </w:t>
      </w:r>
      <w:r>
        <w:rPr>
          <w:b/>
          <w:bCs/>
        </w:rPr>
        <w:t xml:space="preserve">STATEMENT</w:t>
      </w:r>
    </w:p>
    <w:p>
      <w:pPr>
        <w:pStyle w:val="BodyText"/>
      </w:pPr>
      <w:r>
        <w:t xml:space="preserve">The Alaska Supreme Court has jurisdiction to decide the issues raised on appeal pursuant to AS 22.05.010 and Alaska Rule of Appellate Procedure 202. Following a jury verdict for Mr. Olson on April 20, 2012, the Superior Court entered judgment notwithstanding the verdict in favor of the appellees (collectively “Hooper Bay”) on September 14, 2012. The Superior Court’s ruling in Hooper Bay’s favor was memorialized in an amended final judgment on September 19, 2012. The amended final judgment was final with regard to all matters going to the substance of the case; to the best knowledge of the amicus, the attorney’s fees and costs ruling of the Superior Court has not yet been reduced to a final judgment. Mr. Olson filed a timely Notice of Appeal and Statement of Points on Appeal on October 15, 2012.</w:t>
      </w:r>
    </w:p>
    <w:p>
      <w:pPr>
        <w:keepNext/>
        <w:keepLines/>
        <w:spacing w:before="416" w:after="312" w:line="299" w:lineRule="exact"/>
        <w:ind w:left="0" w:firstLine="0"/>
        <w:jc w:val="center"/>
      </w:pPr>
      <w:r>
        <w:rPr>
          <w:b/>
          <w:bCs/>
        </w:rPr>
        <w:t xml:space="preserve">ISSUES</w:t>
      </w:r>
      <w:r>
        <w:rPr>
          <w:b/>
          <w:bCs/>
        </w:rPr>
        <w:t xml:space="preserve"> </w:t>
      </w:r>
      <w:r>
        <w:rPr>
          <w:b/>
          <w:bCs/>
        </w:rPr>
        <w:t xml:space="preserve">PRESENTED</w:t>
      </w:r>
      <w:r>
        <w:rPr>
          <w:b/>
          <w:bCs/>
        </w:rPr>
        <w:t xml:space="preserve"> </w:t>
      </w:r>
      <w:r>
        <w:rPr>
          <w:b/>
          <w:bCs/>
        </w:rPr>
        <w:t xml:space="preserve">FOR</w:t>
      </w:r>
      <w:r>
        <w:rPr>
          <w:b/>
          <w:bCs/>
        </w:rPr>
        <w:t xml:space="preserve"> </w:t>
      </w:r>
      <w:r>
        <w:rPr>
          <w:b/>
          <w:bCs/>
        </w:rPr>
        <w:t xml:space="preserve">REVIEW</w:t>
      </w:r>
    </w:p>
    <w:p>
      <w:pPr>
        <w:pStyle w:val="BodyText"/>
      </w:pPr>
      <w:r>
        <w:t xml:space="preserve">The amicus curiae will address only two of Mr. Olson’s issues presented by his Statement of Points on Appeal. While the amicus does not disagree with Mr. Olson’s other points, the amicus curiae wishes to focus its brief those claims sounding in constitutional law.</w:t>
      </w:r>
    </w:p>
    <w:p>
      <w:pPr>
        <w:pStyle w:val="XdList1"/>
      </w:pPr>
      <w:r>
        <w:t xml:space="preserve">1.</w:t>
      </w:r>
      <w:r>
        <w:tab/>
      </w:r>
      <w:r>
        <w:t xml:space="preserve">When the Superior Court granted judgment notwithstanding the verdict on qualified immunity grounds against Mr. Olson, did it err by failing to consider the evidence and jury verdict in the light most favorable to the non-moving party?</w:t>
      </w:r>
    </w:p>
    <w:p>
      <w:pPr>
        <w:pStyle w:val="XdList1"/>
      </w:pPr>
      <w:r>
        <w:t xml:space="preserve">2.</w:t>
      </w:r>
      <w:r>
        <w:tab/>
      </w:r>
      <w:r>
        <w:t xml:space="preserve">When the Superior Court granted judgment notwithstanding the verdict on qualified immunity grounds against Mr. Olson, did it err by finding that the officers had no notice that they were using excessive force</w:t>
      </w:r>
    </w:p>
    <w:p>
      <w:pPr>
        <w:pStyle w:val="BodyText"/>
      </w:pPr>
      <w:r>
        <w:t xml:space="preserve">A. From the egregious and excessive nature of the officers’ conduct itself?</w:t>
      </w:r>
    </w:p>
    <w:p>
      <w:pPr>
        <w:pStyle w:val="BodyText"/>
      </w:pPr>
      <w:r>
        <w:t xml:space="preserve">B. From existing Hooper Bay policy?</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keepNext/>
        <w:keepLines/>
        <w:spacing w:before="312" w:after="208" w:line="299" w:lineRule="exact"/>
        <w:ind w:left="720" w:hanging="720"/>
        <w:jc w:val="left"/>
      </w:pPr>
      <w:r>
        <w:rPr>
          <w:b/>
          <w:bCs/>
        </w:rPr>
        <w:t xml:space="preserve">I.</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Around 4:00 AM on December 26, 2006, Hooper Bay Police Officers Nathan Joseph and Dmitri Oaks arrived at Mr. Olson’s home in the town of Hooper Bay, Alaska to conduct a welfare check. [Tr. 493]; [Tr. 797</w:t>
      </w:r>
      <w:r>
        <w:noBreakHyphen/>
      </w:r>
      <w:r>
        <w:t xml:space="preserve">98]. They discovered Thomas Olson and Peter Olson inside, asleep. The officers also discovered several of Thomas Olson’s young children awake in the house. Believing the men to be intoxicated, the officers placed both men in handcuffs with their hands behind their backs. [Tr. 807</w:t>
      </w:r>
      <w:r>
        <w:noBreakHyphen/>
      </w:r>
      <w:r>
        <w:t xml:space="preserve">809]. The two officers called for a third officer, Charles Simon, to come to the scene. He arrived after Officer Joseph and Officer Oaks had handcuffed both men.</w:t>
      </w:r>
    </w:p>
    <w:p>
      <w:pPr>
        <w:pStyle w:val="BodyText"/>
      </w:pPr>
      <w:r>
        <w:t xml:space="preserve">After Officer Simon arrived, the three officers decided to arrest Thomas Olson and remove him from the house. They began leaving the house, with Officer Oaks and Officer Simon on either side of Mr. Olson, holding him by the elbows. [Tr. 712]. As they headed for the door, the three men slipped and fell to the floor in a heap. [Tr. 510]. After falling to the floor, Mr. Olson began to resist efforts to take him out the door by kicking at the officers while in sitting or lying down. Mr. Olson also attempted to bite at least one of the officers at least once.</w:t>
      </w:r>
    </w:p>
    <w:p>
      <w:pPr>
        <w:pStyle w:val="BodyText"/>
      </w:pPr>
      <w:r>
        <w:t xml:space="preserve">Mr. Olson testified at trial that Officers Joseph and Simon then tasered him roughly 16 to 18 times. [Tr. 506]. Mr. Olson further stated that he received roughly 15 tasings within about a minute or a minute and a half. [Tr. 506</w:t>
      </w:r>
      <w:r>
        <w:noBreakHyphen/>
      </w:r>
      <w:r>
        <w:t xml:space="preserve">507].</w:t>
      </w:r>
    </w:p>
    <w:p>
      <w:pPr>
        <w:pStyle w:val="BodyText"/>
      </w:pPr>
      <w:r>
        <w:t xml:space="preserve">Officers Simon and Joseph testified to repeatedly tasing Thomas Olson. Officer Simon testified that he administered two two-second drive stuns to Mr. Olson’s back. [Tr. 715]. Officer Simon testified that he then tased Mr. Olson three times in the area of Mr. Olson’s collarbone. [Tr. 717]. Officer Simon testified that he then tased Mr. Olson at least two times on the inside of Mr. Olson’s thigh. [Tr. 718].</w:t>
      </w:r>
    </w:p>
    <w:p>
      <w:pPr>
        <w:pStyle w:val="BodyText"/>
      </w:pPr>
      <w:r>
        <w:t xml:space="preserve">After Officer Simon used his taser on Mr. Olson, Officer Joseph testified that he also used his taser on Mr. Olson. Officer Joseph testified that he began by shooting the prongs of his taser at Mr. Olson’s right shoulder and discharged the taser for 5 seconds. [Tr. 813]. He discharged his taser from a distance two more times. [Tr. 814]. He then applied the taser directly to Mr. Olson at least two or three more times on his back. [Tr. 815</w:t>
      </w:r>
      <w:r>
        <w:noBreakHyphen/>
      </w:r>
      <w:r>
        <w:t xml:space="preserve">17].</w:t>
      </w:r>
    </w:p>
    <w:p>
      <w:pPr>
        <w:pStyle w:val="BodyText"/>
      </w:pPr>
      <w:r>
        <w:t xml:space="preserve">The testimony of the three witnesses to the incident—Mr. Olson, Officer Joseph, and Officer Simon—differed on several points. Mr. Olson and the officers testified to very different circumstances regarding the nature of the tasing and Mr. Olson’s resistance. Mr. Olson admitted to kicking “in the beginning” but testified that the officers “continued to tase [him ] after [he] stopped resisting and became compliant.” [Tr. 646]; [Tr. 652</w:t>
      </w:r>
      <w:r>
        <w:noBreakHyphen/>
      </w:r>
      <w:r>
        <w:t xml:space="preserve">53]. Officer Joseph, however, testified that Mr. Olson was not tased after he ceased resisting. [Tr. 905]. The witnesses also disagreed somewhat on the number of tasings: Mr. Olson testified that he was tasered 16 to18 times in total, while Officer Joseph and Officer Simon admitted to 12</w:t>
      </w:r>
      <w:r>
        <w:noBreakHyphen/>
      </w:r>
      <w:r>
        <w:t xml:space="preserve">13 tasings between them. [Tr. 469];[Tr. 715- 718]; [Tr. 815</w:t>
      </w:r>
      <w:r>
        <w:noBreakHyphen/>
      </w:r>
      <w:r>
        <w:t xml:space="preserve">16]. The witnesses also disagreed on how many tasings were effective. Mr. Olson indicated that essentially all of the tasings during the concentrated minute or minute and a half of tasings were effective and rated the pain caused by them as a seven on a scale of one to ten. [Tr. 512]. Officer Joseph testified only that the “the very last” tasing was effective. [Tr. 878].</w:t>
      </w:r>
    </w:p>
    <w:p>
      <w:pPr>
        <w:keepNext/>
        <w:keepLines/>
        <w:spacing w:before="312" w:after="208" w:line="299" w:lineRule="exact"/>
        <w:ind w:left="720" w:hanging="720"/>
        <w:jc w:val="left"/>
      </w:pPr>
      <w:r>
        <w:rPr>
          <w:b/>
          <w:bCs/>
        </w:rPr>
        <w:t xml:space="preserve">II.</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Proceedings</w:t>
      </w:r>
    </w:p>
    <w:p>
      <w:pPr>
        <w:pStyle w:val="BodyTextNote"/>
      </w:pPr>
      <w:r>
        <w:t xml:space="preserve">Mr. Olson filed a complaint for relief in this matter in 2007. In 2008, Hooper Bay filed a motion for summary judgment on qualified immunity grounds which the Superior Court granted. Mr. Olson filed an appeal to this Court; this Court remanded the case for further consideration on qualified immunity.</w:t>
      </w:r>
      <w:r>
        <w:rPr>
          <w:rStyle w:val="FootnoteReference"/>
        </w:rPr>
        <w:footnoteReference w:id="9"/>
      </w:r>
      <w:r>
        <w:t xml:space="preserve"> </w:t>
      </w:r>
      <w:r>
        <w:t xml:space="preserve">The Superior Court, following remand, found that the question of qualified immunity required the resolution of material disputed facts. The matter proceeded to trial.</w:t>
      </w:r>
    </w:p>
    <w:p>
      <w:pPr>
        <w:pStyle w:val="BodyText"/>
      </w:pPr>
      <w:r>
        <w:t xml:space="preserve">At the close of evidence, Hooper Bay filed a motion for a directed verdict under Rule 50(a), which the Superior Court denied, on the grounds that too many material facts were in dispute. [Tr. 1100]. At trial, the jury found for the plaintiff, judged Mr. Olson to be 30% responsible for his injuries, and awarded $250,000 in past compensatory damages and $250,000 in future compensatory damages. [Exc. 140</w:t>
      </w:r>
      <w:r>
        <w:noBreakHyphen/>
      </w:r>
      <w:r>
        <w:t xml:space="preserve">42]. Hooper Bay filed a motion for a mistrial and a supplemental memorandum on the issue of qualified immunity; however, to the best of the amicus’s knowledge, Hooper Bay never filed a motion for a judgment notwithstanding the verdict citing Civil Rule 50(b). Nevertheless, the Superior Court granted judgment notwithstanding the verdict a few months later, finding that, in light of the trial evidence and the assignment of partial responsibility to Mr. Olson by the jury, the defense of qualified immunity attached to Hooper Bay. The Superior Court entered a modified final judgment in favor of Hooper Bay.</w:t>
      </w:r>
    </w:p>
    <w:p>
      <w:pPr>
        <w:keepNext/>
        <w:keepLines/>
        <w:spacing w:before="312" w:after="208" w:line="299" w:lineRule="exact"/>
        <w:ind w:left="720" w:hanging="720"/>
        <w:jc w:val="left"/>
      </w:pPr>
      <w:r>
        <w:rPr>
          <w:b/>
          <w:bCs/>
        </w:rPr>
        <w:t xml:space="preserve">III.</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Note"/>
      </w:pPr>
      <w:r>
        <w:t xml:space="preserve">In reviewing the grant of judgment notwithstanding the verdict, the “substantive legal question is whether the evidence, and all reasonable inferences which may be drawn from the evidence, viewed in the light most favorable to the non-moving party, permits room for diversity of opinion among reasonable jurors.”</w:t>
      </w:r>
      <w:r>
        <w:rPr>
          <w:rStyle w:val="FootnoteReference"/>
        </w:rPr>
        <w:footnoteReference w:id="10"/>
      </w:r>
      <w:r>
        <w:t xml:space="preserve"> </w:t>
      </w:r>
      <w:r>
        <w:t xml:space="preserve">Such judgments “should be scrutinized under a principle of minimum intrusion into the right to jury trial guaranteed under the Alaska Constitution…. If there is any doubt, questions of fact should be submitted to the jury.”</w:t>
      </w:r>
      <w:r>
        <w:rPr>
          <w:rStyle w:val="FootnoteReference"/>
        </w:rPr>
        <w:footnoteReference w:id="11"/>
      </w:r>
      <w:r>
        <w:t xml:space="preserve"> </w:t>
      </w:r>
      <w:r>
        <w:t xml:space="preserve">“[T]o the extent that a ruling on a motion for [JNOV] involves questions of law, those questions will be reviewed de novo.”</w:t>
      </w:r>
      <w:r>
        <w:rPr>
          <w:rStyle w:val="FootnoteReference"/>
        </w:rPr>
        <w:footnoteReference w:id="12"/>
      </w:r>
      <w:r>
        <w:t xml:space="preserve"> </w:t>
      </w:r>
      <w:r>
        <w:t xml:space="preserve">“When a qualified immunity defense is pressed after a jury verdict, the evidence must be construed in the light most hospitable to the party that prevailed at trial.”</w:t>
      </w:r>
      <w:r>
        <w:rPr>
          <w:rStyle w:val="FootnoteReference"/>
        </w:rPr>
        <w:footnoteReference w:id="13"/>
      </w:r>
    </w:p>
    <w:p>
      <w:pPr>
        <w:keepNext/>
        <w:keepLines/>
        <w:spacing w:before="312" w:after="208" w:line="299" w:lineRule="exact"/>
        <w:ind w:left="720" w:hanging="720"/>
        <w:jc w:val="left"/>
      </w:pPr>
      <w:r>
        <w:rPr>
          <w:b/>
          <w:bCs/>
        </w:rPr>
        <w:t xml:space="preserve">IV.</w:t>
      </w:r>
      <w:r>
        <w:rPr>
          <w:b/>
          <w:bCs/>
        </w:rPr>
        <w:t xml:space="preserve"> </w:t>
      </w:r>
      <w:r>
        <w:rPr>
          <w:b/>
          <w:bCs/>
        </w:rPr>
        <w:t xml:space="preserve">Argument</w:t>
      </w:r>
    </w:p>
    <w:p>
      <w:pPr>
        <w:keepNext/>
        <w:keepLines/>
        <w:spacing w:before="260" w:after="208" w:line="299"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Superior</w:t>
      </w:r>
      <w:r>
        <w:rPr>
          <w:b/>
          <w:bCs/>
          <w:i/>
          <w:iCs/>
        </w:rPr>
        <w:t xml:space="preserve"> </w:t>
      </w:r>
      <w:r>
        <w:rPr>
          <w:b/>
          <w:bCs/>
          <w:i/>
          <w:iCs/>
        </w:rPr>
        <w:t xml:space="preserve">Court</w:t>
      </w:r>
      <w:r>
        <w:rPr>
          <w:b/>
          <w:bCs/>
          <w:i/>
          <w:iCs/>
        </w:rPr>
        <w:t xml:space="preserve"> </w:t>
      </w:r>
      <w:r>
        <w:rPr>
          <w:b/>
          <w:bCs/>
          <w:i/>
          <w:iCs/>
        </w:rPr>
        <w:t xml:space="preserve">Erred</w:t>
      </w:r>
      <w:r>
        <w:rPr>
          <w:b/>
          <w:bCs/>
          <w:i/>
          <w:iCs/>
        </w:rPr>
        <w:t xml:space="preserve"> </w:t>
      </w:r>
      <w:r>
        <w:rPr>
          <w:b/>
          <w:bCs/>
          <w:i/>
          <w:iCs/>
        </w:rPr>
        <w:t xml:space="preserve">by</w:t>
      </w:r>
      <w:r>
        <w:rPr>
          <w:b/>
          <w:bCs/>
          <w:i/>
          <w:iCs/>
        </w:rPr>
        <w:t xml:space="preserve"> </w:t>
      </w:r>
      <w:r>
        <w:rPr>
          <w:b/>
          <w:bCs/>
          <w:i/>
          <w:iCs/>
        </w:rPr>
        <w:t xml:space="preserve">Failing</w:t>
      </w:r>
      <w:r>
        <w:rPr>
          <w:b/>
          <w:bCs/>
          <w:i/>
          <w:iCs/>
        </w:rPr>
        <w:t xml:space="preserve"> </w:t>
      </w:r>
      <w:r>
        <w:rPr>
          <w:b/>
          <w:bCs/>
          <w:i/>
          <w:iCs/>
        </w:rPr>
        <w:t xml:space="preserve">to</w:t>
      </w:r>
      <w:r>
        <w:rPr>
          <w:b/>
          <w:bCs/>
          <w:i/>
          <w:iCs/>
        </w:rPr>
        <w:t xml:space="preserve"> </w:t>
      </w:r>
      <w:r>
        <w:rPr>
          <w:b/>
          <w:bCs/>
          <w:i/>
          <w:iCs/>
        </w:rPr>
        <w:t xml:space="preserve">View</w:t>
      </w:r>
      <w:r>
        <w:rPr>
          <w:b/>
          <w:bCs/>
          <w:i/>
          <w:iCs/>
        </w:rPr>
        <w:t xml:space="preserve"> </w:t>
      </w:r>
      <w:r>
        <w:rPr>
          <w:b/>
          <w:bCs/>
          <w:i/>
          <w:iCs/>
        </w:rPr>
        <w:t xml:space="preserve">the</w:t>
      </w:r>
      <w:r>
        <w:rPr>
          <w:b/>
          <w:bCs/>
          <w:i/>
          <w:iCs/>
        </w:rPr>
        <w:t xml:space="preserve"> </w:t>
      </w:r>
      <w:r>
        <w:rPr>
          <w:b/>
          <w:bCs/>
          <w:i/>
          <w:iCs/>
        </w:rPr>
        <w:t xml:space="preserve">Evidence</w:t>
      </w:r>
      <w:r>
        <w:rPr>
          <w:b/>
          <w:bCs/>
          <w:i/>
          <w:iCs/>
        </w:rPr>
        <w:t xml:space="preserve"> </w:t>
      </w:r>
      <w:r>
        <w:rPr>
          <w:b/>
          <w:bCs/>
          <w:i/>
          <w:iCs/>
        </w:rPr>
        <w:t xml:space="preserve">and</w:t>
      </w:r>
      <w:r>
        <w:rPr>
          <w:b/>
          <w:bCs/>
          <w:i/>
          <w:iCs/>
        </w:rPr>
        <w:t xml:space="preserve"> </w:t>
      </w:r>
      <w:r>
        <w:rPr>
          <w:b/>
          <w:bCs/>
          <w:i/>
          <w:iCs/>
        </w:rPr>
        <w:t xml:space="preserve">the</w:t>
      </w:r>
      <w:r>
        <w:rPr>
          <w:b/>
          <w:bCs/>
          <w:i/>
          <w:iCs/>
        </w:rPr>
        <w:t xml:space="preserve"> </w:t>
      </w:r>
      <w:r>
        <w:rPr>
          <w:b/>
          <w:bCs/>
          <w:i/>
          <w:iCs/>
        </w:rPr>
        <w:t xml:space="preserve">Verdict</w:t>
      </w:r>
      <w:r>
        <w:rPr>
          <w:b/>
          <w:bCs/>
          <w:i/>
          <w:iCs/>
        </w:rPr>
        <w:t xml:space="preserve"> </w:t>
      </w:r>
      <w:r>
        <w:rPr>
          <w:b/>
          <w:bCs/>
          <w:i/>
          <w:iCs/>
        </w:rPr>
        <w:t xml:space="preserve">in</w:t>
      </w:r>
      <w:r>
        <w:rPr>
          <w:b/>
          <w:bCs/>
          <w:i/>
          <w:iCs/>
        </w:rPr>
        <w:t xml:space="preserve"> </w:t>
      </w:r>
      <w:r>
        <w:rPr>
          <w:b/>
          <w:bCs/>
          <w:i/>
          <w:iCs/>
        </w:rPr>
        <w:t xml:space="preserve">the</w:t>
      </w:r>
      <w:r>
        <w:rPr>
          <w:b/>
          <w:bCs/>
          <w:i/>
          <w:iCs/>
        </w:rPr>
        <w:t xml:space="preserve"> </w:t>
      </w:r>
      <w:r>
        <w:rPr>
          <w:b/>
          <w:bCs/>
          <w:i/>
          <w:iCs/>
        </w:rPr>
        <w:t xml:space="preserve">Light</w:t>
      </w:r>
      <w:r>
        <w:rPr>
          <w:b/>
          <w:bCs/>
          <w:i/>
          <w:iCs/>
        </w:rPr>
        <w:t xml:space="preserve"> </w:t>
      </w:r>
      <w:r>
        <w:rPr>
          <w:b/>
          <w:bCs/>
          <w:i/>
          <w:iCs/>
        </w:rPr>
        <w:t xml:space="preserve">Most</w:t>
      </w:r>
      <w:r>
        <w:rPr>
          <w:b/>
          <w:bCs/>
          <w:i/>
          <w:iCs/>
        </w:rPr>
        <w:t xml:space="preserve"> </w:t>
      </w:r>
      <w:r>
        <w:rPr>
          <w:b/>
          <w:bCs/>
          <w:i/>
          <w:iCs/>
        </w:rPr>
        <w:t xml:space="preserve">Favorable</w:t>
      </w:r>
      <w:r>
        <w:rPr>
          <w:b/>
          <w:bCs/>
          <w:i/>
          <w:iCs/>
        </w:rPr>
        <w:t xml:space="preserve"> </w:t>
      </w:r>
      <w:r>
        <w:rPr>
          <w:b/>
          <w:bCs/>
          <w:i/>
          <w:iCs/>
        </w:rPr>
        <w:t xml:space="preserve">to</w:t>
      </w:r>
      <w:r>
        <w:rPr>
          <w:b/>
          <w:bCs/>
          <w:i/>
          <w:iCs/>
        </w:rPr>
        <w:t xml:space="preserve"> </w:t>
      </w:r>
      <w:r>
        <w:rPr>
          <w:b/>
          <w:bCs/>
          <w:i/>
          <w:iCs/>
        </w:rPr>
        <w:t xml:space="preserve">Mr.</w:t>
      </w:r>
      <w:r>
        <w:rPr>
          <w:b/>
          <w:bCs/>
          <w:i/>
          <w:iCs/>
        </w:rPr>
        <w:t xml:space="preserve"> </w:t>
      </w:r>
      <w:r>
        <w:rPr>
          <w:b/>
          <w:bCs/>
          <w:i/>
          <w:iCs/>
        </w:rPr>
        <w:t xml:space="preserve">Olson</w:t>
      </w:r>
    </w:p>
    <w:p>
      <w:pPr>
        <w:pStyle w:val="BodyTextNote"/>
      </w:pPr>
      <w:r>
        <w:t xml:space="preserve">Like a motion for summary judgment, judgment notwithstanding the verdict may only be granted if, viewing the facts in the light most favorable to the non-moving party, “reasonable persons could not differ in their judgment of the facts.”</w:t>
      </w:r>
      <w:r>
        <w:rPr>
          <w:rStyle w:val="FootnoteReference"/>
        </w:rPr>
        <w:footnoteReference w:id="14"/>
      </w:r>
      <w:r>
        <w:t xml:space="preserve"> </w:t>
      </w:r>
      <w:r>
        <w:t xml:space="preserve">Since Superior Court reversed the jury’s verdict in Mr. Olson’s favor, all facts should have been construed in the light most favorable to Mr. Olson.</w:t>
      </w:r>
    </w:p>
    <w:p>
      <w:pPr>
        <w:keepNext/>
        <w:keepLines/>
        <w:spacing w:before="208" w:after="208" w:line="299" w:lineRule="exact"/>
        <w:ind w:left="720" w:hanging="720"/>
        <w:jc w:val="left"/>
      </w:pPr>
      <w:r>
        <w:rPr>
          <w:b/>
          <w:bCs/>
        </w:rPr>
        <w:t xml:space="preserve">1.</w:t>
      </w:r>
      <w:r>
        <w:rPr>
          <w:b/>
          <w:bCs/>
        </w:rPr>
        <w:t xml:space="preserve"> </w:t>
      </w:r>
      <w:r>
        <w:rPr>
          <w:b/>
          <w:bCs/>
        </w:rPr>
        <w:t xml:space="preserve">The</w:t>
      </w:r>
      <w:r>
        <w:rPr>
          <w:b/>
          <w:bCs/>
        </w:rPr>
        <w:t xml:space="preserve"> </w:t>
      </w:r>
      <w:r>
        <w:rPr>
          <w:b/>
          <w:bCs/>
        </w:rPr>
        <w:t xml:space="preserve">Superior</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Construing</w:t>
      </w:r>
      <w:r>
        <w:rPr>
          <w:b/>
          <w:bCs/>
        </w:rPr>
        <w:t xml:space="preserve"> </w:t>
      </w:r>
      <w:r>
        <w:rPr>
          <w:b/>
          <w:bCs/>
        </w:rPr>
        <w:t xml:space="preserve">the</w:t>
      </w:r>
      <w:r>
        <w:rPr>
          <w:b/>
          <w:bCs/>
        </w:rPr>
        <w:t xml:space="preserve"> </w:t>
      </w:r>
      <w:r>
        <w:rPr>
          <w:b/>
          <w:bCs/>
        </w:rPr>
        <w:t xml:space="preserve">Facts</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Officers’</w:t>
      </w:r>
      <w:r>
        <w:rPr>
          <w:b/>
          <w:bCs/>
        </w:rPr>
        <w:t xml:space="preserve"> </w:t>
      </w:r>
      <w:r>
        <w:rPr>
          <w:b/>
          <w:bCs/>
        </w:rPr>
        <w:t xml:space="preserve">Favor,</w:t>
      </w:r>
      <w:r>
        <w:rPr>
          <w:b/>
          <w:bCs/>
        </w:rPr>
        <w:t xml:space="preserve"> </w:t>
      </w:r>
      <w:r>
        <w:rPr>
          <w:b/>
          <w:bCs/>
        </w:rPr>
        <w:t xml:space="preserve">Rather</w:t>
      </w:r>
      <w:r>
        <w:rPr>
          <w:b/>
          <w:bCs/>
        </w:rPr>
        <w:t xml:space="preserve"> </w:t>
      </w:r>
      <w:r>
        <w:rPr>
          <w:b/>
          <w:bCs/>
        </w:rPr>
        <w:t xml:space="preserve">Than</w:t>
      </w:r>
      <w:r>
        <w:rPr>
          <w:b/>
          <w:bCs/>
        </w:rPr>
        <w:t xml:space="preserve"> </w:t>
      </w:r>
      <w:r>
        <w:rPr>
          <w:b/>
          <w:bCs/>
        </w:rPr>
        <w:t xml:space="preserve">Mr.</w:t>
      </w:r>
      <w:r>
        <w:rPr>
          <w:b/>
          <w:bCs/>
        </w:rPr>
        <w:t xml:space="preserve"> </w:t>
      </w:r>
      <w:r>
        <w:rPr>
          <w:b/>
          <w:bCs/>
        </w:rPr>
        <w:t xml:space="preserve">Olson’s</w:t>
      </w:r>
      <w:r>
        <w:rPr>
          <w:b/>
          <w:bCs/>
        </w:rPr>
        <w:t xml:space="preserve"> </w:t>
      </w:r>
      <w:r>
        <w:rPr>
          <w:b/>
          <w:bCs/>
        </w:rPr>
        <w:t xml:space="preserve">Favor</w:t>
      </w:r>
    </w:p>
    <w:p>
      <w:pPr>
        <w:pStyle w:val="BodyText"/>
      </w:pPr>
      <w:r>
        <w:t xml:space="preserve">The Superior Court instead discussed the facts of the case in its post-verdict decision by “beginning with the officers’ perspectives and perceptions at trial.” [Exc. 342]. The Superior Court’s opinion then exhaustively discussed the officers’ testimony for three pages. [Exc. 342</w:t>
      </w:r>
      <w:r>
        <w:noBreakHyphen/>
      </w:r>
      <w:r>
        <w:t xml:space="preserve">45]. The Superior Court briefly disposed of Mr. Olson’s testimony in a few sentences, stating that his testimony varied on “whether Plaintiff continued physical resistance after the initial deployments of the taser, or ceased physical resistance and remained passive though verbally non-compliant while handcuffed on the floor.” [Exc. 345].</w:t>
      </w:r>
    </w:p>
    <w:p>
      <w:pPr>
        <w:pStyle w:val="BodyText"/>
      </w:pPr>
      <w:r>
        <w:t xml:space="preserve">The Superior Court’s review of the evidence represents exactly what a Superior Court should not do in evaluating evidence for the purposes of entering judgment notwithstanding a verdict. Only three fact witnesses testified who observed the use of force by the officers on Mr. Olson: Officer Joseph, Officer Simon, and Mr. Olson. As recited above, the officers’ “perspectives and perceptions” were dramatically different from Mr. Olson’s testimony. Perhaps most importantly, Mr. Olson testified that the officers continued to tase him after he ceased resisting. [Tr. 652</w:t>
      </w:r>
      <w:r>
        <w:noBreakHyphen/>
      </w:r>
      <w:r>
        <w:t xml:space="preserve">53]. However, the Superior Court instead took notice of the fact that Officer Joseph testified that Mr. Olson continued to resist until the last tasing. [Exc. 345]. The Superior Court stated that “parts of Mr. Olson’s testimony conflict with that of the officers on” that issue. [Exc. 346].</w:t>
      </w:r>
    </w:p>
    <w:p>
      <w:pPr>
        <w:pStyle w:val="BodyTextNote"/>
      </w:pPr>
      <w:r>
        <w:t xml:space="preserve">The law provides a clear answer as to what a court should do with conflicting testimony when judgment notwithstanding the verdict is under consideration: “conflicting evidence is not to be weighed and witness credibility is not to be judged on appeal.”</w:t>
      </w:r>
      <w:r>
        <w:rPr>
          <w:rStyle w:val="FootnoteReference"/>
        </w:rPr>
        <w:footnoteReference w:id="15"/>
      </w:r>
      <w:r>
        <w:t xml:space="preserve"> </w:t>
      </w:r>
      <w:r>
        <w:t xml:space="preserve">Once the Superior Court determined that the officers’ evidence conflicted with Mr. Olson’s testimony, the law dictates that the evidence less favorable to Mr. Olson’s case (here, the officers’ testimony) must be ignored.</w:t>
      </w:r>
      <w:r>
        <w:rPr>
          <w:rStyle w:val="FootnoteReference"/>
        </w:rPr>
        <w:footnoteReference w:id="16"/>
      </w:r>
      <w:r>
        <w:t xml:space="preserve"> </w:t>
      </w:r>
      <w:r>
        <w:t xml:space="preserve">However, the Superior Court erred by crediting the officers’ testimony over that of Mr. Olson.</w:t>
      </w:r>
    </w:p>
    <w:p>
      <w:pPr>
        <w:pStyle w:val="BodyText"/>
      </w:pPr>
      <w:r>
        <w:t xml:space="preserve">The Superior Court went further in discarding all narratives other than those of the officers:</w:t>
      </w:r>
    </w:p>
    <w:p>
      <w:pPr>
        <w:pStyle w:val="XdQuoteOnly"/>
      </w:pPr>
      <w:r>
        <w:t xml:space="preserve">[I]t is the officer’s perceptions that are so important to this inquiry. They had come through this struggle, and only they had the opportunity to perceive what they thought to be plaintiff’s decision to stop resisting. Some might say the resistance ended sooner. Those ‘some’ were either not present nor were there perceiving the event from the officer’s perspective. [Exc. 350]</w:t>
      </w:r>
    </w:p>
    <w:p>
      <w:pPr>
        <w:pStyle w:val="BodyTextNote"/>
      </w:pPr>
      <w:r>
        <w:t xml:space="preserve">The Superior Court’s contention—that only police officers’ testimony “from the officer’s perspective” should be credited or considered in excessive force cases— would effectively put an end to all liability for all police officers, except those who admitted that they violated the law. The witness in question who was “not present” was presumably Mr. Olson’s expert witness, Dr. Lyman; the witness who was present but not “perceiving the event from the officer’s perspective” could only be Mr. Olson. The Superior Court explicitly acknowledges that it chose not to credit or consider the evidence from Mr. Olson and his expert. In doing so, the Superior Court ignored its obligation to consider evidence “in the light most favorable to the non-moving party.”</w:t>
      </w:r>
      <w:r>
        <w:rPr>
          <w:rStyle w:val="FootnoteReference"/>
        </w:rPr>
        <w:footnoteReference w:id="17"/>
      </w:r>
    </w:p>
    <w:p>
      <w:pPr>
        <w:keepNext/>
        <w:keepLines/>
        <w:spacing w:before="208" w:after="208" w:line="299" w:lineRule="exact"/>
        <w:ind w:left="720" w:hanging="720"/>
        <w:jc w:val="left"/>
      </w:pPr>
      <w:r>
        <w:rPr>
          <w:b/>
          <w:bCs/>
        </w:rPr>
        <w:t xml:space="preserve">2.</w:t>
      </w:r>
      <w:r>
        <w:rPr>
          <w:b/>
          <w:bCs/>
        </w:rPr>
        <w:t xml:space="preserve"> </w:t>
      </w:r>
      <w:r>
        <w:rPr>
          <w:b/>
          <w:bCs/>
        </w:rPr>
        <w:t xml:space="preserve">The</w:t>
      </w:r>
      <w:r>
        <w:rPr>
          <w:b/>
          <w:bCs/>
        </w:rPr>
        <w:t xml:space="preserve"> </w:t>
      </w:r>
      <w:r>
        <w:rPr>
          <w:b/>
          <w:bCs/>
        </w:rPr>
        <w:t xml:space="preserve">Superior</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by</w:t>
      </w:r>
      <w:r>
        <w:rPr>
          <w:b/>
          <w:bCs/>
        </w:rPr>
        <w:t xml:space="preserve"> </w:t>
      </w:r>
      <w:r>
        <w:rPr>
          <w:b/>
          <w:bCs/>
        </w:rPr>
        <w:t xml:space="preserve">Failing</w:t>
      </w:r>
      <w:r>
        <w:rPr>
          <w:b/>
          <w:bCs/>
        </w:rPr>
        <w:t xml:space="preserve"> </w:t>
      </w:r>
      <w:r>
        <w:rPr>
          <w:b/>
          <w:bCs/>
        </w:rPr>
        <w:t xml:space="preserve">to</w:t>
      </w:r>
      <w:r>
        <w:rPr>
          <w:b/>
          <w:bCs/>
        </w:rPr>
        <w:t xml:space="preserve"> </w:t>
      </w:r>
      <w:r>
        <w:rPr>
          <w:b/>
          <w:bCs/>
        </w:rPr>
        <w:t xml:space="preserve">Consider</w:t>
      </w:r>
      <w:r>
        <w:rPr>
          <w:b/>
          <w:bCs/>
        </w:rPr>
        <w:t xml:space="preserve"> </w:t>
      </w:r>
      <w:r>
        <w:rPr>
          <w:b/>
          <w:bCs/>
        </w:rPr>
        <w:t xml:space="preserve">the</w:t>
      </w:r>
      <w:r>
        <w:rPr>
          <w:b/>
          <w:bCs/>
        </w:rPr>
        <w:t xml:space="preserve"> </w:t>
      </w:r>
      <w:r>
        <w:rPr>
          <w:b/>
          <w:bCs/>
        </w:rPr>
        <w:t xml:space="preserve">Jury</w:t>
      </w:r>
      <w:r>
        <w:rPr>
          <w:b/>
          <w:bCs/>
        </w:rPr>
        <w:t xml:space="preserve"> </w:t>
      </w:r>
      <w:r>
        <w:rPr>
          <w:b/>
          <w:bCs/>
        </w:rPr>
        <w:t xml:space="preserve">Verdict</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Light</w:t>
      </w:r>
      <w:r>
        <w:rPr>
          <w:b/>
          <w:bCs/>
        </w:rPr>
        <w:t xml:space="preserve"> </w:t>
      </w:r>
      <w:r>
        <w:rPr>
          <w:b/>
          <w:bCs/>
        </w:rPr>
        <w:t xml:space="preserve">Most</w:t>
      </w:r>
      <w:r>
        <w:rPr>
          <w:b/>
          <w:bCs/>
        </w:rPr>
        <w:t xml:space="preserve"> </w:t>
      </w:r>
      <w:r>
        <w:rPr>
          <w:b/>
          <w:bCs/>
        </w:rPr>
        <w:t xml:space="preserve">Favorable</w:t>
      </w:r>
      <w:r>
        <w:rPr>
          <w:b/>
          <w:bCs/>
        </w:rPr>
        <w:t xml:space="preserve"> </w:t>
      </w:r>
      <w:r>
        <w:rPr>
          <w:b/>
          <w:bCs/>
        </w:rPr>
        <w:t xml:space="preserve">to</w:t>
      </w:r>
      <w:r>
        <w:rPr>
          <w:b/>
          <w:bCs/>
        </w:rPr>
        <w:t xml:space="preserve"> </w:t>
      </w:r>
      <w:r>
        <w:rPr>
          <w:b/>
          <w:bCs/>
        </w:rPr>
        <w:t xml:space="preserve">Mr.</w:t>
      </w:r>
      <w:r>
        <w:rPr>
          <w:b/>
          <w:bCs/>
        </w:rPr>
        <w:t xml:space="preserve"> </w:t>
      </w:r>
      <w:r>
        <w:rPr>
          <w:b/>
          <w:bCs/>
        </w:rPr>
        <w:t xml:space="preserve">Olson</w:t>
      </w:r>
    </w:p>
    <w:p>
      <w:pPr>
        <w:pStyle w:val="BodyTextNote"/>
      </w:pPr>
      <w:r>
        <w:t xml:space="preserve">The Superior Court claimed it must reconcile the evidence with the jury finding that Mr. Olson was 30 percent responsible for his injuries. [Exc. 346]. When considering the meaning of a jury verdict for the purposes of a judgment notwithstanding the verdict, the court should construe “evidence in the light most favorable to the jury verdict.”</w:t>
      </w:r>
      <w:r>
        <w:rPr>
          <w:rStyle w:val="FootnoteReference"/>
        </w:rPr>
        <w:footnoteReference w:id="18"/>
      </w:r>
      <w:r>
        <w:t xml:space="preserve"> </w:t>
      </w:r>
      <w:r>
        <w:t xml:space="preserve">However, the jury’s apportionment of fault was not a conclusive determination that Mr. Olson continued to resist until the last tasing. The Superior Court could have ordered the jury to make a special finding regarding whether or not Mr. Olson continued to resist until the final tasing; it declined to do so. Neither did the Superior Court instruct the jury that any finding of fault on Mr. Olson’s part could only be granted if the jury found that he resisted until the last tasing.</w:t>
      </w:r>
    </w:p>
    <w:p>
      <w:pPr>
        <w:pStyle w:val="BodyText"/>
      </w:pPr>
      <w:r>
        <w:t xml:space="preserve">Instead, the Superior Court asserted that the apportionment of fault meant that the “the jury found that Plaintiff continued to actively resist arrest during the later phases of the contact” because of the following passage in closing argument from Mr. Olson’s counsel:</w:t>
      </w:r>
    </w:p>
    <w:p>
      <w:pPr>
        <w:pStyle w:val="XdQuoteOnly"/>
      </w:pPr>
      <w:r>
        <w:t xml:space="preserve">And then you decide how much money gives Mr. Olson justice in this case and then one thing that you can do is at the end, you can even decide if you wanted to that Mr. Olson was somewhat at fault himself and you can reduce the amount of money that you write on line three and give him some of the fault. If you think he was still struggling but that the force was still excessive, maybe you find him somewhat at fault and he takes some of the fault. It’s up to you to decide as the jury. [Tr. 1215]; [Exc. 346].</w:t>
      </w:r>
    </w:p>
    <w:p>
      <w:pPr>
        <w:pStyle w:val="BodyText"/>
      </w:pPr>
      <w:r>
        <w:t xml:space="preserve">The section of argument highlighted by the Superior Court cannot sustain the weight the Superior Court puts on it, that of completely setting aside the verdict. Mr. Olson’s counsel properly acknowledged that if Mr. Olson was “somewhat at fault,” the jury could assign partial responsibility to him. Among the ways listed that Mr. Olson could be “somewhat at fault” was if he was “still struggling.” Nowhere does the highlighted argument state that the only way fault could be partially attributed to Mr. Olson was if he was “still struggling,” nor does the highlighted argument clearly define the timeframe of a finding that Mr. Olson was “still struggling” as meaning finding that Mr. Olson continued to struggle up to and until the final tasing.</w:t>
      </w:r>
    </w:p>
    <w:p>
      <w:pPr>
        <w:pStyle w:val="BodyTextNote"/>
      </w:pPr>
      <w:r>
        <w:t xml:space="preserve">In light of “the deference that we must give to juries,” courts may not render judgment notwithstanding the verdict on qualified immunity grounds if the jury could have possibly determined facts inconsistent with the qualified immunity defense.</w:t>
      </w:r>
      <w:r>
        <w:rPr>
          <w:rStyle w:val="FootnoteReference"/>
        </w:rPr>
        <w:footnoteReference w:id="19"/>
      </w:r>
      <w:r>
        <w:t xml:space="preserve"> </w:t>
      </w:r>
      <w:r>
        <w:t xml:space="preserve">The jury’s apportionment of fault could have meant that Mr. Olson was resisting until the final tasing and that the use of force was still excessive. The jury’s apportionment of fault could have meant that Mr. Olson resisted through the first 9 tasings but not the last several tasings. The jury’s apportionment of fault could have meant that Mr. Olson was partially at fault for not going quietly with the officers from the outset. No one can know for certain why the jury apportioned fault in the way it did, because the Superior Court did not require a special verdict on how long Mr. Olson continued his resistance.</w:t>
      </w:r>
    </w:p>
    <w:p>
      <w:pPr>
        <w:pStyle w:val="BodyTextNote"/>
      </w:pPr>
      <w:r>
        <w:t xml:space="preserve">Having failed to seek such a special verdict, the Superior Court could not draw adverse inferences from the partially-apportioned verdict in Mr. Olson’s favor.</w:t>
      </w:r>
      <w:r>
        <w:rPr>
          <w:rStyle w:val="FootnoteReference"/>
        </w:rPr>
        <w:footnoteReference w:id="20"/>
      </w:r>
      <w:r>
        <w:t xml:space="preserve"> </w:t>
      </w:r>
      <w:r>
        <w:t xml:space="preserve">The Superior Court was obliged to construe the evidence by granting all reasonable inferences in favor of Mr. Olson and also obliged to construe the jury verdict in his favor. In the absence of a clear and definitive finding of fact from the jury that Mr. Olson was resisting until the final tasing, the Superior Court was not entitled to construe the apportionment of fault against Mr. Olson’s interests.</w:t>
      </w:r>
    </w:p>
    <w:p>
      <w:pPr>
        <w:pStyle w:val="BodyTextNote"/>
      </w:pPr>
      <w:r>
        <w:t xml:space="preserve">Moreover, the sincerity of the Superior Court’s claim that this vague reference to apportionment in closing argument meant that “reasonable persons could not differ in their judgment of the facts,” muddles the question of whether the Superior Court was relying exclusively on the apportioned verdict, or on the Superior Court’s rejection of Mr. Olson’s testimony as described above.</w:t>
      </w:r>
      <w:r>
        <w:rPr>
          <w:rStyle w:val="FootnoteReference"/>
        </w:rPr>
        <w:footnoteReference w:id="21"/>
      </w:r>
      <w:r>
        <w:t xml:space="preserve"> </w:t>
      </w:r>
      <w:r>
        <w:t xml:space="preserve">The Superior Court’s opinion even puts the police officers in the traditionally heroic role of the football quarterback:</w:t>
      </w:r>
    </w:p>
    <w:p>
      <w:pPr>
        <w:pStyle w:val="BodyText"/>
      </w:pPr>
      <w:r>
        <w:t xml:space="preserve">These officers decided to use their tasers. Monday morning quarter-backing is an easy thing to do; we are not the one the lineman is after; we are not the one releasing the ball too quickly because of the throbbing pain from that last hit. [Exc. 350]. The Superior Court clearly sympathized with the officers in this case, treating them in its metaphor like heroes. However, the role of the Superior Court in this case is not to substitute its judgment of the facts for the jury’s, nor to re-construe the facts. The specter of a judge in a rural community overturning a jury verdict against law enforcement agents because of judicial sympathies with the officers is exactly the scenario that the jury trial right should protect against.</w:t>
      </w:r>
    </w:p>
    <w:p>
      <w:pPr>
        <w:pStyle w:val="BodyTextNote"/>
      </w:pPr>
      <w:r>
        <w:t xml:space="preserve">To anticipate an objection, the amicus acknowledges that the law on qualified immunity does require that a court consider the “officers’ perspectives and perceptions, as it is what reasonable officers in their position could have thought that is dispositive of this issue.”</w:t>
      </w:r>
      <w:r>
        <w:rPr>
          <w:rStyle w:val="FootnoteReference"/>
        </w:rPr>
        <w:footnoteReference w:id="22"/>
      </w:r>
      <w:r>
        <w:t xml:space="preserve"> </w:t>
      </w:r>
      <w:r>
        <w:t xml:space="preserve">Reconciling the obligation to take facts in the light most favorable to the plaintiff and the obligation to consider what reasonable officers in the officers’ position would have believed is a difficult needle for a judge to thread. However, the proper statement of the law is to take the facts in the light most favorable to the plaintiff and consider how those facts, so construed, would have appeared to a reasonable officer.</w:t>
      </w:r>
    </w:p>
    <w:p>
      <w:pPr>
        <w:pStyle w:val="BodyTextNote"/>
      </w:pPr>
      <w:r>
        <w:t xml:space="preserve">Mr. Olson testified that he was no longer resisting at the time of the last shocks, while Officer Joseph flatly stated that his resistance continued until the last shock. [Tr. 652</w:t>
      </w:r>
      <w:r>
        <w:noBreakHyphen/>
      </w:r>
      <w:r>
        <w:t xml:space="preserve">53]; [Tr. 904</w:t>
      </w:r>
      <w:r>
        <w:noBreakHyphen/>
      </w:r>
      <w:r>
        <w:t xml:space="preserve">05]. Absent from the argument of defense counsel is a theory in which Mr. Olson may have moved his body in a way that the officers reasonably mistook for continued resistance. In fact, Hooper Bay actively sought to debunk any such theory. [Exc. 217] (obtaining denial from plaintiff’s expert that involuntary muscle movements were a consequence of tasing). Instead, Hooper Bay pursued a theory of liability in which either the officers were telling the truth and Mr. Olson was lying, which the Superior Court could not entertain taking evidence in the “light most favorable to the movant”; alternately, Hooper Bay elsewhere suggested both the officers and Mr. Olson agreed he continued to resist until the final tasing, which was not clearly supported by the record and contradicted by some of Mr. Olson’s testimony, as previously described.</w:t>
      </w:r>
      <w:r>
        <w:rPr>
          <w:rStyle w:val="FootnoteReference"/>
        </w:rPr>
        <w:footnoteReference w:id="23"/>
      </w:r>
      <w:r>
        <w:t xml:space="preserve"> </w:t>
      </w:r>
      <w:r>
        <w:t xml:space="preserve">Nor did the Superior Court rest its ruling on a construction of facts consistent with Mr. Olson’s testimony and then construe how the conduct described in that testimony would have appeared to the officers; the Superior Court simply rejected Mr. Olson’s testimony that he was tased after he stopped resisting and credited Officer Joseph’s testimony that the resistance continued until the final tasing.</w:t>
      </w:r>
      <w:r>
        <w:rPr>
          <w:rStyle w:val="FootnoteReference"/>
        </w:rPr>
        <w:footnoteReference w:id="24"/>
      </w:r>
      <w:r>
        <w:t xml:space="preserve"> </w:t>
      </w:r>
      <w:r>
        <w:t xml:space="preserve">The admonition to consider the perceptions of the reasonable officer surely does not mean that, in every case, the testimony of excessive force plaintiffs should be discarded in favor of the testimony of the officer-defendant. The jury’s verdict and the testimony, construed in the light most favorable to the plaintiff and through the lens of the reasonable officer perceiving the actions described in those facts, supports the notion that the officers continued to tase Mr. Olson after he stopped resisting.</w:t>
      </w:r>
    </w:p>
    <w:p>
      <w:pPr>
        <w:keepNext/>
        <w:keepLines/>
        <w:spacing w:before="208" w:after="208" w:line="299" w:lineRule="exact"/>
        <w:ind w:left="720" w:hanging="720"/>
        <w:jc w:val="left"/>
      </w:pPr>
      <w:r>
        <w:rPr>
          <w:b/>
          <w:bCs/>
        </w:rPr>
        <w:t xml:space="preserve">3.</w:t>
      </w:r>
      <w:r>
        <w:rPr>
          <w:b/>
          <w:bCs/>
        </w:rPr>
        <w:t xml:space="preserve"> </w:t>
      </w:r>
      <w:r>
        <w:rPr>
          <w:b/>
          <w:bCs/>
        </w:rPr>
        <w:t xml:space="preserve">The</w:t>
      </w:r>
      <w:r>
        <w:rPr>
          <w:b/>
          <w:bCs/>
        </w:rPr>
        <w:t xml:space="preserve"> </w:t>
      </w:r>
      <w:r>
        <w:rPr>
          <w:b/>
          <w:bCs/>
        </w:rPr>
        <w:t xml:space="preserve">Rules</w:t>
      </w:r>
      <w:r>
        <w:rPr>
          <w:b/>
          <w:bCs/>
        </w:rPr>
        <w:t xml:space="preserve"> </w:t>
      </w:r>
      <w:r>
        <w:rPr>
          <w:b/>
          <w:bCs/>
        </w:rPr>
        <w:t xml:space="preserve">Regarding</w:t>
      </w:r>
      <w:r>
        <w:rPr>
          <w:b/>
          <w:bCs/>
        </w:rPr>
        <w:t xml:space="preserve"> </w:t>
      </w:r>
      <w:r>
        <w:rPr>
          <w:b/>
          <w:bCs/>
        </w:rPr>
        <w:t xml:space="preserve">the</w:t>
      </w:r>
      <w:r>
        <w:rPr>
          <w:b/>
          <w:bCs/>
        </w:rPr>
        <w:t xml:space="preserve"> </w:t>
      </w:r>
      <w:r>
        <w:rPr>
          <w:b/>
          <w:bCs/>
        </w:rPr>
        <w:t xml:space="preserve">Jury’s</w:t>
      </w:r>
      <w:r>
        <w:rPr>
          <w:b/>
          <w:bCs/>
        </w:rPr>
        <w:t xml:space="preserve"> </w:t>
      </w:r>
      <w:r>
        <w:rPr>
          <w:b/>
          <w:bCs/>
        </w:rPr>
        <w:t xml:space="preserve">Role</w:t>
      </w:r>
      <w:r>
        <w:rPr>
          <w:b/>
          <w:bCs/>
        </w:rPr>
        <w:t xml:space="preserve"> </w:t>
      </w:r>
      <w:r>
        <w:rPr>
          <w:b/>
          <w:bCs/>
        </w:rPr>
        <w:t xml:space="preserve">as</w:t>
      </w:r>
      <w:r>
        <w:rPr>
          <w:b/>
          <w:bCs/>
        </w:rPr>
        <w:t xml:space="preserve"> </w:t>
      </w:r>
      <w:r>
        <w:rPr>
          <w:b/>
          <w:bCs/>
        </w:rPr>
        <w:t xml:space="preserve">Sole</w:t>
      </w:r>
      <w:r>
        <w:rPr>
          <w:b/>
          <w:bCs/>
        </w:rPr>
        <w:t xml:space="preserve"> </w:t>
      </w:r>
      <w:r>
        <w:rPr>
          <w:b/>
          <w:bCs/>
        </w:rPr>
        <w:t xml:space="preserve">Arbiter</w:t>
      </w:r>
      <w:r>
        <w:rPr>
          <w:b/>
          <w:bCs/>
        </w:rPr>
        <w:t xml:space="preserve"> </w:t>
      </w:r>
      <w:r>
        <w:rPr>
          <w:b/>
          <w:bCs/>
        </w:rPr>
        <w:t xml:space="preserve">of</w:t>
      </w:r>
      <w:r>
        <w:rPr>
          <w:b/>
          <w:bCs/>
        </w:rPr>
        <w:t xml:space="preserve"> </w:t>
      </w:r>
      <w:r>
        <w:rPr>
          <w:b/>
          <w:bCs/>
        </w:rPr>
        <w:t xml:space="preserve">Fact</w:t>
      </w:r>
      <w:r>
        <w:rPr>
          <w:b/>
          <w:bCs/>
        </w:rPr>
        <w:t xml:space="preserve"> </w:t>
      </w:r>
      <w:r>
        <w:rPr>
          <w:b/>
          <w:bCs/>
        </w:rPr>
        <w:t xml:space="preserve">Are</w:t>
      </w:r>
      <w:r>
        <w:rPr>
          <w:b/>
          <w:bCs/>
        </w:rPr>
        <w:t xml:space="preserve"> </w:t>
      </w:r>
      <w:r>
        <w:rPr>
          <w:b/>
          <w:bCs/>
        </w:rPr>
        <w:t xml:space="preserve">Grounded</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Alaska</w:t>
      </w:r>
      <w:r>
        <w:rPr>
          <w:b/>
          <w:bCs/>
        </w:rPr>
        <w:t xml:space="preserve"> </w:t>
      </w:r>
      <w:r>
        <w:rPr>
          <w:b/>
          <w:bCs/>
        </w:rPr>
        <w:t xml:space="preserve">Constitution</w:t>
      </w:r>
    </w:p>
    <w:p>
      <w:pPr>
        <w:pStyle w:val="BodyTextNote"/>
      </w:pPr>
      <w:r>
        <w:t xml:space="preserve">The construction of the facts at trial is the exclusive province of the jury. Judges may determine the law, but they may not intrude on the jury’s determination of the facts.</w:t>
      </w:r>
      <w:r>
        <w:rPr>
          <w:rStyle w:val="FootnoteReference"/>
        </w:rPr>
        <w:footnoteReference w:id="25"/>
      </w:r>
      <w:r>
        <w:t xml:space="preserve"> </w:t>
      </w:r>
      <w:r>
        <w:t xml:space="preserve">Allowing judges to set aside verdicts casually would demolish the right of the individual to a trial by jury. Alaska Const., Art. I, Sec. 16. Under the analogous federal civil jury trial right, the justice system “distributes trial functions between judge and jury and, under the influence—if not the command—of the Seventh Amendment, assigns the decisions of disputed questions of fact to the jury.”</w:t>
      </w:r>
      <w:r>
        <w:rPr>
          <w:rStyle w:val="FootnoteReference"/>
        </w:rPr>
        <w:footnoteReference w:id="26"/>
      </w:r>
      <w:r>
        <w:t xml:space="preserve"> </w:t>
      </w:r>
      <w:r>
        <w:t xml:space="preserve">The obligation of the trial court, in considering judgment notwithstanding the verdict, to construe facts in the light most favorable to the non-movant is not merely a doctrine of judicial prudence; it is a doctrine of constitutional dimension. The Superior Court was not entitled to resolve conflicting testimony or to construe facts based on the court’s own preferences and sympathies. Mr. Olson has an absolute right to a trial by jury, which may not be abrogated by the court’s re-weighing of the facts.</w:t>
      </w:r>
    </w:p>
    <w:p>
      <w:pPr>
        <w:keepNext/>
        <w:keepLines/>
        <w:spacing w:before="208" w:after="208" w:line="299" w:lineRule="exact"/>
        <w:ind w:left="720" w:hanging="720"/>
        <w:jc w:val="left"/>
      </w:pPr>
      <w:r>
        <w:rPr>
          <w:b/>
          <w:bCs/>
        </w:rPr>
        <w:t xml:space="preserve">4.</w:t>
      </w:r>
      <w:r>
        <w:rPr>
          <w:b/>
          <w:bCs/>
        </w:rPr>
        <w:t xml:space="preserve"> </w:t>
      </w:r>
      <w:r>
        <w:rPr>
          <w:b/>
          <w:bCs/>
        </w:rPr>
        <w:t xml:space="preserve">The</w:t>
      </w:r>
      <w:r>
        <w:rPr>
          <w:b/>
          <w:bCs/>
        </w:rPr>
        <w:t xml:space="preserve"> </w:t>
      </w:r>
      <w:r>
        <w:rPr>
          <w:b/>
          <w:bCs/>
        </w:rPr>
        <w:t xml:space="preserve">Superior</w:t>
      </w:r>
      <w:r>
        <w:rPr>
          <w:b/>
          <w:bCs/>
        </w:rPr>
        <w:t xml:space="preserve"> </w:t>
      </w:r>
      <w:r>
        <w:rPr>
          <w:b/>
          <w:bCs/>
        </w:rPr>
        <w:t xml:space="preserve">Court’s</w:t>
      </w:r>
      <w:r>
        <w:rPr>
          <w:b/>
          <w:bCs/>
        </w:rPr>
        <w:t xml:space="preserve"> </w:t>
      </w:r>
      <w:r>
        <w:rPr>
          <w:b/>
          <w:bCs/>
        </w:rPr>
        <w:t xml:space="preserve">Erroneous</w:t>
      </w:r>
      <w:r>
        <w:rPr>
          <w:b/>
          <w:bCs/>
        </w:rPr>
        <w:t xml:space="preserve"> </w:t>
      </w:r>
      <w:r>
        <w:rPr>
          <w:b/>
          <w:bCs/>
        </w:rPr>
        <w:t xml:space="preserve">Finding</w:t>
      </w:r>
      <w:r>
        <w:rPr>
          <w:b/>
          <w:bCs/>
        </w:rPr>
        <w:t xml:space="preserve"> </w:t>
      </w:r>
      <w:r>
        <w:rPr>
          <w:b/>
          <w:bCs/>
        </w:rPr>
        <w:t xml:space="preserve">of</w:t>
      </w:r>
      <w:r>
        <w:rPr>
          <w:b/>
          <w:bCs/>
        </w:rPr>
        <w:t xml:space="preserve"> </w:t>
      </w:r>
      <w:r>
        <w:rPr>
          <w:b/>
          <w:bCs/>
        </w:rPr>
        <w:t xml:space="preserve">Fact</w:t>
      </w:r>
      <w:r>
        <w:rPr>
          <w:b/>
          <w:bCs/>
        </w:rPr>
        <w:t xml:space="preserve"> </w:t>
      </w:r>
      <w:r>
        <w:rPr>
          <w:b/>
          <w:bCs/>
        </w:rPr>
        <w:t xml:space="preserve">Was</w:t>
      </w:r>
      <w:r>
        <w:rPr>
          <w:b/>
          <w:bCs/>
        </w:rPr>
        <w:t xml:space="preserve"> </w:t>
      </w:r>
      <w:r>
        <w:rPr>
          <w:b/>
          <w:bCs/>
        </w:rPr>
        <w:t xml:space="preserve">Determinative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Question</w:t>
      </w:r>
      <w:r>
        <w:rPr>
          <w:b/>
          <w:bCs/>
        </w:rPr>
        <w:t xml:space="preserve"> </w:t>
      </w:r>
      <w:r>
        <w:rPr>
          <w:b/>
          <w:bCs/>
        </w:rPr>
        <w:t xml:space="preserve">of</w:t>
      </w:r>
      <w:r>
        <w:rPr>
          <w:b/>
          <w:bCs/>
        </w:rPr>
        <w:t xml:space="preserve"> </w:t>
      </w:r>
      <w:r>
        <w:rPr>
          <w:b/>
          <w:bCs/>
        </w:rPr>
        <w:t xml:space="preserve">Qualified</w:t>
      </w:r>
      <w:r>
        <w:rPr>
          <w:b/>
          <w:bCs/>
        </w:rPr>
        <w:t xml:space="preserve"> </w:t>
      </w:r>
      <w:r>
        <w:rPr>
          <w:b/>
          <w:bCs/>
        </w:rPr>
        <w:t xml:space="preserve">Immunity</w:t>
      </w:r>
    </w:p>
    <w:p>
      <w:pPr>
        <w:pStyle w:val="BodyText"/>
      </w:pPr>
      <w:r>
        <w:t xml:space="preserve">The Superior Court’s decsopm, despite conflicting evidence, that Mr. Olson continued to resist throughout the entire incident until the final tasing determined the whole issue of qualified immunity. The Superior Court conceded that, if Mr. Olson’s testimony that he ceased active resistance prior to the final tasing was truthful, that the qualified immunity issue was easy to resolve.</w:t>
      </w:r>
    </w:p>
    <w:p>
      <w:pPr>
        <w:pStyle w:val="XdQuoteOnly"/>
      </w:pPr>
      <w:r>
        <w:t xml:space="preserve">[The Plaintiff’s testimony] varied on whether Plaintiff continued physical resistance after the initial deployments of the taser, or ceased physical resistance and remained passive though verbally non-compliant while handcuffed on the floor. Any deployment of the taser for the latter would be objectively unreasonable. [Exc. 345] (emphasis added).</w:t>
      </w:r>
    </w:p>
    <w:p>
      <w:pPr>
        <w:pStyle w:val="BodyTextNote"/>
      </w:pPr>
      <w:r>
        <w:t xml:space="preserve">Had the Superior Court followed the law and construed the evidence in the light most favorable to Mr. Olson, the Superior Court would have found that Mr. Olson’s testimony established that the officers “continued to tase [him] after [he] stopped resisting and became compliant.” [Tr. 652</w:t>
      </w:r>
      <w:r>
        <w:noBreakHyphen/>
      </w:r>
      <w:r>
        <w:t xml:space="preserve">53]. The use of force against an individual who has stopped resisting is clearly unconstitutional.</w:t>
      </w:r>
      <w:r>
        <w:rPr>
          <w:rStyle w:val="FootnoteReference"/>
        </w:rPr>
        <w:footnoteReference w:id="27"/>
      </w:r>
      <w:r>
        <w:t xml:space="preserve"> </w:t>
      </w:r>
      <w:r>
        <w:t xml:space="preserve">The evidence, viewed in the light most favorable to Mr. Olson and the verdict in his favor, supports the notion that officers continued to tase Mr. Olson after he became compliant. The Court need not wade into a thicket of qualified immunity analysis regarding taser usage, since no party could or would insist that a reasonable police officer would believe that he could legally use continue to use force, including a taser, against a person who “stopped resisting and became compliant.” [Tr. 652</w:t>
      </w:r>
      <w:r>
        <w:noBreakHyphen/>
      </w:r>
      <w:r>
        <w:t xml:space="preserve">53]. Since the jury could have reached its verdict by finding that Mr. Olson truthfully testified that the officers continued to tase him after he ceased resisting, the court erred in granting judgment notwithstanding the verdict on the basis of Hooper Bay’s qualified immunity defense.</w:t>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Even</w:t>
      </w:r>
      <w:r>
        <w:rPr>
          <w:b/>
          <w:bCs/>
          <w:i/>
          <w:iCs/>
        </w:rPr>
        <w:t xml:space="preserve"> </w:t>
      </w:r>
      <w:r>
        <w:rPr>
          <w:b/>
          <w:bCs/>
          <w:i/>
          <w:iCs/>
        </w:rPr>
        <w:t xml:space="preserve">Assuming</w:t>
      </w:r>
      <w:r>
        <w:rPr>
          <w:b/>
          <w:bCs/>
          <w:i/>
          <w:iCs/>
        </w:rPr>
        <w:t xml:space="preserve"> </w:t>
      </w:r>
      <w:r>
        <w:rPr>
          <w:b/>
          <w:bCs/>
          <w:i/>
          <w:iCs/>
        </w:rPr>
        <w:t xml:space="preserve">that</w:t>
      </w:r>
      <w:r>
        <w:rPr>
          <w:b/>
          <w:bCs/>
          <w:i/>
          <w:iCs/>
        </w:rPr>
        <w:t xml:space="preserve"> </w:t>
      </w:r>
      <w:r>
        <w:rPr>
          <w:b/>
          <w:bCs/>
          <w:i/>
          <w:iCs/>
        </w:rPr>
        <w:t xml:space="preserve">Mr.</w:t>
      </w:r>
      <w:r>
        <w:rPr>
          <w:b/>
          <w:bCs/>
          <w:i/>
          <w:iCs/>
        </w:rPr>
        <w:t xml:space="preserve"> </w:t>
      </w:r>
      <w:r>
        <w:rPr>
          <w:b/>
          <w:bCs/>
          <w:i/>
          <w:iCs/>
        </w:rPr>
        <w:t xml:space="preserve">Olson’s</w:t>
      </w:r>
      <w:r>
        <w:rPr>
          <w:b/>
          <w:bCs/>
          <w:i/>
          <w:iCs/>
        </w:rPr>
        <w:t xml:space="preserve"> </w:t>
      </w:r>
      <w:r>
        <w:rPr>
          <w:b/>
          <w:bCs/>
          <w:i/>
          <w:iCs/>
        </w:rPr>
        <w:t xml:space="preserve">Resistance</w:t>
      </w:r>
      <w:r>
        <w:rPr>
          <w:b/>
          <w:bCs/>
          <w:i/>
          <w:iCs/>
        </w:rPr>
        <w:t xml:space="preserve"> </w:t>
      </w:r>
      <w:r>
        <w:rPr>
          <w:b/>
          <w:bCs/>
          <w:i/>
          <w:iCs/>
        </w:rPr>
        <w:t xml:space="preserve">Continued</w:t>
      </w:r>
      <w:r>
        <w:rPr>
          <w:b/>
          <w:bCs/>
          <w:i/>
          <w:iCs/>
        </w:rPr>
        <w:t xml:space="preserve"> </w:t>
      </w:r>
      <w:r>
        <w:rPr>
          <w:b/>
          <w:bCs/>
          <w:i/>
          <w:iCs/>
        </w:rPr>
        <w:t xml:space="preserve">Until</w:t>
      </w:r>
      <w:r>
        <w:rPr>
          <w:b/>
          <w:bCs/>
          <w:i/>
          <w:iCs/>
        </w:rPr>
        <w:t xml:space="preserve"> </w:t>
      </w:r>
      <w:r>
        <w:rPr>
          <w:b/>
          <w:bCs/>
          <w:i/>
          <w:iCs/>
        </w:rPr>
        <w:t xml:space="preserve">the</w:t>
      </w:r>
      <w:r>
        <w:rPr>
          <w:b/>
          <w:bCs/>
          <w:i/>
          <w:iCs/>
        </w:rPr>
        <w:t xml:space="preserve"> </w:t>
      </w:r>
      <w:r>
        <w:rPr>
          <w:b/>
          <w:bCs/>
          <w:i/>
          <w:iCs/>
        </w:rPr>
        <w:t xml:space="preserve">Final</w:t>
      </w:r>
      <w:r>
        <w:rPr>
          <w:b/>
          <w:bCs/>
          <w:i/>
          <w:iCs/>
        </w:rPr>
        <w:t xml:space="preserve"> </w:t>
      </w:r>
      <w:r>
        <w:rPr>
          <w:b/>
          <w:bCs/>
          <w:i/>
          <w:iCs/>
        </w:rPr>
        <w:t xml:space="preserve">Tasing,</w:t>
      </w:r>
      <w:r>
        <w:rPr>
          <w:b/>
          <w:bCs/>
          <w:i/>
          <w:iCs/>
        </w:rPr>
        <w:t xml:space="preserve"> </w:t>
      </w:r>
      <w:r>
        <w:rPr>
          <w:b/>
          <w:bCs/>
          <w:i/>
          <w:iCs/>
        </w:rPr>
        <w:t xml:space="preserve">the</w:t>
      </w:r>
      <w:r>
        <w:rPr>
          <w:b/>
          <w:bCs/>
          <w:i/>
          <w:iCs/>
        </w:rPr>
        <w:t xml:space="preserve"> </w:t>
      </w:r>
      <w:r>
        <w:rPr>
          <w:b/>
          <w:bCs/>
          <w:i/>
          <w:iCs/>
        </w:rPr>
        <w:t xml:space="preserve">Egregious</w:t>
      </w:r>
      <w:r>
        <w:rPr>
          <w:b/>
          <w:bCs/>
          <w:i/>
          <w:iCs/>
        </w:rPr>
        <w:t xml:space="preserve"> </w:t>
      </w:r>
      <w:r>
        <w:rPr>
          <w:b/>
          <w:bCs/>
          <w:i/>
          <w:iCs/>
        </w:rPr>
        <w:t xml:space="preserve">Nature</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Officers’</w:t>
      </w:r>
      <w:r>
        <w:rPr>
          <w:b/>
          <w:bCs/>
          <w:i/>
          <w:iCs/>
        </w:rPr>
        <w:t xml:space="preserve"> </w:t>
      </w:r>
      <w:r>
        <w:rPr>
          <w:b/>
          <w:bCs/>
          <w:i/>
          <w:iCs/>
        </w:rPr>
        <w:t xml:space="preserve">Own</w:t>
      </w:r>
      <w:r>
        <w:rPr>
          <w:b/>
          <w:bCs/>
          <w:i/>
          <w:iCs/>
        </w:rPr>
        <w:t xml:space="preserve"> </w:t>
      </w:r>
      <w:r>
        <w:rPr>
          <w:b/>
          <w:bCs/>
          <w:i/>
          <w:iCs/>
        </w:rPr>
        <w:t xml:space="preserve">Conduct</w:t>
      </w:r>
      <w:r>
        <w:rPr>
          <w:b/>
          <w:bCs/>
          <w:i/>
          <w:iCs/>
        </w:rPr>
        <w:t xml:space="preserve"> </w:t>
      </w:r>
      <w:r>
        <w:rPr>
          <w:b/>
          <w:bCs/>
          <w:i/>
          <w:iCs/>
        </w:rPr>
        <w:t xml:space="preserve">Gave</w:t>
      </w:r>
      <w:r>
        <w:rPr>
          <w:b/>
          <w:bCs/>
          <w:i/>
          <w:iCs/>
        </w:rPr>
        <w:t xml:space="preserve"> </w:t>
      </w:r>
      <w:r>
        <w:rPr>
          <w:b/>
          <w:bCs/>
          <w:i/>
          <w:iCs/>
        </w:rPr>
        <w:t xml:space="preserve">Notice</w:t>
      </w:r>
      <w:r>
        <w:rPr>
          <w:b/>
          <w:bCs/>
          <w:i/>
          <w:iCs/>
        </w:rPr>
        <w:t xml:space="preserve"> </w:t>
      </w:r>
      <w:r>
        <w:rPr>
          <w:b/>
          <w:bCs/>
          <w:i/>
          <w:iCs/>
        </w:rPr>
        <w:t xml:space="preserve">That</w:t>
      </w:r>
      <w:r>
        <w:rPr>
          <w:b/>
          <w:bCs/>
          <w:i/>
          <w:iCs/>
        </w:rPr>
        <w:t xml:space="preserve"> </w:t>
      </w:r>
      <w:r>
        <w:rPr>
          <w:b/>
          <w:bCs/>
          <w:i/>
          <w:iCs/>
        </w:rPr>
        <w:t xml:space="preserve">Tasing</w:t>
      </w:r>
      <w:r>
        <w:rPr>
          <w:b/>
          <w:bCs/>
          <w:i/>
          <w:iCs/>
        </w:rPr>
        <w:t xml:space="preserve"> </w:t>
      </w:r>
      <w:r>
        <w:rPr>
          <w:b/>
          <w:bCs/>
          <w:i/>
          <w:iCs/>
        </w:rPr>
        <w:t xml:space="preserve">Mr.</w:t>
      </w:r>
      <w:r>
        <w:rPr>
          <w:b/>
          <w:bCs/>
          <w:i/>
          <w:iCs/>
        </w:rPr>
        <w:t xml:space="preserve"> </w:t>
      </w:r>
      <w:r>
        <w:rPr>
          <w:b/>
          <w:bCs/>
          <w:i/>
          <w:iCs/>
        </w:rPr>
        <w:t xml:space="preserve">Olson</w:t>
      </w:r>
      <w:r>
        <w:rPr>
          <w:b/>
          <w:bCs/>
          <w:i/>
          <w:iCs/>
        </w:rPr>
        <w:t xml:space="preserve"> </w:t>
      </w:r>
      <w:r>
        <w:rPr>
          <w:b/>
          <w:bCs/>
          <w:i/>
          <w:iCs/>
        </w:rPr>
        <w:t xml:space="preserve">16</w:t>
      </w:r>
      <w:r>
        <w:rPr>
          <w:b/>
          <w:bCs/>
          <w:i/>
          <w:iCs/>
        </w:rPr>
        <w:t xml:space="preserve"> </w:t>
      </w:r>
      <w:r>
        <w:rPr>
          <w:b/>
          <w:bCs/>
          <w:i/>
          <w:iCs/>
        </w:rPr>
        <w:t xml:space="preserve">to</w:t>
      </w:r>
      <w:r>
        <w:rPr>
          <w:b/>
          <w:bCs/>
          <w:i/>
          <w:iCs/>
        </w:rPr>
        <w:t xml:space="preserve"> </w:t>
      </w:r>
      <w:r>
        <w:rPr>
          <w:b/>
          <w:bCs/>
          <w:i/>
          <w:iCs/>
        </w:rPr>
        <w:t xml:space="preserve">18</w:t>
      </w:r>
      <w:r>
        <w:rPr>
          <w:b/>
          <w:bCs/>
          <w:i/>
          <w:iCs/>
        </w:rPr>
        <w:t xml:space="preserve"> </w:t>
      </w:r>
      <w:r>
        <w:rPr>
          <w:b/>
          <w:bCs/>
          <w:i/>
          <w:iCs/>
        </w:rPr>
        <w:t xml:space="preserve">Times</w:t>
      </w:r>
      <w:r>
        <w:rPr>
          <w:b/>
          <w:bCs/>
          <w:i/>
          <w:iCs/>
        </w:rPr>
        <w:t xml:space="preserve"> </w:t>
      </w:r>
      <w:r>
        <w:rPr>
          <w:b/>
          <w:bCs/>
          <w:i/>
          <w:iCs/>
        </w:rPr>
        <w:t xml:space="preserve">Violated</w:t>
      </w:r>
      <w:r>
        <w:rPr>
          <w:b/>
          <w:bCs/>
          <w:i/>
          <w:iCs/>
        </w:rPr>
        <w:t xml:space="preserve"> </w:t>
      </w:r>
      <w:r>
        <w:rPr>
          <w:b/>
          <w:bCs/>
          <w:i/>
          <w:iCs/>
        </w:rPr>
        <w:t xml:space="preserve">the</w:t>
      </w:r>
      <w:r>
        <w:rPr>
          <w:b/>
          <w:bCs/>
          <w:i/>
          <w:iCs/>
        </w:rPr>
        <w:t xml:space="preserve"> </w:t>
      </w:r>
      <w:r>
        <w:rPr>
          <w:b/>
          <w:bCs/>
          <w:i/>
          <w:iCs/>
        </w:rPr>
        <w:t xml:space="preserve">Law</w:t>
      </w:r>
    </w:p>
    <w:p>
      <w:pPr>
        <w:keepNext/>
        <w:keepLines/>
        <w:spacing w:before="208" w:after="208" w:line="299" w:lineRule="exact"/>
        <w:ind w:left="720" w:hanging="720"/>
        <w:jc w:val="left"/>
      </w:pPr>
      <w:r>
        <w:rPr>
          <w:b/>
          <w:bCs/>
        </w:rPr>
        <w:t xml:space="preserve">1.</w:t>
      </w:r>
      <w:r>
        <w:rPr>
          <w:b/>
          <w:bCs/>
        </w:rPr>
        <w:t xml:space="preserve"> </w:t>
      </w:r>
      <w:r>
        <w:rPr>
          <w:b/>
          <w:bCs/>
        </w:rPr>
        <w:t xml:space="preserve">The</w:t>
      </w:r>
      <w:r>
        <w:rPr>
          <w:b/>
          <w:bCs/>
        </w:rPr>
        <w:t xml:space="preserve"> </w:t>
      </w:r>
      <w:r>
        <w:rPr>
          <w:b/>
          <w:bCs/>
        </w:rPr>
        <w:t xml:space="preserve">Law</w:t>
      </w:r>
      <w:r>
        <w:rPr>
          <w:b/>
          <w:bCs/>
        </w:rPr>
        <w:t xml:space="preserve"> </w:t>
      </w:r>
      <w:r>
        <w:rPr>
          <w:b/>
          <w:bCs/>
        </w:rPr>
        <w:t xml:space="preserve">of</w:t>
      </w:r>
      <w:r>
        <w:rPr>
          <w:b/>
          <w:bCs/>
        </w:rPr>
        <w:t xml:space="preserve"> </w:t>
      </w:r>
      <w:r>
        <w:rPr>
          <w:b/>
          <w:bCs/>
        </w:rPr>
        <w:t xml:space="preserve">Qualified</w:t>
      </w:r>
      <w:r>
        <w:rPr>
          <w:b/>
          <w:bCs/>
        </w:rPr>
        <w:t xml:space="preserve"> </w:t>
      </w:r>
      <w:r>
        <w:rPr>
          <w:b/>
          <w:bCs/>
        </w:rPr>
        <w:t xml:space="preserve">Immunity</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Carefully</w:t>
      </w:r>
      <w:r>
        <w:rPr>
          <w:b/>
          <w:bCs/>
        </w:rPr>
        <w:t xml:space="preserve"> </w:t>
      </w:r>
      <w:r>
        <w:rPr>
          <w:b/>
          <w:bCs/>
        </w:rPr>
        <w:t xml:space="preserve">Construed</w:t>
      </w:r>
      <w:r>
        <w:rPr>
          <w:b/>
          <w:bCs/>
        </w:rPr>
        <w:t xml:space="preserve"> </w:t>
      </w:r>
      <w:r>
        <w:rPr>
          <w:b/>
          <w:bCs/>
        </w:rPr>
        <w:t xml:space="preserve">in</w:t>
      </w:r>
      <w:r>
        <w:rPr>
          <w:b/>
          <w:bCs/>
        </w:rPr>
        <w:t xml:space="preserve"> </w:t>
      </w:r>
      <w:r>
        <w:rPr>
          <w:b/>
          <w:bCs/>
        </w:rPr>
        <w:t xml:space="preserve">Cases</w:t>
      </w:r>
      <w:r>
        <w:rPr>
          <w:b/>
          <w:bCs/>
        </w:rPr>
        <w:t xml:space="preserve"> </w:t>
      </w:r>
      <w:r>
        <w:rPr>
          <w:b/>
          <w:bCs/>
        </w:rPr>
        <w:t xml:space="preserve">Presenting</w:t>
      </w:r>
      <w:r>
        <w:rPr>
          <w:b/>
          <w:bCs/>
        </w:rPr>
        <w:t xml:space="preserve"> </w:t>
      </w:r>
      <w:r>
        <w:rPr>
          <w:b/>
          <w:bCs/>
        </w:rPr>
        <w:t xml:space="preserve">Mixed</w:t>
      </w:r>
      <w:r>
        <w:rPr>
          <w:b/>
          <w:bCs/>
        </w:rPr>
        <w:t xml:space="preserve"> </w:t>
      </w:r>
      <w:r>
        <w:rPr>
          <w:b/>
          <w:bCs/>
        </w:rPr>
        <w:t xml:space="preserve">Questions</w:t>
      </w:r>
      <w:r>
        <w:rPr>
          <w:b/>
          <w:bCs/>
        </w:rPr>
        <w:t xml:space="preserve"> </w:t>
      </w:r>
      <w:r>
        <w:rPr>
          <w:b/>
          <w:bCs/>
        </w:rPr>
        <w:t xml:space="preserve">of</w:t>
      </w:r>
      <w:r>
        <w:rPr>
          <w:b/>
          <w:bCs/>
        </w:rPr>
        <w:t xml:space="preserve"> </w:t>
      </w:r>
      <w:r>
        <w:rPr>
          <w:b/>
          <w:bCs/>
        </w:rPr>
        <w:t xml:space="preserve">Fact</w:t>
      </w:r>
      <w:r>
        <w:rPr>
          <w:b/>
          <w:bCs/>
        </w:rPr>
        <w:t xml:space="preserve"> </w:t>
      </w:r>
      <w:r>
        <w:rPr>
          <w:b/>
          <w:bCs/>
        </w:rPr>
        <w:t xml:space="preserve">and</w:t>
      </w:r>
      <w:r>
        <w:rPr>
          <w:b/>
          <w:bCs/>
        </w:rPr>
        <w:t xml:space="preserve"> </w:t>
      </w:r>
      <w:r>
        <w:rPr>
          <w:b/>
          <w:bCs/>
        </w:rPr>
        <w:t xml:space="preserve">Law,</w:t>
      </w:r>
      <w:r>
        <w:rPr>
          <w:b/>
          <w:bCs/>
        </w:rPr>
        <w:t xml:space="preserve"> </w:t>
      </w:r>
      <w:r>
        <w:rPr>
          <w:b/>
          <w:bCs/>
        </w:rPr>
        <w:t xml:space="preserve">Such</w:t>
      </w:r>
      <w:r>
        <w:rPr>
          <w:b/>
          <w:bCs/>
        </w:rPr>
        <w:t xml:space="preserve"> </w:t>
      </w:r>
      <w:r>
        <w:rPr>
          <w:b/>
          <w:bCs/>
        </w:rPr>
        <w:t xml:space="preserve">as</w:t>
      </w:r>
      <w:r>
        <w:rPr>
          <w:b/>
          <w:bCs/>
        </w:rPr>
        <w:t xml:space="preserve"> </w:t>
      </w:r>
      <w:r>
        <w:rPr>
          <w:b/>
          <w:bCs/>
        </w:rPr>
        <w:t xml:space="preserve">Excessive</w:t>
      </w:r>
      <w:r>
        <w:rPr>
          <w:b/>
          <w:bCs/>
        </w:rPr>
        <w:t xml:space="preserve"> </w:t>
      </w:r>
      <w:r>
        <w:rPr>
          <w:b/>
          <w:bCs/>
        </w:rPr>
        <w:t xml:space="preserve">Force</w:t>
      </w:r>
      <w:r>
        <w:rPr>
          <w:b/>
          <w:bCs/>
        </w:rPr>
        <w:t xml:space="preserve"> </w:t>
      </w:r>
      <w:r>
        <w:rPr>
          <w:b/>
          <w:bCs/>
        </w:rPr>
        <w:t xml:space="preserve">Cases</w:t>
      </w:r>
    </w:p>
    <w:p>
      <w:pPr>
        <w:pStyle w:val="BodyText"/>
      </w:pPr>
      <w:r>
        <w:t xml:space="preserve">Qualified immunity is a broad legal concept that covers a wide variety of constitutional claims for damages. The amicus suggests that the way in which the defense of qualified immunity is interpreted should vary depending on the case. In pure cases of law, broad interpretation of the doctrine of qualified immunity makes a certain amount of sense. One must be sympathetic to an officer held liable for not anticipating wholesale changes in constitutional law.</w:t>
      </w:r>
    </w:p>
    <w:p>
      <w:pPr>
        <w:pStyle w:val="BodyTextNote"/>
      </w:pPr>
      <w:r>
        <w:t xml:space="preserve">For instance, it would in many ways be unfair to allow damages against a police officer who, in 2008, searched a suspect’s curbside trash can for evidence, relying on prior case law permitting such searches.</w:t>
      </w:r>
      <w:r>
        <w:rPr>
          <w:rStyle w:val="FootnoteReference"/>
        </w:rPr>
        <w:footnoteReference w:id="28"/>
      </w:r>
      <w:r>
        <w:t xml:space="preserve"> </w:t>
      </w:r>
      <w:r>
        <w:t xml:space="preserve">That hypothetical officer would have little means to guess in 2008 that this Court would reverse itself and alter the constitutional analysis of such searches a year later.</w:t>
      </w:r>
      <w:r>
        <w:rPr>
          <w:rStyle w:val="FootnoteReference"/>
        </w:rPr>
        <w:footnoteReference w:id="29"/>
      </w:r>
      <w:r>
        <w:t xml:space="preserve"> </w:t>
      </w:r>
      <w:r>
        <w:t xml:space="preserve">In such cases, where the facts are clear and not in dispute, the overruling of a basic legal standard or the creation of a new one should arguably not result in damages to police officers relying in good faith on existing law.</w:t>
      </w:r>
    </w:p>
    <w:p>
      <w:pPr>
        <w:pStyle w:val="BodyTextNote"/>
      </w:pPr>
      <w:r>
        <w:t xml:space="preserve">In cases where the qualified immunity rule does not confront any wholesale change in the law, but mere application of existing law to a unique set of facts, courts should only cautiously apply the qualified immunity defense. Every police officer knows the basic constitutional rule relating to the use of force: officers may use an objectively reasonable amount of force under the circumstances.</w:t>
      </w:r>
      <w:r>
        <w:rPr>
          <w:rStyle w:val="FootnoteReference"/>
        </w:rPr>
        <w:footnoteReference w:id="30"/>
      </w:r>
      <w:r>
        <w:t xml:space="preserve"> </w:t>
      </w:r>
      <w:r>
        <w:t xml:space="preserve">Police officers are not entitled to a defense of qualified immunity so long as the “contours” of the right are “sufficiently clear that a reasonable official would understand that what he is doing violates that right.”</w:t>
      </w:r>
      <w:r>
        <w:rPr>
          <w:rStyle w:val="FootnoteReference"/>
        </w:rPr>
        <w:footnoteReference w:id="31"/>
      </w:r>
    </w:p>
    <w:p>
      <w:pPr>
        <w:keepNext/>
        <w:keepLines/>
        <w:spacing w:before="208" w:after="208" w:line="299" w:lineRule="exact"/>
        <w:ind w:left="720" w:hanging="720"/>
        <w:jc w:val="left"/>
      </w:pPr>
      <w:r>
        <w:rPr>
          <w:b/>
          <w:bCs/>
        </w:rPr>
        <w:t xml:space="preserve">2.</w:t>
      </w:r>
      <w:r>
        <w:rPr>
          <w:b/>
          <w:bCs/>
        </w:rPr>
        <w:t xml:space="preserve"> </w:t>
      </w:r>
      <w:r>
        <w:rPr>
          <w:b/>
          <w:bCs/>
        </w:rPr>
        <w:t xml:space="preserve">The</w:t>
      </w:r>
      <w:r>
        <w:rPr>
          <w:b/>
          <w:bCs/>
        </w:rPr>
        <w:t xml:space="preserve"> </w:t>
      </w:r>
      <w:r>
        <w:rPr>
          <w:b/>
          <w:bCs/>
        </w:rPr>
        <w:t xml:space="preserve">Contours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Right</w:t>
      </w:r>
      <w:r>
        <w:rPr>
          <w:b/>
          <w:bCs/>
        </w:rPr>
        <w:t xml:space="preserve"> </w:t>
      </w:r>
      <w:r>
        <w:rPr>
          <w:b/>
          <w:bCs/>
        </w:rPr>
        <w:t xml:space="preserve">Against</w:t>
      </w:r>
      <w:r>
        <w:rPr>
          <w:b/>
          <w:bCs/>
        </w:rPr>
        <w:t xml:space="preserve"> </w:t>
      </w:r>
      <w:r>
        <w:rPr>
          <w:b/>
          <w:bCs/>
        </w:rPr>
        <w:t xml:space="preserve">Excessive</w:t>
      </w:r>
      <w:r>
        <w:rPr>
          <w:b/>
          <w:bCs/>
        </w:rPr>
        <w:t xml:space="preserve"> </w:t>
      </w:r>
      <w:r>
        <w:rPr>
          <w:b/>
          <w:bCs/>
        </w:rPr>
        <w:t xml:space="preserve">Force</w:t>
      </w:r>
    </w:p>
    <w:p>
      <w:pPr>
        <w:pStyle w:val="BodyTextNote"/>
      </w:pPr>
      <w:r>
        <w:t xml:space="preserve">In excessive force cases, analysis of the qualified immunity question depends on applying the firm, though flexible, rules of reasonableness to the specific facts of an individual case. Each use of force case will differ from those that came before in some identifiable way.</w:t>
      </w:r>
      <w:r>
        <w:rPr>
          <w:rStyle w:val="FootnoteReference"/>
        </w:rPr>
        <w:footnoteReference w:id="32"/>
      </w:r>
      <w:r>
        <w:t xml:space="preserve"> </w:t>
      </w:r>
      <w:r>
        <w:t xml:space="preserve">Hewing too closely to a standard requiring precise notice that the use of force under the exact circumstances presented in a particular case would effectively preclude all excessive force litigation. The articulation of the Hope v. Pelzer</w:t>
      </w:r>
      <w:r>
        <w:rPr>
          <w:rStyle w:val="FootnoteReference"/>
        </w:rPr>
        <w:footnoteReference w:id="33"/>
      </w:r>
      <w:r>
        <w:t xml:space="preserve"> </w:t>
      </w:r>
      <w:r>
        <w:t xml:space="preserve">standard that the nature of an officer’s conduct can itself provide notice of its unreasonableness has significantly improved the analysis of fact-specific cases on use of force.</w:t>
      </w:r>
      <w:r>
        <w:rPr>
          <w:rStyle w:val="FootnoteReference"/>
        </w:rPr>
        <w:footnoteReference w:id="34"/>
      </w:r>
      <w:r>
        <w:t xml:space="preserve"> </w:t>
      </w:r>
      <w:r>
        <w:t xml:space="preserve">The proper question is not whether the use of force was clearly prohibited by case law exactly on point with the facts of prior cases, but whether the contours of the right were known to the officers. Among those factors relating to the basic contours of the right are: the nature of the offense, if any, for which the individual is being investigated; any resistance brought by the individual; the likely harm associated with the use of force chosen; alternative means of defusing the situation or controlling the individual; whether and to what extent the individual is already controlled by the officers; what the posture of the individual is; and how many officers are present at the scene.</w:t>
      </w:r>
      <w:r>
        <w:rPr>
          <w:rStyle w:val="FootnoteReference"/>
        </w:rPr>
        <w:footnoteReference w:id="35"/>
      </w:r>
      <w:r>
        <w:t xml:space="preserve"> </w:t>
      </w:r>
      <w:r>
        <w:t xml:space="preserve">None of those criteria are absolutely dispositive in all cases, nor could any criterion be absolutely dispositive.</w:t>
      </w:r>
    </w:p>
    <w:p>
      <w:pPr>
        <w:pStyle w:val="BodyTextNote"/>
      </w:pPr>
      <w:r>
        <w:t xml:space="preserve">All those factors should, however, be considered by the officer in his original internal considerations of what force to use and can properly be considered by a court reviewing whether the officer’s conduct is “sufficiently egregious and excessive” to give the officer notice of its unreasonable nature.</w:t>
      </w:r>
      <w:r>
        <w:rPr>
          <w:rStyle w:val="FootnoteReference"/>
        </w:rPr>
        <w:footnoteReference w:id="36"/>
      </w:r>
      <w:r>
        <w:t xml:space="preserve"> </w:t>
      </w:r>
      <w:r>
        <w:t xml:space="preserve">These factors, previously identified by courts, track the intuitive moral calculus in the use of force. Officers may reasonably use more force in subduing a homicide suspect than a shoplifter. They may reasonably use more force in subduing an actively resisting arrestee than a compliant one. They may reasonably use more force in subduing a resistant standing person than one who is lying down. They may reasonably use more force in subduing an unrestrained suspect than one in handcuffs. How those factors are balanced may depend on the individual circumstances of each case, but the factors themselves describe the broad “contours of the right” against unreasonable use of force. They are factors featuring in any reasonability determination, and an ordinary police officer should be aware of these factors.</w:t>
      </w:r>
      <w:r>
        <w:rPr>
          <w:rStyle w:val="FootnoteReference"/>
        </w:rPr>
        <w:footnoteReference w:id="37"/>
      </w:r>
    </w:p>
    <w:p>
      <w:pPr>
        <w:keepNext/>
        <w:keepLines/>
        <w:spacing w:before="208" w:after="208" w:line="299" w:lineRule="exact"/>
        <w:ind w:left="720" w:hanging="720"/>
        <w:jc w:val="left"/>
      </w:pPr>
      <w:r>
        <w:rPr>
          <w:b/>
          <w:bCs/>
        </w:rPr>
        <w:t xml:space="preserve">3.</w:t>
      </w:r>
      <w:r>
        <w:rPr>
          <w:b/>
          <w:bCs/>
        </w:rPr>
        <w:t xml:space="preserve"> </w:t>
      </w:r>
      <w:r>
        <w:rPr>
          <w:b/>
          <w:bCs/>
        </w:rPr>
        <w:t xml:space="preserve">Tasers</w:t>
      </w:r>
      <w:r>
        <w:rPr>
          <w:b/>
          <w:bCs/>
        </w:rPr>
        <w:t xml:space="preserve"> </w:t>
      </w:r>
      <w:r>
        <w:rPr>
          <w:b/>
          <w:bCs/>
        </w:rPr>
        <w:t xml:space="preserve">Are</w:t>
      </w:r>
      <w:r>
        <w:rPr>
          <w:b/>
          <w:bCs/>
        </w:rPr>
        <w:t xml:space="preserve"> </w:t>
      </w:r>
      <w:r>
        <w:rPr>
          <w:b/>
          <w:bCs/>
        </w:rPr>
        <w:t xml:space="preserve">Less-Lethal</w:t>
      </w:r>
      <w:r>
        <w:rPr>
          <w:b/>
          <w:bCs/>
        </w:rPr>
        <w:t xml:space="preserve"> </w:t>
      </w:r>
      <w:r>
        <w:rPr>
          <w:b/>
          <w:bCs/>
        </w:rPr>
        <w:t xml:space="preserve">Weapons,</w:t>
      </w:r>
      <w:r>
        <w:rPr>
          <w:b/>
          <w:bCs/>
        </w:rPr>
        <w:t xml:space="preserve"> </w:t>
      </w:r>
      <w:r>
        <w:rPr>
          <w:b/>
          <w:bCs/>
        </w:rPr>
        <w:t xml:space="preserve">But</w:t>
      </w:r>
      <w:r>
        <w:rPr>
          <w:b/>
          <w:bCs/>
        </w:rPr>
        <w:t xml:space="preserve"> </w:t>
      </w:r>
      <w:r>
        <w:rPr>
          <w:b/>
          <w:bCs/>
        </w:rPr>
        <w:t xml:space="preserve">Present</w:t>
      </w:r>
      <w:r>
        <w:rPr>
          <w:b/>
          <w:bCs/>
        </w:rPr>
        <w:t xml:space="preserve"> </w:t>
      </w:r>
      <w:r>
        <w:rPr>
          <w:b/>
          <w:bCs/>
        </w:rPr>
        <w:t xml:space="preserve">Specific</w:t>
      </w:r>
      <w:r>
        <w:rPr>
          <w:b/>
          <w:bCs/>
        </w:rPr>
        <w:t xml:space="preserve"> </w:t>
      </w:r>
      <w:r>
        <w:rPr>
          <w:b/>
          <w:bCs/>
        </w:rPr>
        <w:t xml:space="preserve">Injury</w:t>
      </w:r>
      <w:r>
        <w:rPr>
          <w:b/>
          <w:bCs/>
        </w:rPr>
        <w:t xml:space="preserve"> </w:t>
      </w:r>
      <w:r>
        <w:rPr>
          <w:b/>
          <w:bCs/>
        </w:rPr>
        <w:t xml:space="preserve">Risks</w:t>
      </w:r>
      <w:r>
        <w:rPr>
          <w:b/>
          <w:bCs/>
        </w:rPr>
        <w:t xml:space="preserve"> </w:t>
      </w:r>
      <w:r>
        <w:rPr>
          <w:b/>
          <w:bCs/>
        </w:rPr>
        <w:t xml:space="preserve">and</w:t>
      </w:r>
      <w:r>
        <w:rPr>
          <w:b/>
          <w:bCs/>
        </w:rPr>
        <w:t xml:space="preserve"> </w:t>
      </w:r>
      <w:r>
        <w:rPr>
          <w:b/>
          <w:bCs/>
        </w:rPr>
        <w:t xml:space="preserve">Impose</w:t>
      </w:r>
      <w:r>
        <w:rPr>
          <w:b/>
          <w:bCs/>
        </w:rPr>
        <w:t xml:space="preserve"> </w:t>
      </w:r>
      <w:r>
        <w:rPr>
          <w:b/>
          <w:bCs/>
        </w:rPr>
        <w:t xml:space="preserve">Substantial</w:t>
      </w:r>
      <w:r>
        <w:rPr>
          <w:b/>
          <w:bCs/>
        </w:rPr>
        <w:t xml:space="preserve"> </w:t>
      </w:r>
      <w:r>
        <w:rPr>
          <w:b/>
          <w:bCs/>
        </w:rPr>
        <w:t xml:space="preserve">Pain</w:t>
      </w:r>
    </w:p>
    <w:p>
      <w:pPr>
        <w:pStyle w:val="BodyText"/>
      </w:pPr>
      <w:r>
        <w:t xml:space="preserve">The taser is a weapon that can be used in two ways. The taser can be applied at a distance in “dart” mode, where a cartridge of electrified probes are shot at a subject while the prongs remain attached to the taser by wire. Successfully deployed, the taser can cause total muscular incapacitation in the subject in dart mode, often resulting in temporary immobility. [Tr. 938</w:t>
      </w:r>
      <w:r>
        <w:noBreakHyphen/>
      </w:r>
      <w:r>
        <w:t xml:space="preserve">39]. The taser can also be deployed in “drive stun” mode, where the taser itself is pushed into direct contact with the skin or clothing; the taser will generally not cause total muscular incapacitation, unless the direct contact with the subject completes the circuit in a previously unsuccessful dart mode deployment. [Tr. 916</w:t>
      </w:r>
      <w:r>
        <w:noBreakHyphen/>
      </w:r>
      <w:r>
        <w:t xml:space="preserve">17].</w:t>
      </w:r>
    </w:p>
    <w:p>
      <w:pPr>
        <w:pStyle w:val="BodyTextNote"/>
      </w:pPr>
      <w:r>
        <w:t xml:space="preserve">A taser is a “weapon that subjects the subject to 50,000 volts, and it’s one that incapacitates the person.” [Exc. 212].</w:t>
      </w:r>
      <w:r>
        <w:rPr>
          <w:rStyle w:val="FootnoteReference"/>
        </w:rPr>
        <w:footnoteReference w:id="38"/>
      </w:r>
      <w:r>
        <w:t xml:space="preserve"> </w:t>
      </w:r>
      <w:r>
        <w:t xml:space="preserve">It “has the potential to cause physical problems with the person, depending upon where they are Tased.” Id. “There are different levels of pain. And, you know, it’s just generally accepted that the Taser is a mid- to higher-range rather than lower range.” [Exc. 213]. The electrical heat associated with the taser deployment typically causes a first- or second-degree burn. [Tr. 968</w:t>
      </w:r>
      <w:r>
        <w:noBreakHyphen/>
      </w:r>
      <w:r>
        <w:t xml:space="preserve">69]. The 25 taser burns on Mr. Olson were “second and possibly at the very core, third degree burns or full thickness burns.” [Tr. 404, 406].</w:t>
      </w:r>
    </w:p>
    <w:p>
      <w:pPr>
        <w:pStyle w:val="BodyTextNote"/>
      </w:pPr>
      <w:r>
        <w:t xml:space="preserve">A taser can cause more serious injury or even death under particular circumstances, such as when used on an individual standing in water or at a great height.</w:t>
      </w:r>
      <w:r>
        <w:rPr>
          <w:rStyle w:val="FootnoteReference"/>
        </w:rPr>
        <w:footnoteReference w:id="39"/>
      </w:r>
      <w:r>
        <w:t xml:space="preserve"> </w:t>
      </w:r>
      <w:r>
        <w:t xml:space="preserve">“[N]umerous decisions agree[] that the use of tasers is at least an intermediate, if nonlethal, level of force.”</w:t>
      </w:r>
      <w:r>
        <w:rPr>
          <w:rStyle w:val="FootnoteReference"/>
        </w:rPr>
        <w:footnoteReference w:id="40"/>
      </w:r>
      <w:r>
        <w:t xml:space="preserve"> </w:t>
      </w:r>
      <w:r>
        <w:t xml:space="preserve">Although the plaintiff did not produce evidence of the defendants’ awareness of these hazards, multiple fatal incidents suggest that the repeated use of a taser in a short period of time can lead to a deadly condition.</w:t>
      </w:r>
    </w:p>
    <w:p>
      <w:pPr>
        <w:pStyle w:val="BodyTextNote"/>
      </w:pPr>
      <w:r>
        <w:t xml:space="preserve">TASER International warned its customers in 2005 that “repeated … exposures to the Taser electrical discharge may cause strong muscle contractions that may impair breathing and respiration … [U]sers should avoid … extensive multiple discharges whenever practicable in order to minimize the potential for over-exertion of the subject or potential impairment of full ability to breathe over a protracted time period.”</w:t>
      </w:r>
      <w:r>
        <w:rPr>
          <w:rStyle w:val="FootnoteReference"/>
        </w:rPr>
        <w:footnoteReference w:id="41"/>
      </w:r>
      <w:r>
        <w:t xml:space="preserve"> </w:t>
      </w:r>
      <w:r>
        <w:t xml:space="preserve">While evidence relating to the warning was not produced on the trial record, the amicus brought this information to the attention of the Superior Court in its briefing and wishes to bring this warning to the Court’s attention. The amicus would also bring to this Court’s attention the sadly increasing number of wrongful death cases relating to multiple tasings.</w:t>
      </w:r>
      <w:r>
        <w:rPr>
          <w:rStyle w:val="FootnoteReference"/>
        </w:rPr>
        <w:footnoteReference w:id="42"/>
      </w:r>
      <w:r>
        <w:t xml:space="preserve"> </w:t>
      </w:r>
      <w:r>
        <w:t xml:space="preserve">The Court’s opinion in this case may provide guidance to future taser uses and municipal police policies on force.</w:t>
      </w:r>
    </w:p>
    <w:p>
      <w:pPr>
        <w:keepNext/>
        <w:keepLines/>
        <w:spacing w:before="208" w:after="208" w:line="299" w:lineRule="exact"/>
        <w:ind w:left="720" w:hanging="720"/>
        <w:jc w:val="left"/>
      </w:pPr>
      <w:r>
        <w:rPr>
          <w:b/>
          <w:bCs/>
        </w:rPr>
        <w:t xml:space="preserve">4.</w:t>
      </w:r>
      <w:r>
        <w:rPr>
          <w:b/>
          <w:bCs/>
        </w:rPr>
        <w:t xml:space="preserve"> </w:t>
      </w:r>
      <w:r>
        <w:rPr>
          <w:b/>
          <w:bCs/>
        </w:rPr>
        <w:t xml:space="preserve">A</w:t>
      </w:r>
      <w:r>
        <w:rPr>
          <w:b/>
          <w:bCs/>
        </w:rPr>
        <w:t xml:space="preserve"> </w:t>
      </w:r>
      <w:r>
        <w:rPr>
          <w:b/>
          <w:bCs/>
        </w:rPr>
        <w:t xml:space="preserve">Reasonable</w:t>
      </w:r>
      <w:r>
        <w:rPr>
          <w:b/>
          <w:bCs/>
        </w:rPr>
        <w:t xml:space="preserve"> </w:t>
      </w:r>
      <w:r>
        <w:rPr>
          <w:b/>
          <w:bCs/>
        </w:rPr>
        <w:t xml:space="preserve">Officer</w:t>
      </w:r>
      <w:r>
        <w:rPr>
          <w:b/>
          <w:bCs/>
        </w:rPr>
        <w:t xml:space="preserve"> </w:t>
      </w:r>
      <w:r>
        <w:rPr>
          <w:b/>
          <w:bCs/>
        </w:rPr>
        <w:t xml:space="preserve">Would</w:t>
      </w:r>
      <w:r>
        <w:rPr>
          <w:b/>
          <w:bCs/>
        </w:rPr>
        <w:t xml:space="preserve"> </w:t>
      </w:r>
      <w:r>
        <w:rPr>
          <w:b/>
          <w:bCs/>
        </w:rPr>
        <w:t xml:space="preserve">Know</w:t>
      </w:r>
      <w:r>
        <w:rPr>
          <w:b/>
          <w:bCs/>
        </w:rPr>
        <w:t xml:space="preserve"> </w:t>
      </w:r>
      <w:r>
        <w:rPr>
          <w:b/>
          <w:bCs/>
        </w:rPr>
        <w:t xml:space="preserve">That</w:t>
      </w:r>
      <w:r>
        <w:rPr>
          <w:b/>
          <w:bCs/>
        </w:rPr>
        <w:t xml:space="preserve"> </w:t>
      </w:r>
      <w:r>
        <w:rPr>
          <w:b/>
          <w:bCs/>
        </w:rPr>
        <w:t xml:space="preserve">Less</w:t>
      </w:r>
      <w:r>
        <w:rPr>
          <w:b/>
          <w:bCs/>
        </w:rPr>
        <w:t xml:space="preserve"> </w:t>
      </w:r>
      <w:r>
        <w:rPr>
          <w:b/>
          <w:bCs/>
        </w:rPr>
        <w:t xml:space="preserve">Force</w:t>
      </w:r>
      <w:r>
        <w:rPr>
          <w:b/>
          <w:bCs/>
        </w:rPr>
        <w:t xml:space="preserve"> </w:t>
      </w:r>
      <w:r>
        <w:rPr>
          <w:b/>
          <w:bCs/>
        </w:rPr>
        <w:t xml:space="preserve">May</w:t>
      </w:r>
      <w:r>
        <w:rPr>
          <w:b/>
          <w:bCs/>
        </w:rPr>
        <w:t xml:space="preserve"> </w:t>
      </w:r>
      <w:r>
        <w:rPr>
          <w:b/>
          <w:bCs/>
        </w:rPr>
        <w:t xml:space="preserve">Be</w:t>
      </w:r>
      <w:r>
        <w:rPr>
          <w:b/>
          <w:bCs/>
        </w:rPr>
        <w:t xml:space="preserve"> </w:t>
      </w:r>
      <w:r>
        <w:rPr>
          <w:b/>
          <w:bCs/>
        </w:rPr>
        <w:t xml:space="preserve">Used</w:t>
      </w:r>
      <w:r>
        <w:rPr>
          <w:b/>
          <w:bCs/>
        </w:rPr>
        <w:t xml:space="preserve"> </w:t>
      </w:r>
      <w:r>
        <w:rPr>
          <w:b/>
          <w:bCs/>
        </w:rPr>
        <w:t xml:space="preserve">Against</w:t>
      </w:r>
      <w:r>
        <w:rPr>
          <w:b/>
          <w:bCs/>
        </w:rPr>
        <w:t xml:space="preserve"> </w:t>
      </w:r>
      <w:r>
        <w:rPr>
          <w:b/>
          <w:bCs/>
        </w:rPr>
        <w:t xml:space="preserve">a</w:t>
      </w:r>
      <w:r>
        <w:rPr>
          <w:b/>
          <w:bCs/>
        </w:rPr>
        <w:t xml:space="preserve"> </w:t>
      </w:r>
      <w:r>
        <w:rPr>
          <w:b/>
          <w:bCs/>
        </w:rPr>
        <w:t xml:space="preserve">Handcuffed</w:t>
      </w:r>
      <w:r>
        <w:rPr>
          <w:b/>
          <w:bCs/>
        </w:rPr>
        <w:t xml:space="preserve"> </w:t>
      </w:r>
      <w:r>
        <w:rPr>
          <w:b/>
          <w:bCs/>
        </w:rPr>
        <w:t xml:space="preserve">Man</w:t>
      </w:r>
    </w:p>
    <w:p>
      <w:pPr>
        <w:pStyle w:val="BodyText"/>
      </w:pPr>
      <w:r>
        <w:t xml:space="preserve">One of the factors courts have often looked to in use-of-force cases, especially involving tasers, is whether the subject is handcuffed or otherwise restrained. An officer should intuitively understand that he should be more hesitant to use serious force against a handcuffed man. No officer needs a case or rule to tell him of the importance of considering whether an individual is restrained in deciding what level of force to use.</w:t>
      </w:r>
    </w:p>
    <w:p>
      <w:pPr>
        <w:pStyle w:val="BodyTextNote"/>
      </w:pPr>
      <w:r>
        <w:t xml:space="preserve">A person who has been placed in handcuffs has been substantially restrained. The hazard such a person could pose to an officer is very limited.</w:t>
      </w:r>
      <w:r>
        <w:rPr>
          <w:rStyle w:val="FootnoteReference"/>
        </w:rPr>
        <w:footnoteReference w:id="43"/>
      </w:r>
      <w:r>
        <w:t xml:space="preserve"> </w:t>
      </w:r>
      <w:r>
        <w:t xml:space="preserve">A long line of cases support the notion that the use of force against a person in handcuffs is a substantial factor weighing in favor of finding excessive force.</w:t>
      </w:r>
      <w:r>
        <w:rPr>
          <w:rStyle w:val="FootnoteReference"/>
        </w:rPr>
        <w:footnoteReference w:id="44"/>
      </w:r>
      <w:r>
        <w:t xml:space="preserve"> </w:t>
      </w:r>
      <w:r>
        <w:t xml:space="preserve">To that extent, while the case at bar involves the new technology of the taser, this case substantially invokes many of the same considerations and intuitive judgments courts apply to all uses of force by police officers.</w:t>
      </w:r>
    </w:p>
    <w:p>
      <w:pPr>
        <w:pStyle w:val="BodyTextNote"/>
      </w:pPr>
      <w:r>
        <w:t xml:space="preserve">General case law and common sense establish that the use of substantial force on handcuffed individual, in the absence of a substantial exigency, is manifestly unreasonable. It does not require a specific, factually similar case to defeat a qualified immunity defense.</w:t>
      </w:r>
      <w:r>
        <w:rPr>
          <w:rStyle w:val="FootnoteReference"/>
        </w:rPr>
        <w:footnoteReference w:id="45"/>
      </w:r>
      <w:r>
        <w:t xml:space="preserve"> </w:t>
      </w:r>
      <w:r>
        <w:t xml:space="preserve">A general rule derived from these cases that disfavors substantial use of force against a handcuffed person does not mean that such force is always unconstitutional, such as when a person flees from police while still in handcuffs, or handcuffs, the danger of flight would have been substantially eliminated”); Odom v. Borough of Taylor, CIVA 3:05CV0341, 2006 WL 3042974, at *8-*10 (M.D. Pa. Oct. 24, 2006) (claims that plaintiff was sprayed with pepper spray and stomped while handcuffed precluded summary judgment or qualified immunity finding). presents a serious hazard to the police despite their handcuffs, as by spitting blood at the officers.</w:t>
      </w:r>
      <w:r>
        <w:rPr>
          <w:rStyle w:val="FootnoteReference"/>
        </w:rPr>
        <w:footnoteReference w:id="46"/>
      </w:r>
      <w:r>
        <w:t xml:space="preserve"> </w:t>
      </w:r>
      <w:r>
        <w:t xml:space="preserve">Courts have had little difficulty finding as a general proposition that “it was clearly established in November 1999 that the use of force on a subdued arrestee was unreasonable.”</w:t>
      </w:r>
      <w:r>
        <w:rPr>
          <w:rStyle w:val="FootnoteReference"/>
        </w:rPr>
        <w:footnoteReference w:id="47"/>
      </w:r>
      <w:r>
        <w:t xml:space="preserve"> </w:t>
      </w:r>
      <w:r>
        <w:t xml:space="preserve">Thus, the fact that Mr. Olson was clearly restrained at the time he was tasered 16 to 18 times, in the absence of uncontested fact or a conclusive finding by the jury that Mr. Olson was engaged in more than struggling conduct, precludes a finding of qualified immunity post-trial. A reasonable officer would have known, based on the nature of the act of tasing a handcuffed man 16</w:t>
      </w:r>
      <w:r>
        <w:noBreakHyphen/>
      </w:r>
      <w:r>
        <w:t xml:space="preserve">18 times, that such an act was unreasonable.</w:t>
      </w:r>
      <w:r>
        <w:rPr>
          <w:rStyle w:val="FootnoteReference"/>
        </w:rPr>
        <w:footnoteReference w:id="48"/>
      </w:r>
    </w:p>
    <w:p>
      <w:pPr>
        <w:keepNext/>
        <w:keepLines/>
        <w:spacing w:before="208" w:after="208" w:line="299" w:lineRule="exact"/>
        <w:ind w:left="720" w:hanging="720"/>
        <w:jc w:val="left"/>
      </w:pPr>
      <w:r>
        <w:rPr>
          <w:b/>
          <w:bCs/>
        </w:rPr>
        <w:t xml:space="preserve">5.</w:t>
      </w:r>
      <w:r>
        <w:rPr>
          <w:b/>
          <w:bCs/>
        </w:rPr>
        <w:t xml:space="preserve"> </w:t>
      </w:r>
      <w:r>
        <w:rPr>
          <w:b/>
          <w:bCs/>
        </w:rPr>
        <w:t xml:space="preserve">A</w:t>
      </w:r>
      <w:r>
        <w:rPr>
          <w:b/>
          <w:bCs/>
        </w:rPr>
        <w:t xml:space="preserve"> </w:t>
      </w:r>
      <w:r>
        <w:rPr>
          <w:b/>
          <w:bCs/>
        </w:rPr>
        <w:t xml:space="preserve">Reasonable</w:t>
      </w:r>
      <w:r>
        <w:rPr>
          <w:b/>
          <w:bCs/>
        </w:rPr>
        <w:t xml:space="preserve"> </w:t>
      </w:r>
      <w:r>
        <w:rPr>
          <w:b/>
          <w:bCs/>
        </w:rPr>
        <w:t xml:space="preserve">Officer</w:t>
      </w:r>
      <w:r>
        <w:rPr>
          <w:b/>
          <w:bCs/>
        </w:rPr>
        <w:t xml:space="preserve"> </w:t>
      </w:r>
      <w:r>
        <w:rPr>
          <w:b/>
          <w:bCs/>
        </w:rPr>
        <w:t xml:space="preserve">Would</w:t>
      </w:r>
      <w:r>
        <w:rPr>
          <w:b/>
          <w:bCs/>
        </w:rPr>
        <w:t xml:space="preserve"> </w:t>
      </w:r>
      <w:r>
        <w:rPr>
          <w:b/>
          <w:bCs/>
        </w:rPr>
        <w:t xml:space="preserve">Know</w:t>
      </w:r>
      <w:r>
        <w:rPr>
          <w:b/>
          <w:bCs/>
        </w:rPr>
        <w:t xml:space="preserve"> </w:t>
      </w:r>
      <w:r>
        <w:rPr>
          <w:b/>
          <w:bCs/>
        </w:rPr>
        <w:t xml:space="preserve">That</w:t>
      </w:r>
      <w:r>
        <w:rPr>
          <w:b/>
          <w:bCs/>
        </w:rPr>
        <w:t xml:space="preserve"> </w:t>
      </w:r>
      <w:r>
        <w:rPr>
          <w:b/>
          <w:bCs/>
        </w:rPr>
        <w:t xml:space="preserve">Repeated</w:t>
      </w:r>
      <w:r>
        <w:rPr>
          <w:b/>
          <w:bCs/>
        </w:rPr>
        <w:t xml:space="preserve"> </w:t>
      </w:r>
      <w:r>
        <w:rPr>
          <w:b/>
          <w:bCs/>
        </w:rPr>
        <w:t xml:space="preserve">Tasings</w:t>
      </w:r>
      <w:r>
        <w:rPr>
          <w:b/>
          <w:bCs/>
        </w:rPr>
        <w:t xml:space="preserve"> </w:t>
      </w:r>
      <w:r>
        <w:rPr>
          <w:b/>
          <w:bCs/>
        </w:rPr>
        <w:t xml:space="preserve">in</w:t>
      </w:r>
      <w:r>
        <w:rPr>
          <w:b/>
          <w:bCs/>
        </w:rPr>
        <w:t xml:space="preserve"> </w:t>
      </w:r>
      <w:r>
        <w:rPr>
          <w:b/>
          <w:bCs/>
        </w:rPr>
        <w:t xml:space="preserve">Quick</w:t>
      </w:r>
      <w:r>
        <w:rPr>
          <w:b/>
          <w:bCs/>
        </w:rPr>
        <w:t xml:space="preserve"> </w:t>
      </w:r>
      <w:r>
        <w:rPr>
          <w:b/>
          <w:bCs/>
        </w:rPr>
        <w:t xml:space="preserve">Succession</w:t>
      </w:r>
      <w:r>
        <w:rPr>
          <w:b/>
          <w:bCs/>
        </w:rPr>
        <w:t xml:space="preserve"> </w:t>
      </w:r>
      <w:r>
        <w:rPr>
          <w:b/>
          <w:bCs/>
        </w:rPr>
        <w:t xml:space="preserve">Left</w:t>
      </w:r>
      <w:r>
        <w:rPr>
          <w:b/>
          <w:bCs/>
        </w:rPr>
        <w:t xml:space="preserve"> </w:t>
      </w:r>
      <w:r>
        <w:rPr>
          <w:b/>
          <w:bCs/>
        </w:rPr>
        <w:t xml:space="preserve">Little</w:t>
      </w:r>
      <w:r>
        <w:rPr>
          <w:b/>
          <w:bCs/>
        </w:rPr>
        <w:t xml:space="preserve"> </w:t>
      </w:r>
      <w:r>
        <w:rPr>
          <w:b/>
          <w:bCs/>
        </w:rPr>
        <w:t xml:space="preserve">Time</w:t>
      </w:r>
      <w:r>
        <w:rPr>
          <w:b/>
          <w:bCs/>
        </w:rPr>
        <w:t xml:space="preserve"> </w:t>
      </w:r>
      <w:r>
        <w:rPr>
          <w:b/>
          <w:bCs/>
        </w:rPr>
        <w:t xml:space="preserve">for</w:t>
      </w:r>
      <w:r>
        <w:rPr>
          <w:b/>
          <w:bCs/>
        </w:rPr>
        <w:t xml:space="preserve"> </w:t>
      </w:r>
      <w:r>
        <w:rPr>
          <w:b/>
          <w:bCs/>
        </w:rPr>
        <w:t xml:space="preserve">Mr.</w:t>
      </w:r>
      <w:r>
        <w:rPr>
          <w:b/>
          <w:bCs/>
        </w:rPr>
        <w:t xml:space="preserve"> </w:t>
      </w:r>
      <w:r>
        <w:rPr>
          <w:b/>
          <w:bCs/>
        </w:rPr>
        <w:t xml:space="preserve">Olson</w:t>
      </w:r>
      <w:r>
        <w:rPr>
          <w:b/>
          <w:bCs/>
        </w:rPr>
        <w:t xml:space="preserve"> </w:t>
      </w:r>
      <w:r>
        <w:rPr>
          <w:b/>
          <w:bCs/>
        </w:rPr>
        <w:t xml:space="preserve">to</w:t>
      </w:r>
      <w:r>
        <w:rPr>
          <w:b/>
          <w:bCs/>
        </w:rPr>
        <w:t xml:space="preserve"> </w:t>
      </w:r>
      <w:r>
        <w:rPr>
          <w:b/>
          <w:bCs/>
        </w:rPr>
        <w:t xml:space="preserve">Comply</w:t>
      </w:r>
    </w:p>
    <w:p>
      <w:pPr>
        <w:pStyle w:val="BodyTextNote"/>
      </w:pPr>
      <w:r>
        <w:t xml:space="preserve">The sheer number of tasings in a short period of time would have informed the officers that the continued tasing of Mr. Olson was excessive and unreasonable.</w:t>
      </w:r>
      <w:r>
        <w:rPr>
          <w:rStyle w:val="FootnoteReference"/>
        </w:rPr>
        <w:footnoteReference w:id="49"/>
      </w:r>
      <w:r>
        <w:t xml:space="preserve"> </w:t>
      </w:r>
      <w:r>
        <w:t xml:space="preserve">The whole purpose for the use of force on a subject is to coerce the compliance of the subject and to prevent further struggle. Repeatedly using force—of any kind, not limited to tasings—without giving the subject an opportunity to comply before using force again tends to show that the use of force was punitive and not reasonably related to the legitimate law enforcement purposes of safely conducting an arrest.</w:t>
      </w:r>
    </w:p>
    <w:p>
      <w:pPr>
        <w:pStyle w:val="BodyTextNote"/>
      </w:pPr>
      <w:r>
        <w:t xml:space="preserve">When such tasing occurs numerous times in rapid succession, an officer cannot determine whether an arrestee continues to resist or menace the officers.</w:t>
      </w:r>
      <w:r>
        <w:rPr>
          <w:rStyle w:val="FootnoteReference"/>
        </w:rPr>
        <w:footnoteReference w:id="50"/>
      </w:r>
      <w:r>
        <w:t xml:space="preserve"> </w:t>
      </w:r>
      <w:r>
        <w:t xml:space="preserve">If the officer cannot determine whether the arrestee continues to resist or menace others, it cannot be reasonable to taser the individual again. An officer is objectively unreasonable to tase a person who has ceased resisting. Federal courts have repeatedly disapproved of tasings in rapid succession and rejected the reasonability of brief breaks of a few seconds to allow a subject to comply.</w:t>
      </w:r>
      <w:r>
        <w:rPr>
          <w:rStyle w:val="FootnoteReference"/>
        </w:rPr>
        <w:footnoteReference w:id="51"/>
      </w:r>
      <w:r>
        <w:t xml:space="preserve"> </w:t>
      </w:r>
      <w:r>
        <w:t xml:space="preserve">While the specific fact-pattern does not arise often, it is an outgrowth of the common principle that it is never permissible to use substantial force against a person who has stopped resisting; in the absence of continued resistance, any tasing is unreasonable. Without a window of rest between tasings, the officers cannot assess whether resistance continues and thus cannot continue to use force.</w:t>
      </w:r>
      <w:r>
        <w:rPr>
          <w:rStyle w:val="FootnoteReference"/>
        </w:rPr>
        <w:footnoteReference w:id="52"/>
      </w:r>
      <w:r>
        <w:t xml:space="preserve"> </w:t>
      </w:r>
      <w:r>
        <w:t xml:space="preserve">Indeed, like other concepts around use of force discussed in this brief, granting an individual an opportunity to comply before using force is not a concept unique to tasing, but one that pertains to all uses of force and arises from basic common sense.</w:t>
      </w:r>
      <w:r>
        <w:rPr>
          <w:rStyle w:val="FootnoteReference"/>
        </w:rPr>
        <w:footnoteReference w:id="53"/>
      </w:r>
      <w:r>
        <w:t xml:space="preserve"> </w:t>
      </w:r>
      <w:r>
        <w:t xml:space="preserve">The officers in the present case virtually continuously tased Mr. Olson for a minute or more without allowing him any meaningful opportunity to comply. Even Hooper Bay conceded that all the tasings in question took place within “less than two minutes.” [Tr. 985:2</w:t>
      </w:r>
      <w:r>
        <w:noBreakHyphen/>
      </w:r>
      <w:r>
        <w:t xml:space="preserve">9]. Mr. Olson stated he was tased 15 times within about a minute or a minute and a half. [Tr. 506</w:t>
      </w:r>
      <w:r>
        <w:noBreakHyphen/>
      </w:r>
      <w:r>
        <w:t xml:space="preserve">507]. Taking the evidence in the light most favorable to Mr. Olson, Mr. Olson was tased 15 times in 60 to 90 seconds, or roughly four to six seconds between the initiation of one tase and another on average. A full cycle of tasing runs five seconds, while Officer Simon testified that he used the taser five times in two-second bursts and two more times without specifying how long the taser was shocking Mr. Olson. [Tr. 883]; [Tr. 715</w:t>
      </w:r>
      <w:r>
        <w:noBreakHyphen/>
      </w:r>
      <w:r>
        <w:t xml:space="preserve">17]. Officer Joseph testified that he used his taser in full five- second bursts. [Tr. 814]. The jury could have reasonably inferred that Mr. Olson was subjected to five two-second shocks and ten five-second shocks, which would constitute 60 seconds of direct electric shock.</w:t>
      </w:r>
    </w:p>
    <w:p>
      <w:pPr>
        <w:pStyle w:val="BodyText"/>
      </w:pPr>
      <w:r>
        <w:t xml:space="preserve">Even if those shocks were administered over 90 seconds, that would, on average, leave two seconds between each shock for Mr. Olson to recover and attempt to comply with the officers’ shouted instructions. Reasonable review of the evidence in the light most favorable to the plaintiff shows that the officers tased Mr. Olson virtually continuously for 60</w:t>
      </w:r>
      <w:r>
        <w:noBreakHyphen/>
      </w:r>
      <w:r>
        <w:t xml:space="preserve">90 seconds without taking more than a couple seconds between each tase to see if he had become compliant. Officer Simon admitted that he knew that a tasered subject could feel dazed for several seconds or even minutes following a tasing. [Tr. 742]. No reasonable officer could think that such virtually continuous tasing, offering Mr. Olson only a few seconds of opportunity to recover and comply between each tasing, was constitutionally appropriate.</w:t>
      </w:r>
    </w:p>
    <w:p>
      <w:pPr>
        <w:pStyle w:val="BodyText"/>
      </w:pPr>
      <w:r>
        <w:t xml:space="preserve">//</w:t>
      </w:r>
    </w:p>
    <w:p>
      <w:pPr>
        <w:pStyle w:val="BodyText"/>
      </w:pPr>
      <w:r>
        <w:t xml:space="preserve">//</w:t>
      </w:r>
    </w:p>
    <w:p>
      <w:pPr>
        <w:pStyle w:val="BodyText"/>
      </w:pPr>
      <w:r>
        <w:t xml:space="preserve">//</w:t>
      </w:r>
    </w:p>
    <w:p>
      <w:pPr>
        <w:pStyle w:val="BodyText"/>
      </w:pPr>
      <w:r>
        <w:t xml:space="preserve">//</w:t>
      </w:r>
    </w:p>
    <w:p>
      <w:pPr>
        <w:keepNext/>
        <w:keepLines/>
        <w:spacing w:before="208" w:after="208" w:line="299" w:lineRule="exact"/>
        <w:ind w:left="720" w:hanging="720"/>
        <w:jc w:val="left"/>
      </w:pPr>
      <w:r>
        <w:rPr>
          <w:b/>
          <w:bCs/>
        </w:rPr>
        <w:t xml:space="preserve">6.</w:t>
      </w:r>
      <w:r>
        <w:rPr>
          <w:b/>
          <w:bCs/>
        </w:rPr>
        <w:t xml:space="preserve"> </w:t>
      </w:r>
      <w:r>
        <w:rPr>
          <w:b/>
          <w:bCs/>
        </w:rPr>
        <w:t xml:space="preserve">A</w:t>
      </w:r>
      <w:r>
        <w:rPr>
          <w:b/>
          <w:bCs/>
        </w:rPr>
        <w:t xml:space="preserve"> </w:t>
      </w:r>
      <w:r>
        <w:rPr>
          <w:b/>
          <w:bCs/>
        </w:rPr>
        <w:t xml:space="preserve">Reasonable</w:t>
      </w:r>
      <w:r>
        <w:rPr>
          <w:b/>
          <w:bCs/>
        </w:rPr>
        <w:t xml:space="preserve"> </w:t>
      </w:r>
      <w:r>
        <w:rPr>
          <w:b/>
          <w:bCs/>
        </w:rPr>
        <w:t xml:space="preserve">Officer</w:t>
      </w:r>
      <w:r>
        <w:rPr>
          <w:b/>
          <w:bCs/>
        </w:rPr>
        <w:t xml:space="preserve"> </w:t>
      </w:r>
      <w:r>
        <w:rPr>
          <w:b/>
          <w:bCs/>
        </w:rPr>
        <w:t xml:space="preserve">Would</w:t>
      </w:r>
      <w:r>
        <w:rPr>
          <w:b/>
          <w:bCs/>
        </w:rPr>
        <w:t xml:space="preserve"> </w:t>
      </w:r>
      <w:r>
        <w:rPr>
          <w:b/>
          <w:bCs/>
        </w:rPr>
        <w:t xml:space="preserve">Limit</w:t>
      </w:r>
      <w:r>
        <w:rPr>
          <w:b/>
          <w:bCs/>
        </w:rPr>
        <w:t xml:space="preserve"> </w:t>
      </w:r>
      <w:r>
        <w:rPr>
          <w:b/>
          <w:bCs/>
        </w:rPr>
        <w:t xml:space="preserve">the</w:t>
      </w:r>
      <w:r>
        <w:rPr>
          <w:b/>
          <w:bCs/>
        </w:rPr>
        <w:t xml:space="preserve"> </w:t>
      </w:r>
      <w:r>
        <w:rPr>
          <w:b/>
          <w:bCs/>
        </w:rPr>
        <w:t xml:space="preserve">Use</w:t>
      </w:r>
      <w:r>
        <w:rPr>
          <w:b/>
          <w:bCs/>
        </w:rPr>
        <w:t xml:space="preserve"> </w:t>
      </w:r>
      <w:r>
        <w:rPr>
          <w:b/>
          <w:bCs/>
        </w:rPr>
        <w:t xml:space="preserve">of</w:t>
      </w:r>
      <w:r>
        <w:rPr>
          <w:b/>
          <w:bCs/>
        </w:rPr>
        <w:t xml:space="preserve"> </w:t>
      </w:r>
      <w:r>
        <w:rPr>
          <w:b/>
          <w:bCs/>
        </w:rPr>
        <w:t xml:space="preserve">Force</w:t>
      </w:r>
      <w:r>
        <w:rPr>
          <w:b/>
          <w:bCs/>
        </w:rPr>
        <w:t xml:space="preserve"> </w:t>
      </w:r>
      <w:r>
        <w:rPr>
          <w:b/>
          <w:bCs/>
        </w:rPr>
        <w:t xml:space="preserve">Where</w:t>
      </w:r>
      <w:r>
        <w:rPr>
          <w:b/>
          <w:bCs/>
        </w:rPr>
        <w:t xml:space="preserve"> </w:t>
      </w:r>
      <w:r>
        <w:rPr>
          <w:b/>
          <w:bCs/>
        </w:rPr>
        <w:t xml:space="preserve">Three</w:t>
      </w:r>
      <w:r>
        <w:rPr>
          <w:b/>
          <w:bCs/>
        </w:rPr>
        <w:t xml:space="preserve"> </w:t>
      </w:r>
      <w:r>
        <w:rPr>
          <w:b/>
          <w:bCs/>
        </w:rPr>
        <w:t xml:space="preserve">Officers</w:t>
      </w:r>
      <w:r>
        <w:rPr>
          <w:b/>
          <w:bCs/>
        </w:rPr>
        <w:t xml:space="preserve"> </w:t>
      </w:r>
      <w:r>
        <w:rPr>
          <w:b/>
          <w:bCs/>
        </w:rPr>
        <w:t xml:space="preserve">Surround</w:t>
      </w:r>
      <w:r>
        <w:rPr>
          <w:b/>
          <w:bCs/>
        </w:rPr>
        <w:t xml:space="preserve"> </w:t>
      </w:r>
      <w:r>
        <w:rPr>
          <w:b/>
          <w:bCs/>
        </w:rPr>
        <w:t xml:space="preserve">a</w:t>
      </w:r>
      <w:r>
        <w:rPr>
          <w:b/>
          <w:bCs/>
        </w:rPr>
        <w:t xml:space="preserve"> </w:t>
      </w:r>
      <w:r>
        <w:rPr>
          <w:b/>
          <w:bCs/>
        </w:rPr>
        <w:t xml:space="preserve">Single</w:t>
      </w:r>
      <w:r>
        <w:rPr>
          <w:b/>
          <w:bCs/>
        </w:rPr>
        <w:t xml:space="preserve"> </w:t>
      </w:r>
      <w:r>
        <w:rPr>
          <w:b/>
          <w:bCs/>
        </w:rPr>
        <w:t xml:space="preserve">Subject</w:t>
      </w:r>
    </w:p>
    <w:p>
      <w:pPr>
        <w:pStyle w:val="BodyTextNote"/>
      </w:pPr>
      <w:r>
        <w:t xml:space="preserve">Less force will be authorized to subdue a subject when he is significantly outnumbered by other officers.</w:t>
      </w:r>
      <w:r>
        <w:rPr>
          <w:rStyle w:val="FootnoteReference"/>
        </w:rPr>
        <w:footnoteReference w:id="54"/>
      </w:r>
      <w:r>
        <w:t xml:space="preserve"> </w:t>
      </w:r>
      <w:r>
        <w:t xml:space="preserve">The principle applies equally in cases involving tasers and cases involving the conventional use of force.</w:t>
      </w:r>
      <w:r>
        <w:rPr>
          <w:rStyle w:val="FootnoteReference"/>
        </w:rPr>
        <w:footnoteReference w:id="55"/>
      </w:r>
      <w:r>
        <w:t xml:space="preserve"> </w:t>
      </w:r>
      <w:r>
        <w:t xml:space="preserve">The plaintiff’s expert testified to the fact that three officers would ordinarily be able to maintain control over a single arrestee, without using a single taser blast. [Exc. 210]. A reasonable officer would know both from general case law and common sense that, when three officers confront a single, handcuffed, unarmed suspect, the degree of force to be used is limited.</w:t>
      </w:r>
    </w:p>
    <w:p>
      <w:pPr>
        <w:keepNext/>
        <w:keepLines/>
        <w:spacing w:before="208" w:after="208" w:line="299" w:lineRule="exact"/>
        <w:ind w:left="720" w:hanging="720"/>
        <w:jc w:val="left"/>
      </w:pPr>
      <w:r>
        <w:rPr>
          <w:b/>
          <w:bCs/>
        </w:rPr>
        <w:t xml:space="preserve">7.</w:t>
      </w:r>
      <w:r>
        <w:rPr>
          <w:b/>
          <w:bCs/>
        </w:rPr>
        <w:t xml:space="preserve"> </w:t>
      </w:r>
      <w:r>
        <w:rPr>
          <w:b/>
          <w:bCs/>
        </w:rPr>
        <w:t xml:space="preserve">A</w:t>
      </w:r>
      <w:r>
        <w:rPr>
          <w:b/>
          <w:bCs/>
        </w:rPr>
        <w:t xml:space="preserve"> </w:t>
      </w:r>
      <w:r>
        <w:rPr>
          <w:b/>
          <w:bCs/>
        </w:rPr>
        <w:t xml:space="preserve">Reasonable</w:t>
      </w:r>
      <w:r>
        <w:rPr>
          <w:b/>
          <w:bCs/>
        </w:rPr>
        <w:t xml:space="preserve"> </w:t>
      </w:r>
      <w:r>
        <w:rPr>
          <w:b/>
          <w:bCs/>
        </w:rPr>
        <w:t xml:space="preserve">Officer</w:t>
      </w:r>
      <w:r>
        <w:rPr>
          <w:b/>
          <w:bCs/>
        </w:rPr>
        <w:t xml:space="preserve"> </w:t>
      </w:r>
      <w:r>
        <w:rPr>
          <w:b/>
          <w:bCs/>
        </w:rPr>
        <w:t xml:space="preserve">Would</w:t>
      </w:r>
      <w:r>
        <w:rPr>
          <w:b/>
          <w:bCs/>
        </w:rPr>
        <w:t xml:space="preserve"> </w:t>
      </w:r>
      <w:r>
        <w:rPr>
          <w:b/>
          <w:bCs/>
        </w:rPr>
        <w:t xml:space="preserve">Limit</w:t>
      </w:r>
      <w:r>
        <w:rPr>
          <w:b/>
          <w:bCs/>
        </w:rPr>
        <w:t xml:space="preserve"> </w:t>
      </w:r>
      <w:r>
        <w:rPr>
          <w:b/>
          <w:bCs/>
        </w:rPr>
        <w:t xml:space="preserve">the</w:t>
      </w:r>
      <w:r>
        <w:rPr>
          <w:b/>
          <w:bCs/>
        </w:rPr>
        <w:t xml:space="preserve"> </w:t>
      </w:r>
      <w:r>
        <w:rPr>
          <w:b/>
          <w:bCs/>
        </w:rPr>
        <w:t xml:space="preserve">Use</w:t>
      </w:r>
      <w:r>
        <w:rPr>
          <w:b/>
          <w:bCs/>
        </w:rPr>
        <w:t xml:space="preserve"> </w:t>
      </w:r>
      <w:r>
        <w:rPr>
          <w:b/>
          <w:bCs/>
        </w:rPr>
        <w:t xml:space="preserve">of</w:t>
      </w:r>
      <w:r>
        <w:rPr>
          <w:b/>
          <w:bCs/>
        </w:rPr>
        <w:t xml:space="preserve"> </w:t>
      </w:r>
      <w:r>
        <w:rPr>
          <w:b/>
          <w:bCs/>
        </w:rPr>
        <w:t xml:space="preserve">Force</w:t>
      </w:r>
      <w:r>
        <w:rPr>
          <w:b/>
          <w:bCs/>
        </w:rPr>
        <w:t xml:space="preserve"> </w:t>
      </w:r>
      <w:r>
        <w:rPr>
          <w:b/>
          <w:bCs/>
        </w:rPr>
        <w:t xml:space="preserve">Against</w:t>
      </w:r>
      <w:r>
        <w:rPr>
          <w:b/>
          <w:bCs/>
        </w:rPr>
        <w:t xml:space="preserve"> </w:t>
      </w:r>
      <w:r>
        <w:rPr>
          <w:b/>
          <w:bCs/>
        </w:rPr>
        <w:t xml:space="preserve">a</w:t>
      </w:r>
      <w:r>
        <w:rPr>
          <w:b/>
          <w:bCs/>
        </w:rPr>
        <w:t xml:space="preserve"> </w:t>
      </w:r>
      <w:r>
        <w:rPr>
          <w:b/>
          <w:bCs/>
        </w:rPr>
        <w:t xml:space="preserve">Subject</w:t>
      </w:r>
      <w:r>
        <w:rPr>
          <w:b/>
          <w:bCs/>
        </w:rPr>
        <w:t xml:space="preserve"> </w:t>
      </w:r>
      <w:r>
        <w:rPr>
          <w:b/>
          <w:bCs/>
        </w:rPr>
        <w:t xml:space="preserve">Who</w:t>
      </w:r>
      <w:r>
        <w:rPr>
          <w:b/>
          <w:bCs/>
        </w:rPr>
        <w:t xml:space="preserve"> </w:t>
      </w:r>
      <w:r>
        <w:rPr>
          <w:b/>
          <w:bCs/>
        </w:rPr>
        <w:t xml:space="preserve">Is</w:t>
      </w:r>
      <w:r>
        <w:rPr>
          <w:b/>
          <w:bCs/>
        </w:rPr>
        <w:t xml:space="preserve"> </w:t>
      </w:r>
      <w:r>
        <w:rPr>
          <w:b/>
          <w:bCs/>
        </w:rPr>
        <w:t xml:space="preserve">Lying</w:t>
      </w:r>
      <w:r>
        <w:rPr>
          <w:b/>
          <w:bCs/>
        </w:rPr>
        <w:t xml:space="preserve"> </w:t>
      </w:r>
      <w:r>
        <w:rPr>
          <w:b/>
          <w:bCs/>
        </w:rPr>
        <w:t xml:space="preserve">Down</w:t>
      </w:r>
    </w:p>
    <w:p>
      <w:pPr>
        <w:pStyle w:val="BodyTextNote"/>
      </w:pPr>
      <w:r>
        <w:t xml:space="preserve">Basic common sense informs an officer that a person who is standing up has more freedom to move, and thus to flee or fight with the officers, than one who is lying down. Courts have traditionally scrutinized the use of force against subjects who are lying down more than those standing up.</w:t>
      </w:r>
      <w:r>
        <w:rPr>
          <w:rStyle w:val="FootnoteReference"/>
        </w:rPr>
        <w:footnoteReference w:id="56"/>
      </w:r>
      <w:r>
        <w:t xml:space="preserve"> </w:t>
      </w:r>
      <w:r>
        <w:t xml:space="preserve">Indeed, the individual’s posture is an aspect of the Graham factors regarding “whether the suspect poses an immediate threat to the safety of the officers or others and whether he is . . . attempting to evade arrest by flight.”</w:t>
      </w:r>
      <w:r>
        <w:rPr>
          <w:rStyle w:val="FootnoteReference"/>
        </w:rPr>
        <w:footnoteReference w:id="57"/>
      </w:r>
      <w:r>
        <w:t xml:space="preserve"> </w:t>
      </w:r>
      <w:r>
        <w:t xml:space="preserve">Mr. Olson clearly posed no risk of flight while handcuffed and lying down on the floor and posed reduced risk to the officers’ safety in that posture. A reasonable officer would thus have significantly limited the use of force in that circumstance.</w:t>
      </w:r>
    </w:p>
    <w:p>
      <w:pPr>
        <w:keepNext/>
        <w:keepLines/>
        <w:spacing w:before="260" w:after="208" w:line="299" w:lineRule="exact"/>
        <w:ind w:left="720" w:hanging="720"/>
        <w:jc w:val="left"/>
      </w:pPr>
      <w:r>
        <w:rPr>
          <w:b/>
          <w:bCs/>
          <w:i/>
          <w:iCs/>
        </w:rPr>
        <w:t xml:space="preserve">c.</w:t>
      </w:r>
      <w:r>
        <w:rPr>
          <w:b/>
          <w:bCs/>
          <w:i/>
          <w:iCs/>
        </w:rPr>
        <w:t xml:space="preserve"> </w:t>
      </w:r>
      <w:r>
        <w:rPr>
          <w:b/>
          <w:bCs/>
          <w:i/>
          <w:iCs/>
        </w:rPr>
        <w:t xml:space="preserve">Even</w:t>
      </w:r>
      <w:r>
        <w:rPr>
          <w:b/>
          <w:bCs/>
          <w:i/>
          <w:iCs/>
        </w:rPr>
        <w:t xml:space="preserve"> </w:t>
      </w:r>
      <w:r>
        <w:rPr>
          <w:b/>
          <w:bCs/>
          <w:i/>
          <w:iCs/>
        </w:rPr>
        <w:t xml:space="preserve">Assuming</w:t>
      </w:r>
      <w:r>
        <w:rPr>
          <w:b/>
          <w:bCs/>
          <w:i/>
          <w:iCs/>
        </w:rPr>
        <w:t xml:space="preserve"> </w:t>
      </w:r>
      <w:r>
        <w:rPr>
          <w:b/>
          <w:bCs/>
          <w:i/>
          <w:iCs/>
        </w:rPr>
        <w:t xml:space="preserve">that</w:t>
      </w:r>
      <w:r>
        <w:rPr>
          <w:b/>
          <w:bCs/>
          <w:i/>
          <w:iCs/>
        </w:rPr>
        <w:t xml:space="preserve"> </w:t>
      </w:r>
      <w:r>
        <w:rPr>
          <w:b/>
          <w:bCs/>
          <w:i/>
          <w:iCs/>
        </w:rPr>
        <w:t xml:space="preserve">Mr.</w:t>
      </w:r>
      <w:r>
        <w:rPr>
          <w:b/>
          <w:bCs/>
          <w:i/>
          <w:iCs/>
        </w:rPr>
        <w:t xml:space="preserve"> </w:t>
      </w:r>
      <w:r>
        <w:rPr>
          <w:b/>
          <w:bCs/>
          <w:i/>
          <w:iCs/>
        </w:rPr>
        <w:t xml:space="preserve">Olson’s</w:t>
      </w:r>
      <w:r>
        <w:rPr>
          <w:b/>
          <w:bCs/>
          <w:i/>
          <w:iCs/>
        </w:rPr>
        <w:t xml:space="preserve"> </w:t>
      </w:r>
      <w:r>
        <w:rPr>
          <w:b/>
          <w:bCs/>
          <w:i/>
          <w:iCs/>
        </w:rPr>
        <w:t xml:space="preserve">Resistance</w:t>
      </w:r>
      <w:r>
        <w:rPr>
          <w:b/>
          <w:bCs/>
          <w:i/>
          <w:iCs/>
        </w:rPr>
        <w:t xml:space="preserve"> </w:t>
      </w:r>
      <w:r>
        <w:rPr>
          <w:b/>
          <w:bCs/>
          <w:i/>
          <w:iCs/>
        </w:rPr>
        <w:t xml:space="preserve">Continued</w:t>
      </w:r>
      <w:r>
        <w:rPr>
          <w:b/>
          <w:bCs/>
          <w:i/>
          <w:iCs/>
        </w:rPr>
        <w:t xml:space="preserve"> </w:t>
      </w:r>
      <w:r>
        <w:rPr>
          <w:b/>
          <w:bCs/>
          <w:i/>
          <w:iCs/>
        </w:rPr>
        <w:t xml:space="preserve">Until</w:t>
      </w:r>
      <w:r>
        <w:rPr>
          <w:b/>
          <w:bCs/>
          <w:i/>
          <w:iCs/>
        </w:rPr>
        <w:t xml:space="preserve"> </w:t>
      </w:r>
      <w:r>
        <w:rPr>
          <w:b/>
          <w:bCs/>
          <w:i/>
          <w:iCs/>
        </w:rPr>
        <w:t xml:space="preserve">the</w:t>
      </w:r>
      <w:r>
        <w:rPr>
          <w:b/>
          <w:bCs/>
          <w:i/>
          <w:iCs/>
        </w:rPr>
        <w:t xml:space="preserve"> </w:t>
      </w:r>
      <w:r>
        <w:rPr>
          <w:b/>
          <w:bCs/>
          <w:i/>
          <w:iCs/>
        </w:rPr>
        <w:t xml:space="preserve">Final</w:t>
      </w:r>
      <w:r>
        <w:rPr>
          <w:b/>
          <w:bCs/>
          <w:i/>
          <w:iCs/>
        </w:rPr>
        <w:t xml:space="preserve"> </w:t>
      </w:r>
      <w:r>
        <w:rPr>
          <w:b/>
          <w:bCs/>
          <w:i/>
          <w:iCs/>
        </w:rPr>
        <w:t xml:space="preserve">Tasing,</w:t>
      </w:r>
      <w:r>
        <w:rPr>
          <w:b/>
          <w:bCs/>
          <w:i/>
          <w:iCs/>
        </w:rPr>
        <w:t xml:space="preserve"> </w:t>
      </w:r>
      <w:r>
        <w:rPr>
          <w:b/>
          <w:bCs/>
          <w:i/>
          <w:iCs/>
        </w:rPr>
        <w:t xml:space="preserve">Hooper</w:t>
      </w:r>
      <w:r>
        <w:rPr>
          <w:b/>
          <w:bCs/>
          <w:i/>
          <w:iCs/>
        </w:rPr>
        <w:t xml:space="preserve"> </w:t>
      </w:r>
      <w:r>
        <w:rPr>
          <w:b/>
          <w:bCs/>
          <w:i/>
          <w:iCs/>
        </w:rPr>
        <w:t xml:space="preserve">Bay’s</w:t>
      </w:r>
      <w:r>
        <w:rPr>
          <w:b/>
          <w:bCs/>
          <w:i/>
          <w:iCs/>
        </w:rPr>
        <w:t xml:space="preserve"> </w:t>
      </w:r>
      <w:r>
        <w:rPr>
          <w:b/>
          <w:bCs/>
          <w:i/>
          <w:iCs/>
        </w:rPr>
        <w:t xml:space="preserve">Policy</w:t>
      </w:r>
      <w:r>
        <w:rPr>
          <w:b/>
          <w:bCs/>
          <w:i/>
          <w:iCs/>
        </w:rPr>
        <w:t xml:space="preserve"> </w:t>
      </w:r>
      <w:r>
        <w:rPr>
          <w:b/>
          <w:bCs/>
          <w:i/>
          <w:iCs/>
        </w:rPr>
        <w:t xml:space="preserve">Gave</w:t>
      </w:r>
      <w:r>
        <w:rPr>
          <w:b/>
          <w:bCs/>
          <w:i/>
          <w:iCs/>
        </w:rPr>
        <w:t xml:space="preserve"> </w:t>
      </w:r>
      <w:r>
        <w:rPr>
          <w:b/>
          <w:bCs/>
          <w:i/>
          <w:iCs/>
        </w:rPr>
        <w:t xml:space="preserve">Notice</w:t>
      </w:r>
      <w:r>
        <w:rPr>
          <w:b/>
          <w:bCs/>
          <w:i/>
          <w:iCs/>
        </w:rPr>
        <w:t xml:space="preserve"> </w:t>
      </w:r>
      <w:r>
        <w:rPr>
          <w:b/>
          <w:bCs/>
          <w:i/>
          <w:iCs/>
        </w:rPr>
        <w:t xml:space="preserve">That</w:t>
      </w:r>
      <w:r>
        <w:rPr>
          <w:b/>
          <w:bCs/>
          <w:i/>
          <w:iCs/>
        </w:rPr>
        <w:t xml:space="preserve"> </w:t>
      </w:r>
      <w:r>
        <w:rPr>
          <w:b/>
          <w:bCs/>
          <w:i/>
          <w:iCs/>
        </w:rPr>
        <w:t xml:space="preserve">Tasing</w:t>
      </w:r>
      <w:r>
        <w:rPr>
          <w:b/>
          <w:bCs/>
          <w:i/>
          <w:iCs/>
        </w:rPr>
        <w:t xml:space="preserve"> </w:t>
      </w:r>
      <w:r>
        <w:rPr>
          <w:b/>
          <w:bCs/>
          <w:i/>
          <w:iCs/>
        </w:rPr>
        <w:t xml:space="preserve">Mr.</w:t>
      </w:r>
      <w:r>
        <w:rPr>
          <w:b/>
          <w:bCs/>
          <w:i/>
          <w:iCs/>
        </w:rPr>
        <w:t xml:space="preserve"> </w:t>
      </w:r>
      <w:r>
        <w:rPr>
          <w:b/>
          <w:bCs/>
          <w:i/>
          <w:iCs/>
        </w:rPr>
        <w:t xml:space="preserve">Olson</w:t>
      </w:r>
      <w:r>
        <w:rPr>
          <w:b/>
          <w:bCs/>
          <w:i/>
          <w:iCs/>
        </w:rPr>
        <w:t xml:space="preserve"> </w:t>
      </w:r>
      <w:r>
        <w:rPr>
          <w:b/>
          <w:bCs/>
          <w:i/>
          <w:iCs/>
        </w:rPr>
        <w:t xml:space="preserve">16</w:t>
      </w:r>
      <w:r>
        <w:rPr>
          <w:b/>
          <w:bCs/>
          <w:i/>
          <w:iCs/>
        </w:rPr>
        <w:t xml:space="preserve"> </w:t>
      </w:r>
      <w:r>
        <w:rPr>
          <w:b/>
          <w:bCs/>
          <w:i/>
          <w:iCs/>
        </w:rPr>
        <w:t xml:space="preserve">to</w:t>
      </w:r>
      <w:r>
        <w:rPr>
          <w:b/>
          <w:bCs/>
          <w:i/>
          <w:iCs/>
        </w:rPr>
        <w:t xml:space="preserve"> </w:t>
      </w:r>
      <w:r>
        <w:rPr>
          <w:b/>
          <w:bCs/>
          <w:i/>
          <w:iCs/>
        </w:rPr>
        <w:t xml:space="preserve">18</w:t>
      </w:r>
      <w:r>
        <w:rPr>
          <w:b/>
          <w:bCs/>
          <w:i/>
          <w:iCs/>
        </w:rPr>
        <w:t xml:space="preserve"> </w:t>
      </w:r>
      <w:r>
        <w:rPr>
          <w:b/>
          <w:bCs/>
          <w:i/>
          <w:iCs/>
        </w:rPr>
        <w:t xml:space="preserve">Times</w:t>
      </w:r>
      <w:r>
        <w:rPr>
          <w:b/>
          <w:bCs/>
          <w:i/>
          <w:iCs/>
        </w:rPr>
        <w:t xml:space="preserve"> </w:t>
      </w:r>
      <w:r>
        <w:rPr>
          <w:b/>
          <w:bCs/>
          <w:i/>
          <w:iCs/>
        </w:rPr>
        <w:t xml:space="preserve">Violated</w:t>
      </w:r>
      <w:r>
        <w:rPr>
          <w:b/>
          <w:bCs/>
          <w:i/>
          <w:iCs/>
        </w:rPr>
        <w:t xml:space="preserve"> </w:t>
      </w:r>
      <w:r>
        <w:rPr>
          <w:b/>
          <w:bCs/>
          <w:i/>
          <w:iCs/>
        </w:rPr>
        <w:t xml:space="preserve">the</w:t>
      </w:r>
      <w:r>
        <w:rPr>
          <w:b/>
          <w:bCs/>
          <w:i/>
          <w:iCs/>
        </w:rPr>
        <w:t xml:space="preserve"> </w:t>
      </w:r>
      <w:r>
        <w:rPr>
          <w:b/>
          <w:bCs/>
          <w:i/>
          <w:iCs/>
        </w:rPr>
        <w:t xml:space="preserve">Law</w:t>
      </w:r>
    </w:p>
    <w:p>
      <w:pPr>
        <w:pStyle w:val="BodyText"/>
      </w:pPr>
      <w:r>
        <w:t xml:space="preserve">The City of Hooper Bay has a use of force policy specifically restricting the use of the taser on individuals who are “restrained or controlled.” [Exc. 122]. The policy was produced and introduced as an exhibit at trial. [Tr. 927</w:t>
      </w:r>
      <w:r>
        <w:noBreakHyphen/>
      </w:r>
      <w:r>
        <w:t xml:space="preserve">28]. The policy specifically states that the taser “shall not be used on a restrained or controlled subject unless the actions of the subject present an immediate risk of death or great bodily harm or substantial physical struggle that could result in injury to themselves or any other person including the deploying officer.” [Exc. 122]. Green, 246 F. App’x at 163 (holding a reasonable officer would know not to “kick [a subject] when he is already restrained and on the ground”); Diaz v. City of Brownfield, 3 F.3d 440 (5th Cir. 1993) (allegation officers beat a plaintiff who “was lying on the ground in handcuffs” survived motion to dismiss); Tafler v. Dist. of Columbia, 539 F. Supp. 2d 385, 391 (D.D.C. 2008) (rejecting claims of qualified immunity in excessive force case because defendants failed to “adequately address why it was that the level of force employed was needed after Tafler was handcuffed and lying on the ground”) (emphasis in the original).</w:t>
      </w:r>
    </w:p>
    <w:p>
      <w:pPr>
        <w:pStyle w:val="BodyText"/>
      </w:pPr>
      <w:r>
        <w:t xml:space="preserve">No party claims that Mr. Olson was not restrained at the time of the tasing. No party claims that an immediate risk of death or great bodily harm was present. Thus, the question before the Court is whether the language about a “substantial physical struggle” helped give the officers notice of when the use of a taser against a handcuffed man was permitted.</w:t>
      </w:r>
    </w:p>
    <w:p>
      <w:pPr>
        <w:pStyle w:val="BodyText"/>
      </w:pPr>
      <w:r>
        <w:t xml:space="preserve">The amicus would first point the Court to consider another provision in the policy as evidence of what the policy means. The Hooper Bay use of force policy similarly prohibits, using virtually verbatim language, the use of the taser against “minors or the elderly” except where the risk of death, serious bodily injury, or “substantial physical struggle” would ensue. [Exc. 122]. The ordinary officer would thus learn from the policy that force was permitted against handcuffed or otherwise restrained adults to the same extent that such force was permitted against the elderly or a minor child; the same kind of “substantial physical struggle” that would allow the use of a taser against a child would allow the use of a taser against a restrained adult, like Mr. Olson. Any officer reading the use of force policy would thus think that a “substantial physical struggle” would mean something reasonably extraordinary, as one might reasonably assume that the use of the taser against the elderly or children would require something more than ordinary kicking or resistance.</w:t>
      </w:r>
    </w:p>
    <w:p>
      <w:pPr>
        <w:pStyle w:val="BodyTextNote"/>
      </w:pPr>
      <w:r>
        <w:t xml:space="preserve">Whatever the policy means, it surely should not be read to mean what the defendants’ expert proposed: namely, that all struggles are substantial ones. [Tr. 932]. If the City of Hooper Bay meant in their use of force policy that all struggles are “substantial,” they simply would have written “any struggle” and omitted the word “substantial.” Generally, courts should construe statutes and contracts in a manner which avoids treating words as extraneous or surplusage.</w:t>
      </w:r>
      <w:r>
        <w:rPr>
          <w:rStyle w:val="FootnoteReference"/>
        </w:rPr>
        <w:footnoteReference w:id="58"/>
      </w:r>
      <w:r>
        <w:t xml:space="preserve"> </w:t>
      </w:r>
      <w:r>
        <w:t xml:space="preserve">A court should interpret a municipal use of force policy similarly, without assuming that the drafters intended some words to be meaningless. If given Hooper Bay’s expert’s construction, the policy would not really articulate a different standard than that for the use of tasers against unrestrained people, since the use of force generally must be “in direct relationship to the amount of resistance employed by the person.” [R. 114]. An unrestrained arrestee who actively resists arrest poses real risk of some kind of struggle; by singling out restrained individuals, the city clearly meant to create a heightened standard for use of force against people already in handcuffs.</w:t>
      </w:r>
    </w:p>
    <w:p>
      <w:pPr>
        <w:pStyle w:val="BodyText"/>
      </w:pPr>
      <w:r>
        <w:t xml:space="preserve">In any event, Hooper Bay’s policy specifically articulated a unique and higher standard regarding the appropriate use of tasers on restrained people, virtually identical in its terms to those suitable for use of tasers on the elderly and on minors. This policy provided clear notice to the officers that special, heightened concern should be shown before tasing restrained individuals. In the case of Mr. Olson, that heightened standard should have provided further notice of the unconstitutionality of the use of force, along with the notice inherent in the act of repeatedly tasing a handcuffed man lying on the ground without giving him adequate time to recover and comply with orders.</w:t>
      </w:r>
    </w:p>
    <w:p>
      <w:pPr>
        <w:keepNext/>
        <w:keepLines/>
        <w:spacing w:before="312" w:after="208" w:line="299" w:lineRule="exact"/>
        <w:ind w:left="720" w:hanging="720"/>
        <w:jc w:val="left"/>
      </w:pPr>
      <w:r>
        <w:rPr>
          <w:b/>
          <w:bCs/>
        </w:rPr>
        <w:t xml:space="preserve">V.</w:t>
      </w:r>
      <w:r>
        <w:rPr>
          <w:b/>
          <w:bCs/>
        </w:rPr>
        <w:t xml:space="preserve"> </w:t>
      </w:r>
      <w:r>
        <w:rPr>
          <w:b/>
          <w:bCs/>
        </w:rPr>
        <w:t xml:space="preserve">Conclusion</w:t>
      </w:r>
    </w:p>
    <w:p>
      <w:pPr>
        <w:pStyle w:val="BodyText"/>
      </w:pPr>
      <w:r>
        <w:t xml:space="preserve">Mr. Olson has the undisputed right against the application of unreasonable force against his person, a right violated when officers from Hooper Bay shocked him 16 to 18 times in the space of less than two minutes. He also has the undisputed right to have his claims heard by a jury of his peers, a right violated when a Superior Court judge set aside the jury verdict based on his preference for the officers’ testimony.</w:t>
      </w:r>
    </w:p>
    <w:p>
      <w:pPr>
        <w:pStyle w:val="BodyText"/>
      </w:pPr>
      <w:r>
        <w:t xml:space="preserve">Construing the evidence in the light most favorable to Mr. Olson, the Superior Court should not have granted judgment notwithstanding the verdict to Hooper Bay. The Superior Court should have relied upon the testimony heard at trial and found that the jury could have found that Mr. Olson ceased his resistance prior to the final tasing.</w:t>
      </w:r>
    </w:p>
    <w:p>
      <w:pPr>
        <w:pStyle w:val="BodyText"/>
      </w:pPr>
      <w:r>
        <w:t xml:space="preserve">Moreover, regardless of whether the jury harbored concerns about whether Mr. Olson continued to resist until the final tasing, the evidence, taken in the light most favorable to Mr. Olson, establishes that Mr. Olson was handcuffed throughout the tasing; that he was lying down for the bulk of the tasing; that Mr. Olson was surrounded by three officers; and that the officers afforded him roughly two seconds between each tasing to for him to comply. The Court can also note existing Hooper Bay policy that strictly limits the use of tasers against restrained people and provides a standard comparable to that for the elderly and minors. The Court need not find a particular case on tasers factually similar to the present case to find that these factors would strongly indicate to a reasonable officer that his conduct violates the law. A reasonable officer needs no case on point to know that such conduct reflects gratuitous and excessive use of force and violates long recognized legal principles on the use of force.</w:t>
      </w:r>
    </w:p>
    <w:p>
      <w:pPr>
        <w:pStyle w:val="BodyText"/>
      </w:pPr>
      <w:r>
        <w:t xml:space="preserve">In light of these arguments, the amicus urges this court to vacate the judgment notwithstanding the verdict and remand the case to the Superior Court with instructions to reinstate the jury verdict.</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0" w:firstLine="720"/>
              <w:jc w:val="left"/>
            </w:pPr>
            <w:r>
              <w:t xml:space="preserve">March</w:t>
            </w:r>
            <w:r>
              <w:t xml:space="preserve"> </w:t>
            </w:r>
            <w:r>
              <w:t xml:space="preserve">6,</w:t>
            </w:r>
            <w:r>
              <w:t xml:space="preserve"> </w:t>
            </w:r>
            <w:r>
              <w:t xml:space="preserve">2013</w:t>
            </w:r>
          </w:p>
          <w:p>
            <w:pPr>
              <w:spacing w:before="208" w:after="0" w:line="299" w:lineRule="exact"/>
              <w:ind w:left="4608" w:firstLine="0"/>
              <w:jc w:val="left"/>
            </w:pPr>
            <w:r>
              <w:rPr>
                <w:u w:val="single"/>
              </w:rPr>
              <w:t xml:space="preserve">/s/</w:t>
            </w:r>
            <w:r>
              <w:rPr>
                <w:u w:val="single"/>
              </w:rPr>
              <w:t xml:space="preserve"> </w:t>
            </w:r>
            <w:r>
              <w:rPr>
                <w:i/>
                <w:iCs/>
                <w:u w:val="single"/>
              </w:rPr>
              <w:t xml:space="preserve">Thomas</w:t>
            </w:r>
            <w:r>
              <w:rPr>
                <w:i/>
                <w:iCs/>
                <w:u w:val="single"/>
              </w:rPr>
              <w:t xml:space="preserve"> </w:t>
            </w:r>
            <w:r>
              <w:rPr>
                <w:i/>
                <w:iCs/>
                <w:u w:val="single"/>
              </w:rPr>
              <w:t xml:space="preserve">Stenson</w:t>
            </w:r>
          </w:p>
          <w:p>
            <w:pPr>
              <w:spacing w:before="0" w:after="0" w:line="299" w:lineRule="exact"/>
              <w:ind w:left="4608" w:firstLine="0"/>
              <w:jc w:val="left"/>
            </w:pPr>
            <w:r>
              <w:t xml:space="preserve">Thomas</w:t>
            </w:r>
            <w:r>
              <w:t xml:space="preserve"> </w:t>
            </w:r>
            <w:r>
              <w:t xml:space="preserve">Stenson</w:t>
            </w:r>
          </w:p>
          <w:p>
            <w:pPr>
              <w:spacing w:before="156" w:after="0" w:line="299" w:lineRule="exact"/>
              <w:ind w:left="4608" w:firstLine="0"/>
              <w:jc w:val="left"/>
            </w:pPr>
            <w:r>
              <w:t xml:space="preserve">ACLU</w:t>
            </w:r>
            <w:r>
              <w:t xml:space="preserve"> </w:t>
            </w:r>
            <w:r>
              <w:t xml:space="preserve">of</w:t>
            </w:r>
            <w:r>
              <w:t xml:space="preserve"> </w:t>
            </w:r>
            <w:r>
              <w:t xml:space="preserve">Alaska</w:t>
            </w:r>
            <w:r>
              <w:t xml:space="preserve"> </w:t>
            </w:r>
            <w:r>
              <w:t xml:space="preserve">Foundation</w:t>
            </w:r>
          </w:p>
        </w:tc>
      </w:tr>
    </w:tbl>
    <w:sectPr>
      <w:footerReference w:type="default" r:id="rIdXdPage"/>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Olson v. City of Hooper Bay, 251 P.3d 1024 (Alaska 2011).</w:t>
      </w:r>
    </w:p>
  </w:footnote>
  <w:footnote w:id="10">
    <w:p>
      <w:pPr>
        <w:pStyle w:val="FootnoteText"/>
      </w:pPr>
      <w:r>
        <w:rPr>
          <w:rStyle w:val="FootnoteReference"/>
        </w:rPr>
        <w:footnoteRef/>
      </w:r>
      <w:r>
        <w:t xml:space="preserve"> </w:t>
      </w:r>
      <w:r>
        <w:t xml:space="preserve">Cameron v. Chang-Craft, 251 P.3d 1008, 1017</w:t>
      </w:r>
      <w:r>
        <w:noBreakHyphen/>
      </w:r>
      <w:r>
        <w:t xml:space="preserve">18 (Alaska 2011) (internal quotations and citations omitted).</w:t>
      </w:r>
    </w:p>
  </w:footnote>
  <w:footnote w:id="11">
    <w:p>
      <w:pPr>
        <w:pStyle w:val="FootnoteText"/>
      </w:pPr>
      <w:r>
        <w:rPr>
          <w:rStyle w:val="FootnoteReference"/>
        </w:rPr>
        <w:footnoteRef/>
      </w:r>
      <w:r>
        <w:t xml:space="preserve"> </w:t>
      </w:r>
      <w:r>
        <w:t xml:space="preserve">Id. at 1018.</w:t>
      </w:r>
    </w:p>
  </w:footnote>
  <w:footnote w:id="12">
    <w:p>
      <w:pPr>
        <w:pStyle w:val="FootnoteText"/>
      </w:pPr>
      <w:r>
        <w:rPr>
          <w:rStyle w:val="FootnoteReference"/>
        </w:rPr>
        <w:footnoteRef/>
      </w:r>
      <w:r>
        <w:t xml:space="preserve"> </w:t>
      </w:r>
      <w:r>
        <w:t xml:space="preserve">Alaska Interstate Const., LLC v. Pac. Diversified Investments, Inc., 279 P.3d 1156, 1162 (Alaska 2012) (formatting in the original; internal citations omitted).</w:t>
      </w:r>
    </w:p>
  </w:footnote>
  <w:footnote w:id="13">
    <w:p>
      <w:pPr>
        <w:pStyle w:val="FootnoteText"/>
      </w:pPr>
      <w:r>
        <w:rPr>
          <w:rStyle w:val="FootnoteReference"/>
        </w:rPr>
        <w:footnoteRef/>
      </w:r>
      <w:r>
        <w:t xml:space="preserve"> </w:t>
      </w:r>
      <w:r>
        <w:t xml:space="preserve">Iacobucci v. Boulter, 193 F.3d 14, 23 (1st Cir. 1999).</w:t>
      </w:r>
    </w:p>
  </w:footnote>
  <w:footnote w:id="14">
    <w:p>
      <w:pPr>
        <w:pStyle w:val="FootnoteText"/>
      </w:pPr>
      <w:r>
        <w:rPr>
          <w:rStyle w:val="FootnoteReference"/>
        </w:rPr>
        <w:footnoteRef/>
      </w:r>
      <w:r>
        <w:t xml:space="preserve"> </w:t>
      </w:r>
      <w:r>
        <w:t xml:space="preserve">Alaska Interstate Const., 279 P.3d at 1162.</w:t>
      </w:r>
    </w:p>
  </w:footnote>
  <w:footnote w:id="15">
    <w:p>
      <w:pPr>
        <w:pStyle w:val="FootnoteText"/>
      </w:pPr>
      <w:r>
        <w:rPr>
          <w:rStyle w:val="FootnoteReference"/>
        </w:rPr>
        <w:footnoteRef/>
      </w:r>
      <w:r>
        <w:t xml:space="preserve"> </w:t>
      </w:r>
      <w:r>
        <w:t xml:space="preserve">Cameron, 251 P.3d at 1017</w:t>
      </w:r>
      <w:r>
        <w:noBreakHyphen/>
      </w:r>
      <w:r>
        <w:t xml:space="preserve">18.</w:t>
      </w:r>
    </w:p>
  </w:footnote>
  <w:footnote w:id="16">
    <w:p>
      <w:pPr>
        <w:pStyle w:val="FootnoteText"/>
      </w:pPr>
      <w:r>
        <w:rPr>
          <w:rStyle w:val="FootnoteReference"/>
        </w:rPr>
        <w:footnoteRef/>
      </w:r>
      <w:r>
        <w:t xml:space="preserve"> </w:t>
      </w:r>
      <w:r>
        <w:t xml:space="preserve">Priester v. City of Riviera Beach, 208 F.3d 919, 925 (11th Cir. 2000) (vacating trial court’s judgment as a matter of law, since “the district court mistakenly relied upon Defendants’ version of the facts, rather than Plaintiff’s version of the facts, as it was required to do”).</w:t>
      </w:r>
    </w:p>
  </w:footnote>
  <w:footnote w:id="17">
    <w:p>
      <w:pPr>
        <w:pStyle w:val="FootnoteText"/>
      </w:pPr>
      <w:r>
        <w:rPr>
          <w:rStyle w:val="FootnoteReference"/>
        </w:rPr>
        <w:footnoteRef/>
      </w:r>
      <w:r>
        <w:t xml:space="preserve"> </w:t>
      </w:r>
      <w:r>
        <w:t xml:space="preserve">Cameron, 251 P.3d at 1017.</w:t>
      </w:r>
    </w:p>
  </w:footnote>
  <w:footnote w:id="18">
    <w:p>
      <w:pPr>
        <w:pStyle w:val="FootnoteText"/>
      </w:pPr>
      <w:r>
        <w:rPr>
          <w:rStyle w:val="FootnoteReference"/>
        </w:rPr>
        <w:footnoteRef/>
      </w:r>
      <w:r>
        <w:t xml:space="preserve"> </w:t>
      </w:r>
      <w:r>
        <w:t xml:space="preserve">Jennings v. Jones, 499 F.3d 2, 4 (1st Cir. 2007).</w:t>
      </w:r>
    </w:p>
  </w:footnote>
  <w:footnote w:id="19">
    <w:p>
      <w:pPr>
        <w:pStyle w:val="FootnoteText"/>
      </w:pPr>
      <w:r>
        <w:rPr>
          <w:rStyle w:val="FootnoteReference"/>
        </w:rPr>
        <w:footnoteRef/>
      </w:r>
      <w:r>
        <w:t xml:space="preserve"> </w:t>
      </w:r>
      <w:r>
        <w:t xml:space="preserve">Jennings, 499 F.3d at 10.</w:t>
      </w:r>
    </w:p>
  </w:footnote>
  <w:footnote w:id="20">
    <w:p>
      <w:pPr>
        <w:pStyle w:val="FootnoteText"/>
      </w:pPr>
      <w:r>
        <w:rPr>
          <w:rStyle w:val="FootnoteReference"/>
        </w:rPr>
        <w:footnoteRef/>
      </w:r>
      <w:r>
        <w:t xml:space="preserve"> </w:t>
      </w:r>
      <w:r>
        <w:t xml:space="preserve">Borges Colon v. Roman-Abreu, 438 F.3d 1, 19 (1st Cir. 2006) (rejecting a claim of qualified immunity following a jury trial because “a jury easily could have found that this [proposed fact pattern] was not so”) (emphasis added).</w:t>
      </w:r>
    </w:p>
  </w:footnote>
  <w:footnote w:id="21">
    <w:p>
      <w:pPr>
        <w:pStyle w:val="FootnoteText"/>
      </w:pPr>
      <w:r>
        <w:rPr>
          <w:rStyle w:val="FootnoteReference"/>
        </w:rPr>
        <w:footnoteRef/>
      </w:r>
      <w:r>
        <w:t xml:space="preserve"> </w:t>
      </w:r>
      <w:r>
        <w:t xml:space="preserve">Alaska Interstate Const., 279 P.3d at 1162.</w:t>
      </w:r>
    </w:p>
  </w:footnote>
  <w:footnote w:id="22">
    <w:p>
      <w:pPr>
        <w:pStyle w:val="FootnoteText"/>
      </w:pPr>
      <w:r>
        <w:rPr>
          <w:rStyle w:val="FootnoteReference"/>
        </w:rPr>
        <w:footnoteRef/>
      </w:r>
      <w:r>
        <w:t xml:space="preserve"> </w:t>
      </w:r>
      <w:r>
        <w:t xml:space="preserve">Olson, 251 P.3d at 1030 (emphasis added).</w:t>
      </w:r>
    </w:p>
  </w:footnote>
  <w:footnote w:id="23">
    <w:p>
      <w:pPr>
        <w:pStyle w:val="FootnoteText"/>
      </w:pPr>
      <w:r>
        <w:rPr>
          <w:rStyle w:val="FootnoteReference"/>
        </w:rPr>
        <w:footnoteRef/>
      </w:r>
      <w:r>
        <w:t xml:space="preserve"> </w:t>
      </w:r>
      <w:r>
        <w:t xml:space="preserve">Contrast [Tr. 1193] (“[T]here is a difference of fact between their side and our side and the difference of fact is whether or not he was still actively resisting. Actively resisting. If he was actively resisting, we were entitled to use a taser on him. If he was not actively resisting, we were not entitled to use the taser.”) with [Tr. 1275] (“We did have the testimony of Mr. Olson who admitted on the stand that he resisted to the end. . . .”).</w:t>
      </w:r>
    </w:p>
  </w:footnote>
  <w:footnote w:id="24">
    <w:p>
      <w:pPr>
        <w:pStyle w:val="FootnoteText"/>
      </w:pPr>
      <w:r>
        <w:rPr>
          <w:rStyle w:val="FootnoteReference"/>
        </w:rPr>
        <w:footnoteRef/>
      </w:r>
      <w:r>
        <w:t xml:space="preserve"> </w:t>
      </w:r>
      <w:r>
        <w:t xml:space="preserve">Priester, 208 F.3d at 924 (holding, while acknowledging that the question of qualified immunity must be resolved “from the perspective of a reasonable officer on the scene,” the clearly contradictory testimony of the officer and the plaintiff precluded judgment as a matter of law for the officer).</w:t>
      </w:r>
    </w:p>
  </w:footnote>
  <w:footnote w:id="25">
    <w:p>
      <w:pPr>
        <w:pStyle w:val="FootnoteText"/>
      </w:pPr>
      <w:r>
        <w:rPr>
          <w:rStyle w:val="FootnoteReference"/>
        </w:rPr>
        <w:footnoteRef/>
      </w:r>
      <w:r>
        <w:t xml:space="preserve"> </w:t>
      </w:r>
      <w:r>
        <w:t xml:space="preserve">Santos v. Gates, 287 F.3d 846, 853 (9th Cir. 2002) (stating that judges should resolve excessive force cases by summary judgment, directed verdict, or JNOV only “sparingly” because “police misconduct cases almost always turn on a jury’s credibility determinations”).</w:t>
      </w:r>
    </w:p>
  </w:footnote>
  <w:footnote w:id="26">
    <w:p>
      <w:pPr>
        <w:pStyle w:val="FootnoteText"/>
      </w:pPr>
      <w:r>
        <w:rPr>
          <w:rStyle w:val="FootnoteReference"/>
        </w:rPr>
        <w:footnoteRef/>
      </w:r>
      <w:r>
        <w:t xml:space="preserve"> </w:t>
      </w:r>
      <w:r>
        <w:t xml:space="preserve">Byrd v. Blue Ridge Rural Elec. Co-op., 356 U.S. 525, 537 (1958).</w:t>
      </w:r>
    </w:p>
  </w:footnote>
  <w:footnote w:id="27">
    <w:p>
      <w:pPr>
        <w:pStyle w:val="FootnoteText"/>
      </w:pPr>
      <w:r>
        <w:rPr>
          <w:rStyle w:val="FootnoteReference"/>
        </w:rPr>
        <w:footnoteRef/>
      </w:r>
      <w:r>
        <w:t xml:space="preserve"> </w:t>
      </w:r>
      <w:r>
        <w:t xml:space="preserve">Jennings, 499 F.3d at 10 (holding that, where the factual record could be construed as showing that officers continued to twist the plaintiff’s ankle after he stopped resisting, qualified immunity did not attach); Oliver v. Fiorino, 586 F.3d 898, 906 (11th Cir. 2009) (holding that, while first tasing was permissible use of force on a fleeing, non- resisting subject, subsequent tasings after subject stopped resisting were excessive force).</w:t>
      </w:r>
    </w:p>
  </w:footnote>
  <w:footnote w:id="28">
    <w:p>
      <w:pPr>
        <w:pStyle w:val="FootnoteText"/>
      </w:pPr>
      <w:r>
        <w:rPr>
          <w:rStyle w:val="FootnoteReference"/>
        </w:rPr>
        <w:footnoteRef/>
      </w:r>
      <w:r>
        <w:t xml:space="preserve"> </w:t>
      </w:r>
      <w:r>
        <w:t xml:space="preserve">Smith v. State, 510 P.2d 793(Alaska 1973).</w:t>
      </w:r>
    </w:p>
  </w:footnote>
  <w:footnote w:id="29">
    <w:p>
      <w:pPr>
        <w:pStyle w:val="FootnoteText"/>
      </w:pPr>
      <w:r>
        <w:rPr>
          <w:rStyle w:val="FootnoteReference"/>
        </w:rPr>
        <w:footnoteRef/>
      </w:r>
      <w:r>
        <w:t xml:space="preserve"> </w:t>
      </w:r>
      <w:r>
        <w:t xml:space="preserve">Beltz v. State, 221 P.3d 328 (Alaska 2009).</w:t>
      </w:r>
    </w:p>
  </w:footnote>
  <w:footnote w:id="30">
    <w:p>
      <w:pPr>
        <w:pStyle w:val="FootnoteText"/>
      </w:pPr>
      <w:r>
        <w:rPr>
          <w:rStyle w:val="FootnoteReference"/>
        </w:rPr>
        <w:footnoteRef/>
      </w:r>
      <w:r>
        <w:t xml:space="preserve"> </w:t>
      </w:r>
      <w:r>
        <w:t xml:space="preserve">Sheldon v. City of Ambler, 178 P.3d 459, 463 (Alaska 2008).</w:t>
      </w:r>
    </w:p>
  </w:footnote>
  <w:footnote w:id="31">
    <w:p>
      <w:pPr>
        <w:pStyle w:val="FootnoteText"/>
      </w:pPr>
      <w:r>
        <w:rPr>
          <w:rStyle w:val="FootnoteReference"/>
        </w:rPr>
        <w:footnoteRef/>
      </w:r>
      <w:r>
        <w:t xml:space="preserve"> </w:t>
      </w:r>
      <w:r>
        <w:t xml:space="preserve">Anderson v. Creighton, 483 U.S. 635, 640 (1987).</w:t>
      </w:r>
    </w:p>
  </w:footnote>
  <w:footnote w:id="32">
    <w:p>
      <w:pPr>
        <w:pStyle w:val="FootnoteText"/>
      </w:pPr>
      <w:r>
        <w:rPr>
          <w:rStyle w:val="FootnoteReference"/>
        </w:rPr>
        <w:footnoteRef/>
      </w:r>
      <w:r>
        <w:t xml:space="preserve"> </w:t>
      </w:r>
      <w:r>
        <w:t xml:space="preserve">Saucier v. Katz, 533 U.S. 194, 205 (2001) (noting the difficulties of “a test which must accommodate limitless factual circumstances”) overruled on other grounds, Pearson v. Callahan, 555 U.S. 223, 236 (2009).</w:t>
      </w:r>
    </w:p>
  </w:footnote>
  <w:footnote w:id="33">
    <w:p>
      <w:pPr>
        <w:pStyle w:val="FootnoteText"/>
      </w:pPr>
      <w:r>
        <w:rPr>
          <w:rStyle w:val="FootnoteReference"/>
        </w:rPr>
        <w:footnoteRef/>
      </w:r>
      <w:r>
        <w:t xml:space="preserve"> </w:t>
      </w:r>
      <w:r>
        <w:t xml:space="preserve">536 U.S. 730 (2002).</w:t>
      </w:r>
    </w:p>
  </w:footnote>
  <w:footnote w:id="34">
    <w:p>
      <w:pPr>
        <w:pStyle w:val="FootnoteText"/>
      </w:pPr>
      <w:r>
        <w:rPr>
          <w:rStyle w:val="FootnoteReference"/>
        </w:rPr>
        <w:footnoteRef/>
      </w:r>
      <w:r>
        <w:t xml:space="preserve"> </w:t>
      </w:r>
      <w:r>
        <w:t xml:space="preserve">Pierce v. Gilchrist, 359 F.3d 1279, 1298 (10th Cir. 2004) (noting that Hope v. Pelzer “shifted the qualified immunity analysis from a scavenger hunt for prior cases with precisely the same facts toward the more relevant inquiry of whether the law put officials on fair notice that the described conduct was unconstitutional.”).</w:t>
      </w:r>
    </w:p>
  </w:footnote>
  <w:footnote w:id="35">
    <w:p>
      <w:pPr>
        <w:pStyle w:val="FootnoteText"/>
      </w:pPr>
      <w:r>
        <w:rPr>
          <w:rStyle w:val="FootnoteReference"/>
        </w:rPr>
        <w:footnoteRef/>
      </w:r>
      <w:r>
        <w:t xml:space="preserve"> </w:t>
      </w:r>
      <w:r>
        <w:t xml:space="preserve">See, e.g., Graham v. Connor, 490 U.S. 386, 396 (1989) (listing factors); Franklin v. Foxworth, 31 F.3d 873, 876 (9th Cir. 1994) (holding excessive force inquiry not limited to Graham factors); see also Luchtel v. Hagemann, 623 F.3d 975, 980 (9th Cir. 2010) (listing other non-Graham factors).</w:t>
      </w:r>
    </w:p>
  </w:footnote>
  <w:footnote w:id="36">
    <w:p>
      <w:pPr>
        <w:pStyle w:val="FootnoteText"/>
      </w:pPr>
      <w:r>
        <w:rPr>
          <w:rStyle w:val="FootnoteReference"/>
        </w:rPr>
        <w:footnoteRef/>
      </w:r>
      <w:r>
        <w:t xml:space="preserve"> </w:t>
      </w:r>
      <w:r>
        <w:t xml:space="preserve">Olson, 251 P.3d at 1040.</w:t>
      </w:r>
    </w:p>
  </w:footnote>
  <w:footnote w:id="37">
    <w:p>
      <w:pPr>
        <w:pStyle w:val="FootnoteText"/>
      </w:pPr>
      <w:r>
        <w:rPr>
          <w:rStyle w:val="FootnoteReference"/>
        </w:rPr>
        <w:footnoteRef/>
      </w:r>
      <w:r>
        <w:t xml:space="preserve"> </w:t>
      </w:r>
      <w:r>
        <w:t xml:space="preserve">Green v. New Jersey State Police, 246 F. App’x 158, 163 (3d Cir. 2007) (holding that the excessive force factors identified in Graham and other cases “‘are well- recognized,’ and that when an officer applies them in ‘an unreasonable manner, he is not entitled to qualified immunity’”) (citations omitted).</w:t>
      </w:r>
    </w:p>
  </w:footnote>
  <w:footnote w:id="38">
    <w:p>
      <w:pPr>
        <w:pStyle w:val="FootnoteText"/>
      </w:pPr>
      <w:r>
        <w:rPr>
          <w:rStyle w:val="FootnoteReference"/>
        </w:rPr>
        <w:footnoteRef/>
      </w:r>
      <w:r>
        <w:t xml:space="preserve"> </w:t>
      </w:r>
      <w:r>
        <w:t xml:space="preserve">This portion of the excerpt is a transcript of the video deposition of the plaintiff’s expert, Dr. Lyman. The video of the deposition was played in court for the jury in lieu of live testimony. See [Tr. 375</w:t>
      </w:r>
      <w:r>
        <w:noBreakHyphen/>
      </w:r>
      <w:r>
        <w:t xml:space="preserve">76].</w:t>
      </w:r>
    </w:p>
  </w:footnote>
  <w:footnote w:id="39">
    <w:p>
      <w:pPr>
        <w:pStyle w:val="FootnoteText"/>
      </w:pPr>
      <w:r>
        <w:rPr>
          <w:rStyle w:val="FootnoteReference"/>
        </w:rPr>
        <w:footnoteRef/>
      </w:r>
      <w:r>
        <w:t xml:space="preserve"> </w:t>
      </w:r>
      <w:r>
        <w:t xml:space="preserve">Bryan v. MacPherson, 630 F.3d 805, 813</w:t>
      </w:r>
      <w:r>
        <w:noBreakHyphen/>
      </w:r>
      <w:r>
        <w:t xml:space="preserve">14 (9th Cir. 2010) (en banc) (listing possible injuries resulting from taser use).</w:t>
      </w:r>
    </w:p>
  </w:footnote>
  <w:footnote w:id="40">
    <w:p>
      <w:pPr>
        <w:pStyle w:val="FootnoteText"/>
      </w:pPr>
      <w:r>
        <w:rPr>
          <w:rStyle w:val="FootnoteReference"/>
        </w:rPr>
        <w:footnoteRef/>
      </w:r>
      <w:r>
        <w:t xml:space="preserve"> </w:t>
      </w:r>
      <w:r>
        <w:t xml:space="preserve">Id. at 810</w:t>
      </w:r>
      <w:r>
        <w:noBreakHyphen/>
      </w:r>
      <w:r>
        <w:t xml:space="preserve">11.</w:t>
      </w:r>
    </w:p>
  </w:footnote>
  <w:footnote w:id="41">
    <w:p>
      <w:pPr>
        <w:pStyle w:val="FootnoteText"/>
      </w:pPr>
      <w:r>
        <w:rPr>
          <w:rStyle w:val="FootnoteReference"/>
        </w:rPr>
        <w:footnoteRef/>
      </w:r>
      <w:r>
        <w:t xml:space="preserve"> </w:t>
      </w:r>
      <w:r>
        <w:t xml:space="preserve">Lee v. Metro. Gov’t of Nashville &amp; Davidson County, 596 F. Supp. 2d 1101, 1125 (M.D. Tenn. 2009) aff’d on other grounds, 432 F. App’x 435 (6th Cir. 2011).</w:t>
      </w:r>
    </w:p>
  </w:footnote>
  <w:footnote w:id="42">
    <w:p>
      <w:pPr>
        <w:pStyle w:val="FootnoteText"/>
      </w:pPr>
      <w:r>
        <w:rPr>
          <w:rStyle w:val="FootnoteReference"/>
        </w:rPr>
        <w:footnoteRef/>
      </w:r>
      <w:r>
        <w:t xml:space="preserve"> </w:t>
      </w:r>
      <w:r>
        <w:t xml:space="preserve">See, e.g., Marquez v. City of Phoenix, 693 F.3d 1167, 1172 (9th Cir. 2012) (subject died after 22 discharges of taser), as amended on denial of reh’g (Oct. 4, 2012), cert. denied, 12</w:t>
      </w:r>
      <w:r>
        <w:noBreakHyphen/>
      </w:r>
      <w:r>
        <w:t xml:space="preserve">821, 2013 WL 56045 (U.S. Feb. 25, 2013); Rosa v. Taser Int’l, Inc., 684 F.3d 941, 944 (9th Cir. 2012) (subject died following 8</w:t>
      </w:r>
      <w:r>
        <w:noBreakHyphen/>
      </w:r>
      <w:r>
        <w:t xml:space="preserve">9 tasings); Hagans v. Franklin County Sheriff’s Office, 695 F.3d 505, 507 (6th Cir. 2012) (subject died following 4</w:t>
      </w:r>
      <w:r>
        <w:noBreakHyphen/>
      </w:r>
      <w:r>
        <w:t xml:space="preserve">6 tasings); Oliver, 586 F.3d at 903 (subject died following eight tasings); Landis v. Baker, 297 Fed. Appx. 453, 464 (6th Cir. 2008) (subject died after five cycles of electricity); Abston v. City of Merced, 11</w:t>
      </w:r>
      <w:r>
        <w:noBreakHyphen/>
      </w:r>
      <w:r>
        <w:t xml:space="preserve">16500, 2013 WL 364214 (9th Cir. Jan. 31, 2013) (subject died after four tasings); Lee, 596 F.Supp.2d at 1111 (subject died after 19 tasings); Sanders v. City of Fresno, 551 F.Supp.2d 1149, 1168</w:t>
      </w:r>
      <w:r>
        <w:noBreakHyphen/>
      </w:r>
      <w:r>
        <w:t xml:space="preserve">79 (E.D. Cal. 2008) (subject died following 14 cycles of electricity from tasers); Fontenot v. TASER Int’l, Inc., 3:10CV125- RJC-DCK, 2011 WL 2535016, at *2 (W.D.N.C. June 27, 2011) (subject died after 37 seconds of continuous tasing); Hollman v. County of Suffolk, 06-CV</w:t>
      </w:r>
      <w:r>
        <w:noBreakHyphen/>
      </w:r>
      <w:r>
        <w:t xml:space="preserve">3589 JFB ARL, 2011 WL 280927, at *9 (E.D.N.Y. Jan. 27, 2011) (subject died following five tasings); Carroll v. Harris County, CIV.A. H</w:t>
      </w:r>
      <w:r>
        <w:noBreakHyphen/>
      </w:r>
      <w:r>
        <w:t xml:space="preserve">08</w:t>
      </w:r>
      <w:r>
        <w:noBreakHyphen/>
      </w:r>
      <w:r>
        <w:t xml:space="preserve">2970, 2011 WL 2457935, at *1 (S.D. Tex. May 25, 2011) report and recommendation adopted, 2011 WL 2457517 (S.D. Tex. June 16, 2011) (subject died following 32 tasings by officers); Glowczenski v. Taser Int’l Inc., CV04</w:t>
      </w:r>
      <w:r>
        <w:noBreakHyphen/>
      </w:r>
      <w:r>
        <w:t xml:space="preserve">4052(WDW), 2010 WL 1957289 (E.D.N.Y. May 13, 2010) (death following “several” tasings in drive-stun mode); Estate of Mathis ex rel. Babb v. Kingston, 2009 WL 1033771, at *2 (D. Colo 2009) (subject died after three “dart” strikes and a “drive- stun” of unclear duration); Gonzales v. Kelley, 01</w:t>
      </w:r>
      <w:r>
        <w:noBreakHyphen/>
      </w:r>
      <w:r>
        <w:t xml:space="preserve">10</w:t>
      </w:r>
      <w:r>
        <w:noBreakHyphen/>
      </w:r>
      <w:r>
        <w:t xml:space="preserve">00109-CV, 2010 WL 2650615, at *8 (Tex. App. July 1, 2010) (subject died after seven tasings).</w:t>
      </w:r>
    </w:p>
  </w:footnote>
  <w:footnote w:id="43">
    <w:p>
      <w:pPr>
        <w:pStyle w:val="FootnoteText"/>
      </w:pPr>
      <w:r>
        <w:rPr>
          <w:rStyle w:val="FootnoteReference"/>
        </w:rPr>
        <w:footnoteRef/>
      </w:r>
      <w:r>
        <w:t xml:space="preserve"> </w:t>
      </w:r>
      <w:r>
        <w:t xml:space="preserve">Hendricks v. City of Bella Villa, 4:08-CV</w:t>
      </w:r>
      <w:r>
        <w:noBreakHyphen/>
      </w:r>
      <w:r>
        <w:t xml:space="preserve">1836 (CEJ), 2010 WL 3024102, at *5 (E.D. Mo. Aug. 2, 2010) (“In handcuffs, she posed little threat to anyone’s safety.”).</w:t>
      </w:r>
    </w:p>
  </w:footnote>
  <w:footnote w:id="44">
    <w:p>
      <w:pPr>
        <w:pStyle w:val="FootnoteText"/>
      </w:pPr>
      <w:r>
        <w:rPr>
          <w:rStyle w:val="FootnoteReference"/>
        </w:rPr>
        <w:footnoteRef/>
      </w:r>
      <w:r>
        <w:t xml:space="preserve"> </w:t>
      </w:r>
      <w:r>
        <w:t xml:space="preserve">Bender v. Township of Monroe, 289 Fed. Appx. 526, 527</w:t>
      </w:r>
      <w:r>
        <w:noBreakHyphen/>
      </w:r>
      <w:r>
        <w:t xml:space="preserve">28 (3d Cir. 2008) (holding that there was a fact dispute precluding summary judgment on excessive force claim where plaintiff stated officers had struck him in the face after he was placed in handcuffs, even where plaintiff had pled guilty to kicking the officer while handcuffed); Sallenger v. Oakes, 473 F.3d 731, 740 (7th Cir. 2007) (citing the repeated use of closed- fist blows “after [the subject] was handcuffed” as one factor in rejecting claim of qualified immunity for excessive force) (emphasis added); Champion v. Outlook Nashville, Inc., 380 F.3d 893, 902 (6th Cir. 2004) (noting circuit had continually “held that various types of force applied after the subduing of a suspect are unreasonable and a violation of a clearly established right”); Frazell v. Flanigan, 102 F.3d 877, 884 (7th Cir. 1996) overruled on other grounds by McNair v. Coffey, 279 F.3d 463 (7th Cir. 2002); Lewis v. Downs, 774 F.2d 711,714</w:t>
      </w:r>
      <w:r>
        <w:noBreakHyphen/>
      </w:r>
      <w:r>
        <w:t xml:space="preserve">15 (6th Cir. 1985) (holding that force used before handcuffing was appropriate, but force used after handcuffing was “excessive”) overruled on other grounds, Graham, 490 U.S. at 394; Phelps v. Coy, 164 F. Supp. 2d 961, 973 (S.D. Ohio 2000) (denying summary judgment on qualified immunity grounds in excessive force case for tackling handcuffed prisoner perceived to be kicking at fellow officer); Zempel v. Cygan, 916 F.Supp. 889, 896 (E.D. Wisc. 1996) (holding summary judgment on qualified immunity grounds was inappropriate where plaintiff claimed he had been beaten while handcuffed by police officers); Kerr v. Valle, 903 F. Supp. 595, 599 (S.D.N.Y. 1995) (allegation that officers beat man after he was handcuffed defeated summary judgment on qualified immunity grounds); Martin v. Luckett, 07 C 2800, 2011 WL 1231024, at *6 (N.D. Ill. Mar. 30, 2011) (holding that “after restraining Plaintiff with</w:t>
      </w:r>
    </w:p>
  </w:footnote>
  <w:footnote w:id="45">
    <w:p>
      <w:pPr>
        <w:pStyle w:val="FootnoteText"/>
      </w:pPr>
      <w:r>
        <w:rPr>
          <w:rStyle w:val="FootnoteReference"/>
        </w:rPr>
        <w:footnoteRef/>
      </w:r>
      <w:r>
        <w:t xml:space="preserve"> </w:t>
      </w:r>
      <w:r>
        <w:t xml:space="preserve">Pigram ex rel. Pigram v. Chaudoin, 199 Fed. Appx. 509, 513</w:t>
      </w:r>
      <w:r>
        <w:noBreakHyphen/>
      </w:r>
      <w:r>
        <w:t xml:space="preserve">14 (6th Cir. 2006) (alleged slapping of handcuffed juvenile precluded summary judgment on excessive force claim, even where police officer alleged he was “bucking” and pulling away); Bultema v. Benzie County, 146 Fed. Appx. 28, 37</w:t>
      </w:r>
      <w:r>
        <w:noBreakHyphen/>
      </w:r>
      <w:r>
        <w:t xml:space="preserve">38 (6th Cir. 2005) (no qualified immunity where officers pepper-sprayed “struggling” suspect in handcuffs); id. at 35 (collecting cases on excessive force against handcuffed subjects); Headwaters Forest Defense v. County of Humboldt, 276 F.3d 1125, 1131 (9th Cir. 2002) (rejecting qualified immunity defense where restrained protesters were sprayed with pepper spray); Mayard v. Hopwood, 105 F.3d 1226, 1228 (8th Cir. 1997); see also Jimenez v. City of Costa Mesa, 174 Fed. Appx. 399, 403 (9th Cir. 2006) (contrasting case at bar, where arrestee was punched before being handcuffed and excessive force was not found, with another published case where arrestee was punched after being handcuffed and excessive force was found); Stone v. Watkins, 1:04-CV</w:t>
      </w:r>
      <w:r>
        <w:noBreakHyphen/>
      </w:r>
      <w:r>
        <w:t xml:space="preserve">259, 2005 WL 3088352 (E.D. Tenn. Nov. 15, 2005) (“A specific case is not necessary for an officer to know that excessive force has been used when a deputy sics a canine on a defendant who has fully surrendered or on a handcuffed defendant who has fully surrendered and is completely under control.”).</w:t>
      </w:r>
    </w:p>
  </w:footnote>
  <w:footnote w:id="46">
    <w:p>
      <w:pPr>
        <w:pStyle w:val="FootnoteText"/>
      </w:pPr>
      <w:r>
        <w:rPr>
          <w:rStyle w:val="FootnoteReference"/>
        </w:rPr>
        <w:footnoteRef/>
      </w:r>
      <w:r>
        <w:t xml:space="preserve"> </w:t>
      </w:r>
      <w:r>
        <w:t xml:space="preserve">Zivojinovich v. Barner, 525 F.3d 1059, 1072 (11th Cir. 2004).</w:t>
      </w:r>
    </w:p>
  </w:footnote>
  <w:footnote w:id="47">
    <w:p>
      <w:pPr>
        <w:pStyle w:val="FootnoteText"/>
      </w:pPr>
      <w:r>
        <w:rPr>
          <w:rStyle w:val="FootnoteReference"/>
        </w:rPr>
        <w:footnoteRef/>
      </w:r>
      <w:r>
        <w:t xml:space="preserve"> </w:t>
      </w:r>
      <w:r>
        <w:t xml:space="preserve">Read v. Begbie, 68 Fed. Appx. 36, 37 (9th Cir. 2003).</w:t>
      </w:r>
    </w:p>
  </w:footnote>
  <w:footnote w:id="48">
    <w:p>
      <w:pPr>
        <w:pStyle w:val="FootnoteText"/>
      </w:pPr>
      <w:r>
        <w:rPr>
          <w:rStyle w:val="FootnoteReference"/>
        </w:rPr>
        <w:footnoteRef/>
      </w:r>
      <w:r>
        <w:t xml:space="preserve"> </w:t>
      </w:r>
      <w:r>
        <w:t xml:space="preserve">Willenbring v. City of Breezy Point, CIV. 08</w:t>
      </w:r>
      <w:r>
        <w:noBreakHyphen/>
      </w:r>
      <w:r>
        <w:t xml:space="preserve">4760, 2010 WL 3724361, at *6 (D. Minn. Sept. 16, 2010) (holding reasonable officer would have notice from the nature of the facts that “repeated use of his taser was gratuitous and unlawful, especially once his suspect was fully restrained”).</w:t>
      </w:r>
    </w:p>
  </w:footnote>
  <w:footnote w:id="49">
    <w:p>
      <w:pPr>
        <w:pStyle w:val="FootnoteText"/>
      </w:pPr>
      <w:r>
        <w:rPr>
          <w:rStyle w:val="FootnoteReference"/>
        </w:rPr>
        <w:footnoteRef/>
      </w:r>
      <w:r>
        <w:t xml:space="preserve"> </w:t>
      </w:r>
      <w:r>
        <w:t xml:space="preserve">Beaver v. City of Federal Way, 507 F. Supp. 2d 1137, 1147 (W.D. Wash. 2007) (defendant’s supervising officer called five tasings “unusually high”).</w:t>
      </w:r>
    </w:p>
  </w:footnote>
  <w:footnote w:id="50">
    <w:p>
      <w:pPr>
        <w:pStyle w:val="FootnoteText"/>
      </w:pPr>
      <w:r>
        <w:rPr>
          <w:rStyle w:val="FootnoteReference"/>
        </w:rPr>
        <w:footnoteRef/>
      </w:r>
      <w:r>
        <w:t xml:space="preserve"> </w:t>
      </w:r>
      <w:r>
        <w:t xml:space="preserve">The Department of Justice recommends that officers using tasers should “stop to assess the situation” after each cycle of electricity. U.S. Dep’t of Justice, Letter to Orange County Sherriff’s Office, August 20, 2008, at 11 available at http://​www.​justice.​gov/​crt/​about/​spl/​documents/​orangecty_ta_ltr.​pdf [“DOJ letter”]. The Department of Justice also notes that: “As subjects are often unable to hear or respond to commands during the cycling of the ECW [Electronic Control Weapon], it is ineffective to give commands while deploying the ECW, as deputies may mistakenly interpret the subject’s failure to respond to commands as active physical resistance.” Id.</w:t>
      </w:r>
    </w:p>
  </w:footnote>
  <w:footnote w:id="51">
    <w:p>
      <w:pPr>
        <w:pStyle w:val="FootnoteText"/>
      </w:pPr>
      <w:r>
        <w:rPr>
          <w:rStyle w:val="FootnoteReference"/>
        </w:rPr>
        <w:footnoteRef/>
      </w:r>
      <w:r>
        <w:t xml:space="preserve"> </w:t>
      </w:r>
      <w:r>
        <w:t xml:space="preserve">Kijowski v. City of Niles, 372 Fed. App’x 595, 600 (6th Cir. 2010) (holding that plaintiff’s account of a near instantaneous second tasing precluded any possibility of intervening resistance and that qualified immunity could not raised as a defense); Towsley v. Frank, 5:09-CV</w:t>
      </w:r>
      <w:r>
        <w:noBreakHyphen/>
      </w:r>
      <w:r>
        <w:t xml:space="preserve">23, 2010 WL 5394837, at *10-*12 (D. Vt. Dec. 28, 2010) (two- second window between first, constitutional tasing and second tasing gave rise, among other factors, to issue of law and fact preventing summary judgment and precluding finding of qualified immunity, even in the absence of similar case law); Beaver, 507 F. Supp. 2d at 1145 (“[T]he period between the second and third tasing was only two seconds. During such a brief time period, it is difficult to see how Mr. Beaver even had the opportunity to comply with Officer Laird’s commands.”).</w:t>
      </w:r>
    </w:p>
  </w:footnote>
  <w:footnote w:id="52">
    <w:p>
      <w:pPr>
        <w:pStyle w:val="FootnoteText"/>
      </w:pPr>
      <w:r>
        <w:rPr>
          <w:rStyle w:val="FootnoteReference"/>
        </w:rPr>
        <w:footnoteRef/>
      </w:r>
      <w:r>
        <w:t xml:space="preserve"> </w:t>
      </w:r>
      <w:r>
        <w:t xml:space="preserve">“[I]t is not necessary that the plaintiffs point to a case that holds that the repeated, quick succession, gratuitous use of a shocking, incapacitating device on a cornered, unarmed, non-violent, naked suspect who committed no serious crime is a violation of a clearly established constitutional right.” Lee, 596 F. Supp. 2d at 1118 (emphasis added).</w:t>
      </w:r>
    </w:p>
  </w:footnote>
  <w:footnote w:id="53">
    <w:p>
      <w:pPr>
        <w:pStyle w:val="FootnoteText"/>
      </w:pPr>
      <w:r>
        <w:rPr>
          <w:rStyle w:val="FootnoteReference"/>
        </w:rPr>
        <w:footnoteRef/>
      </w:r>
      <w:r>
        <w:t xml:space="preserve"> </w:t>
      </w:r>
      <w:r>
        <w:t xml:space="preserve">“The Court finds that both common sense and decency dictate that the continued application of physical force on a disoriented and unresisting subject, who has been subdued, handcuffed, and placed in a police car, without providing him adequate time to comply is clearly a violation of the suspect’s right to be free from excessive force.” Austin v. Redford Twp. Police Dept., 859 F. Supp. 2d 883, 890</w:t>
      </w:r>
      <w:r>
        <w:noBreakHyphen/>
      </w:r>
      <w:r>
        <w:t xml:space="preserve">91 (E.D. Mich. 2011) aff’d, 690 F.3d 490 (6th Cir. 2012); see also McCaig v. Raber, 1:10-CV</w:t>
      </w:r>
      <w:r>
        <w:noBreakHyphen/>
      </w:r>
      <w:r>
        <w:t xml:space="preserve">1298, 2012 WL 1032699 (W.D. Mich. Mar. 27, 2012) aff’d, 12</w:t>
      </w:r>
      <w:r>
        <w:noBreakHyphen/>
      </w:r>
      <w:r>
        <w:t xml:space="preserve">1393, 2013 WL 628420 (6th Cir. Feb. 21, 2013) (“If Defendant did not give Plaintiff ample opportunity or ability to comply with his verbal command prior to engaging in the takedown maneuver, his actions could be viewed as objectively unreasonable.”); id. (collecting similar cases).</w:t>
      </w:r>
    </w:p>
  </w:footnote>
  <w:footnote w:id="54">
    <w:p>
      <w:pPr>
        <w:pStyle w:val="FootnoteText"/>
      </w:pPr>
      <w:r>
        <w:rPr>
          <w:rStyle w:val="FootnoteReference"/>
        </w:rPr>
        <w:footnoteRef/>
      </w:r>
      <w:r>
        <w:t xml:space="preserve"> </w:t>
      </w:r>
      <w:r>
        <w:t xml:space="preserve">Robinson v. Solano County, 278 F.3d 1007, 1014 (9th Cir. 2002) (considering, among other factors rendering the use of force unreasonable, the fact that officers outnumbered the suspect); Deorle v. Rutherford, 272 F.3d 1272, 1282 (9th Cir. 2000) (noting, among factors making the use of force unreasonable the “the large number of police officers present” at the time of the use of force).</w:t>
      </w:r>
    </w:p>
  </w:footnote>
  <w:footnote w:id="55">
    <w:p>
      <w:pPr>
        <w:pStyle w:val="FootnoteText"/>
      </w:pPr>
      <w:r>
        <w:rPr>
          <w:rStyle w:val="FootnoteReference"/>
        </w:rPr>
        <w:footnoteRef/>
      </w:r>
      <w:r>
        <w:t xml:space="preserve"> </w:t>
      </w:r>
      <w:r>
        <w:t xml:space="preserve">Beaver, 507 F. Supp. 2d at 1147 (noting that the fact that officer was alone for first three tasings rendered them reasonable; fourth and fifth tasings became unreasonable in large part because another officer was present).</w:t>
      </w:r>
    </w:p>
  </w:footnote>
  <w:footnote w:id="56">
    <w:p>
      <w:pPr>
        <w:pStyle w:val="FootnoteText"/>
      </w:pPr>
      <w:r>
        <w:rPr>
          <w:rStyle w:val="FootnoteReference"/>
        </w:rPr>
        <w:footnoteRef/>
      </w:r>
      <w:r>
        <w:t xml:space="preserve"> </w:t>
      </w:r>
      <w:r>
        <w:t xml:space="preserve">King v. Taylor, 694 F.3d 650, 663 (6th Cir. 2012) cert. denied, 12</w:t>
      </w:r>
      <w:r>
        <w:noBreakHyphen/>
      </w:r>
      <w:r>
        <w:t xml:space="preserve">886, 2013 WL 210700 (U.S. Feb. 25, 2013); Gulley v. Elizabeth City Police Dept., 340 F. App’x 108, 110 (3d Cir. 2009); Lloyd v. Van Tassell, 318 F. App’x 755, 759 (11th Cir. 2009);</w:t>
      </w:r>
    </w:p>
  </w:footnote>
  <w:footnote w:id="57">
    <w:p>
      <w:pPr>
        <w:pStyle w:val="FootnoteText"/>
      </w:pPr>
      <w:r>
        <w:rPr>
          <w:rStyle w:val="FootnoteReference"/>
        </w:rPr>
        <w:footnoteRef/>
      </w:r>
      <w:r>
        <w:t xml:space="preserve"> </w:t>
      </w:r>
      <w:r>
        <w:t xml:space="preserve">Graham, 490 U.S. at 396.</w:t>
      </w:r>
    </w:p>
  </w:footnote>
  <w:footnote w:id="58">
    <w:p>
      <w:pPr>
        <w:pStyle w:val="FootnoteText"/>
      </w:pPr>
      <w:r>
        <w:rPr>
          <w:rStyle w:val="FootnoteReference"/>
        </w:rPr>
        <w:footnoteRef/>
      </w:r>
      <w:r>
        <w:t xml:space="preserve"> </w:t>
      </w:r>
      <w:r>
        <w:t xml:space="preserve">Kodiak Island Borough v. Exxon Corp., 991 P.2d 757, 761 (Alaska 1999); Jameson v. Mut. Life Ins. Co. of New York, 415 F.2d 1017, 1020 (5th Cir. 1969).</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