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EB Garamond" w:hAnsi="EB Garamond" w:eastAsia="EB Garamond" w:cs="EB Garamond"/>
        <w:sz w:val="28"/>
        <w:szCs w:val="28"/>
        <w:lang w:val="en-US" w:eastAsia="zh-CN" w:bidi="ar-SA"/>
      </w:rPr>
    </w:rPrDefault>
    <w:pPrDefault>
      <w:pPr>
        <w:spacing w:after="0" w:line="48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28"/>
      <w:szCs w:val="28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8"/>
      <w:szCs w:val="28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8"/>
      <w:szCs w:val="28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8"/>
      <w:szCs w:val="28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8"/>
      <w:szCs w:val="28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EB Garamond" w:hAnsi="EB Garamond" w:eastAsia="EB Garamond" w:cs="EB Garamond"/>
      <w:sz w:val="2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EB Garamond" w:hAnsi="EB Garamond" w:eastAsia="EB Garamond" w:cs="EB Garamond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