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Date"/>
      </w:pPr>
      <w:r>
        <w:t xml:space="preserve">August 4, 2026</w:t>
      </w:r>
    </w:p>
    <w:p>
      <w:pPr>
        <w:spacing w:before="0" w:after="0" w:line="240" w:lineRule="auto"/>
        <w:jc w:val="center"/>
      </w:pPr>
      <w:r>
        <w:rPr>
          <w:b/>
        </w:rPr>
        <w:t xml:space="preserve">No. 26-2469</w:t>
      </w:r>
    </w:p>
    <w:p>
      <w:pPr>
        <w:spacing w:before="0" w:after="0" w:line="240" w:lineRule="auto"/>
        <w:jc w:val="center"/>
      </w:pPr>
      <w:r>
        <w:t xml:space="preserve"/>
      </w:r>
    </w:p>
    <w:p>
      <w:pPr>
        <w:spacing w:before="0" w:after="0" w:line="240" w:lineRule="auto"/>
        <w:jc w:val="center"/>
      </w:pPr>
      <w:r>
        <w:rPr>
          <w:b/>
        </w:rPr>
        <w:t xml:space="preserve">IN THE UNITED STATES COURT OF APPEALS</w:t>
      </w:r>
    </w:p>
    <w:p>
      <w:pPr>
        <w:spacing w:before="0" w:after="0" w:line="240" w:lineRule="auto"/>
        <w:jc w:val="center"/>
      </w:pPr>
      <w:r>
        <w:rPr>
          <w:b/>
        </w:rPr>
        <w:t xml:space="preserve">FOR THE THIRD CIRCUIT</w:t>
      </w:r>
    </w:p>
    <w:p>
      <w:pPr>
        <w:spacing w:before="0" w:after="0" w:line="240" w:lineRule="auto"/>
        <w:jc w:val="center"/>
      </w:pPr>
      <w:r>
        <w:t xml:space="preserve"/>
      </w:r>
    </w:p>
    <w:p>
      <w:pPr>
        <w:spacing w:before="0" w:after="0" w:line="240" w:lineRule="auto"/>
        <w:jc w:val="center"/>
      </w:pPr>
      <w:r>
        <w:t xml:space="preserve">Americans For Prosperity Foundation, et al.,</w:t>
      </w:r>
    </w:p>
    <w:p>
      <w:pPr>
        <w:spacing w:before="0" w:after="0" w:line="240" w:lineRule="auto"/>
        <w:jc w:val="center"/>
      </w:pPr>
      <w:r>
        <w:t xml:space="preserve">Appellants,</w:t>
      </w:r>
    </w:p>
    <w:p>
      <w:pPr>
        <w:spacing w:before="0" w:after="0" w:line="240" w:lineRule="auto"/>
        <w:jc w:val="center"/>
      </w:pPr>
      <w:r>
        <w:t xml:space="preserve">v.</w:t>
      </w:r>
    </w:p>
    <w:p>
      <w:pPr>
        <w:spacing w:before="0" w:after="0" w:line="240" w:lineRule="auto"/>
        <w:jc w:val="center"/>
      </w:pPr>
      <w:r>
        <w:t xml:space="preserve">Anthony Albence, et al.,</w:t>
      </w:r>
    </w:p>
    <w:p>
      <w:pPr>
        <w:spacing w:before="0" w:after="0" w:line="240" w:lineRule="auto"/>
        <w:jc w:val="center"/>
      </w:pPr>
      <w:r>
        <w:t xml:space="preserve">Appellees.</w:t>
      </w:r>
    </w:p>
    <w:p>
      <w:pPr>
        <w:spacing w:before="0" w:after="0" w:line="240" w:lineRule="auto"/>
        <w:jc w:val="center"/>
      </w:pPr>
      <w:r>
        <w:t xml:space="preserve"/>
      </w:r>
    </w:p>
    <w:p>
      <w:pPr>
        <w:spacing w:before="0" w:after="0" w:line="240" w:lineRule="auto"/>
        <w:jc w:val="center"/>
      </w:pPr>
      <w:r>
        <w:t xml:space="preserve">On Appeal from the United States District Court for the District of Delaware</w:t>
      </w:r>
    </w:p>
    <w:p>
      <w:pPr>
        <w:spacing w:before="0" w:after="0" w:line="240" w:lineRule="auto"/>
        <w:jc w:val="center"/>
      </w:pPr>
      <w:r>
        <w:t xml:space="preserve">No. 1:26-cv-00445-JLH</w:t>
      </w:r>
    </w:p>
    <w:p>
      <w:pPr>
        <w:spacing w:before="0" w:after="0" w:line="240" w:lineRule="auto"/>
        <w:jc w:val="center"/>
      </w:pPr>
      <w:r>
        <w:t xml:space="preserve">The Honorable Jennifer L. Hall</w:t>
      </w:r>
    </w:p>
    <w:p>
      <w:pPr>
        <w:spacing w:before="0" w:after="0" w:line="240" w:lineRule="auto"/>
        <w:jc w:val="center"/>
      </w:pPr>
      <w:r>
        <w:t xml:space="preserve"/>
      </w:r>
    </w:p>
    <w:p>
      <w:pPr>
        <w:spacing w:before="0" w:after="0" w:line="240" w:lineRule="auto"/>
        <w:jc w:val="center"/>
      </w:pPr>
      <w:r>
        <w:rPr>
          <w:b/>
        </w:rPr>
        <w:t xml:space="preserve">REPLY BRIEF FOR APPELLANTS</w:t>
      </w:r>
    </w:p>
    <w:p>
      <w:pPr>
        <w:spacing w:before="0" w:after="0" w:line="240" w:lineRule="auto"/>
        <w:jc w:val="center"/>
      </w:pPr>
      <w:r>
        <w:t xml:space="preserve"/>
      </w:r>
    </w:p>
    <w:p>
      <w:pPr>
        <w:spacing w:before="0" w:after="0" w:line="240" w:lineRule="auto"/>
        <w:jc w:val="center"/>
      </w:pPr>
      <w:r>
        <w:t xml:space="preserve">ERIKA D. PROUTY</w:t>
      </w:r>
    </w:p>
    <w:p>
      <w:pPr>
        <w:spacing w:before="0" w:after="0" w:line="240" w:lineRule="auto"/>
        <w:jc w:val="center"/>
      </w:pPr>
      <w:r>
        <w:t xml:space="preserve">ROBERT J. TUCKER</w:t>
      </w:r>
    </w:p>
    <w:p>
      <w:pPr>
        <w:spacing w:before="0" w:after="0" w:line="240" w:lineRule="auto"/>
        <w:jc w:val="center"/>
      </w:pPr>
      <w:r>
        <w:t xml:space="preserve">BAKER &amp; HOSTETLER LLP</w:t>
      </w:r>
    </w:p>
    <w:p>
      <w:pPr>
        <w:spacing w:before="0" w:after="0" w:line="240" w:lineRule="auto"/>
        <w:jc w:val="center"/>
      </w:pPr>
      <w:r>
        <w:t xml:space="preserve">200 Civil Center Dr., Suite 1200</w:t>
      </w:r>
    </w:p>
    <w:p>
      <w:pPr>
        <w:spacing w:before="0" w:after="0" w:line="240" w:lineRule="auto"/>
        <w:jc w:val="center"/>
      </w:pPr>
      <w:r>
        <w:t xml:space="preserve">Columbus, OH 43215-4138</w:t>
      </w:r>
    </w:p>
    <w:p>
      <w:pPr>
        <w:spacing w:before="0" w:after="0" w:line="240" w:lineRule="auto"/>
        <w:jc w:val="center"/>
      </w:pPr>
      <w:r>
        <w:t xml:space="preserve">eprouty@bakerlaw.com</w:t>
      </w:r>
    </w:p>
    <w:p>
      <w:pPr>
        <w:spacing w:before="0" w:after="0" w:line="240" w:lineRule="auto"/>
        <w:jc w:val="center"/>
      </w:pPr>
      <w:r>
        <w:t xml:space="preserve">rtucker@bakerlaw.com</w:t>
      </w:r>
    </w:p>
    <w:p>
      <w:pPr>
        <w:spacing w:before="0" w:after="0" w:line="240" w:lineRule="auto"/>
        <w:jc w:val="center"/>
      </w:pPr>
      <w:r>
        <w:t xml:space="preserve"/>
      </w:r>
    </w:p>
    <w:p>
      <w:pPr>
        <w:spacing w:before="0" w:after="0" w:line="240" w:lineRule="auto"/>
        <w:jc w:val="center"/>
      </w:pPr>
      <w:r>
        <w:t xml:space="preserve">ALLEN J. DICKERSON</w:t>
      </w:r>
    </w:p>
    <w:p>
      <w:pPr>
        <w:spacing w:before="0" w:after="0" w:line="240" w:lineRule="auto"/>
        <w:jc w:val="center"/>
      </w:pPr>
      <w:r>
        <w:t xml:space="preserve">RICHARD B. RAILE</w:t>
      </w:r>
    </w:p>
    <w:p>
      <w:pPr>
        <w:spacing w:before="0" w:after="0" w:line="240" w:lineRule="auto"/>
        <w:jc w:val="center"/>
      </w:pPr>
      <w:r>
        <w:t xml:space="preserve">BAKER &amp; HOSTETLER LLP</w:t>
      </w:r>
    </w:p>
    <w:p>
      <w:pPr>
        <w:spacing w:before="0" w:after="0" w:line="240" w:lineRule="auto"/>
        <w:jc w:val="center"/>
      </w:pPr>
      <w:r>
        <w:t xml:space="preserve">Washington Square, Ste. 1100</w:t>
      </w:r>
    </w:p>
    <w:p>
      <w:pPr>
        <w:spacing w:before="0" w:after="0" w:line="240" w:lineRule="auto"/>
        <w:jc w:val="center"/>
      </w:pPr>
      <w:r>
        <w:t xml:space="preserve">1050 Connecticut Ave., N.W.</w:t>
      </w:r>
    </w:p>
    <w:p>
      <w:pPr>
        <w:spacing w:before="0" w:after="0" w:line="240" w:lineRule="auto"/>
        <w:jc w:val="center"/>
      </w:pPr>
      <w:r>
        <w:t xml:space="preserve">Washington, DC 20036</w:t>
      </w:r>
    </w:p>
    <w:p>
      <w:pPr>
        <w:spacing w:before="0" w:after="0" w:line="240" w:lineRule="auto"/>
        <w:jc w:val="center"/>
      </w:pPr>
      <w:r>
        <w:t xml:space="preserve">adickerson@bakerlaw.com</w:t>
      </w:r>
    </w:p>
    <w:p>
      <w:pPr>
        <w:spacing w:before="0" w:after="0" w:line="240" w:lineRule="auto"/>
        <w:jc w:val="center"/>
      </w:pPr>
      <w:r>
        <w:t xml:space="preserve">rraile@bakerlaw.com</w:t>
      </w:r>
    </w:p>
    <w:p>
      <w:pPr>
        <w:spacing w:before="0" w:after="0" w:line="240" w:lineRule="auto"/>
        <w:jc w:val="center"/>
      </w:pPr>
      <w:r>
        <w:t xml:space="preserve"/>
      </w:r>
    </w:p>
    <w:p>
      <w:pPr>
        <w:spacing w:before="0" w:after="0" w:line="240" w:lineRule="auto"/>
        <w:jc w:val="center"/>
      </w:pPr>
      <w:r>
        <w:t xml:space="preserve">(202) 861-1711</w:t>
      </w:r>
    </w:p>
    <w:p>
      <w:pPr>
        <w:spacing w:before="0" w:after="0" w:line="240" w:lineRule="auto"/>
      </w:pPr>
      <w:r>
        <w:t xml:space="preserve"/>
      </w:r>
    </w:p>
    <w:p>
      <w:pPr>
        <w:pStyle w:val="Heading1"/>
        <w:pageBreakBefore/>
        <w:spacing w:before="0" w:after="240" w:line="240" w:lineRule="auto"/>
        <w:jc w:val="center"/>
      </w:pPr>
      <w:r>
        <w:t xml:space="preserve">Table of Contents</w:t>
      </w:r>
    </w:p>
    <w:p>
      <w:r>
        <w:fldChar w:fldCharType="begin" w:dirty="true"/>
      </w:r>
      <w:r>
        <w:instrText xml:space="preserve"> TOC \o "1-5" \h </w:instrText>
      </w:r>
      <w:r>
        <w:fldChar w:fldCharType="separate"/>
      </w:r>
      <w:r>
        <w:t>Update field to show the table of contents.</w:t>
      </w:r>
      <w:r>
        <w:fldChar w:fldCharType="end"/>
      </w:r>
    </w:p>
    <w:p>
      <w:pPr>
        <w:pStyle w:val="Heading1"/>
        <w:pageBreakBefore/>
        <w:spacing w:before="0" w:after="240" w:line="240" w:lineRule="auto"/>
        <w:jc w:val="center"/>
      </w:pPr>
      <w:r>
        <w:t xml:space="preserve">Table of Authorities</w:t>
      </w:r>
    </w:p>
    <w:p>
      <w:pPr>
        <w:keepNext/>
        <w:spacing w:before="0" w:after="120" w:line="240" w:lineRule="auto"/>
      </w:pPr>
      <w:r>
        <w:rPr>
          <w:b/>
        </w:rPr>
        <w:t xml:space="preserve">Cases:</w:t>
      </w:r>
    </w:p>
    <w:p>
      <w:pPr>
        <w:spacing w:before="0" w:after="120" w:line="240" w:lineRule="auto"/>
        <w:ind w:left="360"/>
      </w:pPr>
      <w:r>
        <w:t xml:space="preserve">AFPF v. Bonta, 594 U.S. 595 (2021)</w:t>
      </w:r>
    </w:p>
    <w:p>
      <w:pPr>
        <w:spacing w:before="0" w:after="120" w:line="240" w:lineRule="auto"/>
        <w:ind w:left="360"/>
      </w:pPr>
      <w:r>
        <w:t xml:space="preserve">Amalgamated Transit Union Local 85 v. Port Authority of Allegheny County, 39 F.4th 95 (3d Cir. 2022)</w:t>
      </w:r>
    </w:p>
    <w:p>
      <w:pPr>
        <w:spacing w:before="0" w:after="120" w:line="240" w:lineRule="auto"/>
        <w:ind w:left="360"/>
      </w:pPr>
      <w:r>
        <w:t xml:space="preserve">Brown v. Ent. Merchants Ass’n, 564 U.S. 786 (2011)</w:t>
      </w:r>
    </w:p>
    <w:p>
      <w:pPr>
        <w:spacing w:before="0" w:after="120" w:line="240" w:lineRule="auto"/>
        <w:ind w:left="360"/>
      </w:pPr>
      <w:r>
        <w:t xml:space="preserve">Citizens United v. FEC, 558 U.S. 310 (2010)</w:t>
      </w:r>
    </w:p>
    <w:p>
      <w:pPr>
        <w:spacing w:before="0" w:after="120" w:line="240" w:lineRule="auto"/>
        <w:ind w:left="360"/>
      </w:pPr>
      <w:r>
        <w:t xml:space="preserve">First Nat. Bank of Bos. v. Bellotti, 435 U.S. 765 (1978)</w:t>
      </w:r>
    </w:p>
    <w:p>
      <w:pPr>
        <w:spacing w:before="0" w:after="120" w:line="240" w:lineRule="auto"/>
        <w:ind w:left="360"/>
      </w:pPr>
      <w:r>
        <w:t xml:space="preserve">The Fla. Star v. B.J.F., 491 U.S. 524 (1989)</w:t>
      </w:r>
    </w:p>
    <w:p>
      <w:r>
        <w:br w:type="page"/>
      </w:r>
    </w:p>
    <w:p>
      <w:pPr>
        <w:pStyle w:val="Heading1"/>
        <w:keepNext/>
        <w:spacing w:before="0" w:after="240" w:line="240" w:lineRule="auto"/>
        <w:jc w:val="center"/>
      </w:pPr>
      <w:r>
        <w:t xml:space="preserve">INTRODUCTION</w:t>
      </w:r>
    </w:p>
    <w:p>
      <w:pPr>
        <w:pStyle w:val="FirstParagraph"/>
      </w:pPr>
      <w:r>
        <w:t xml:space="preserve">Delaware’s brief demonstrates that it cannot meet its “burden…of proving that [its] law is constitutional.”</w:t>
      </w:r>
      <w:r>
        <w:t xml:space="preserve"> </w:t>
      </w:r>
      <w:r>
        <w:rPr>
          <w:i/>
          <w:iCs/>
        </w:rPr>
        <w:t xml:space="preserve">Amalgamated Transit Union Local 85 v. Port Authority of Allegheny County</w:t>
      </w:r>
      <w:r>
        <w:t xml:space="preserve">, 39 F.4th 95, 103 (3d Cir. 2022) (quotation omitted). While acknowledging that this case is governed by the exacting scrutiny standard, the State declines to “demonstrate its need for” astoundingly invasive donor information “in light of any less intrusive alternatives.”</w:t>
      </w:r>
      <w:r>
        <w:t xml:space="preserve"> </w:t>
      </w:r>
      <w:r>
        <w:rPr>
          <w:i/>
          <w:iCs/>
        </w:rPr>
        <w:t xml:space="preserve">AFPF v. Bonta</w:t>
      </w:r>
      <w:r>
        <w:t xml:space="preserve">, 594 U.S. 595, 613 (2021).</w:t>
      </w:r>
    </w:p>
    <w:p>
      <w:pPr>
        <w:pStyle w:val="BodyText"/>
      </w:pPr>
      <w:r>
        <w:t xml:space="preserve">Instead, it dodges the question, arguing that existing Circuit precedent has already applied narrow tailoring to its law—even though this is plainly wrong and the Tenth Circuit has expressly said so. Or, it suggests, AFPF did not alter the law at all—in the teeth of direct statements to the contrary by both the First and Tenth Circuits.</w:t>
      </w:r>
      <w:r>
        <w:t xml:space="preserve"> </w:t>
      </w:r>
      <w:r>
        <w:rPr>
          <w:i/>
          <w:iCs/>
        </w:rPr>
        <w:t xml:space="preserve">Id.</w:t>
      </w:r>
      <w:r>
        <w:t xml:space="preserve"> </w:t>
      </w:r>
      <w:r>
        <w:t xml:space="preserve">It points to multiple circuit decisions as justification for its law, but all of them involve statutes that are better tailored and serve as models for Delaware to reform its unconstitutional enactment, not authority to uphold its current regime. Finally, it bypasses the Supreme Court’s most recent and on-point authority, AFPF, and instead argues that it is protected by earlier campaign finance cases blessing a different statute and administered—with the approval of the D.C. Circuit—under an earmarking regime is not present here.</w:t>
      </w:r>
    </w:p>
    <w:p>
      <w:pPr>
        <w:pStyle w:val="BodyText"/>
      </w:pPr>
      <w:r>
        <w:t xml:space="preserve">But then, despite strenuously arguing that voters cannot evaluate public messages without knowing a group’s donors, Delaware reverses course. Appellants are not harmed, it says, because they may speak through a PAC and not disclose their donors at all. Delaware is wrong and, besides torpedoing its supposed interest, this argument—that speaking through a PAC is an acceptable alternative to speaking directly—was raised and rejected in</w:t>
      </w:r>
      <w:r>
        <w:t xml:space="preserve"> </w:t>
      </w:r>
      <w:r>
        <w:rPr>
          <w:i/>
          <w:iCs/>
        </w:rPr>
        <w:t xml:space="preserve">Citizens United</w:t>
      </w:r>
      <w:r>
        <w:t xml:space="preserve">. At the end of the day, Delaware believes that its unbounded and undefined informational interest gives it the right to “near plenary donor disclosure.” The State is mistaken and a preliminary injunction is warranted.</w:t>
      </w:r>
    </w:p>
    <w:p>
      <w:pPr>
        <w:pStyle w:val="Heading1"/>
        <w:keepNext/>
        <w:spacing w:before="0" w:after="240" w:line="240" w:lineRule="auto"/>
        <w:jc w:val="center"/>
      </w:pPr>
      <w:r>
        <w:t xml:space="preserve">ARGUMENT</w:t>
      </w:r>
    </w:p>
    <w:p>
      <w:pPr>
        <w:pStyle w:val="Heading2"/>
        <w:keepNext/>
        <w:spacing w:before="0" w:after="240" w:line="240" w:lineRule="auto"/>
        <w:jc w:val="center"/>
      </w:pPr>
      <w:r>
        <w:t xml:space="preserve">I. THE ACT CANNOT SURVIVE EXACTING SCRUTINY.</w:t>
      </w:r>
    </w:p>
    <w:p>
      <w:pPr>
        <w:pStyle w:val="Heading3"/>
        <w:keepNext/>
        <w:spacing w:before="0" w:after="240" w:line="240" w:lineRule="auto"/>
      </w:pPr>
      <w:r>
        <w:t xml:space="preserve">A. THE ACT IS NOT NARROWLY TAILORED TO AN IMPORTANT GOVERNMENT INTEREST.</w:t>
      </w:r>
    </w:p>
    <w:p>
      <w:pPr>
        <w:pStyle w:val="BodyText"/>
      </w:pPr>
      <w:r>
        <w:t xml:space="preserve">Appellants’ opening brief demonstrated that the Act triggers exacting scrutiny and fails the standard announced in</w:t>
      </w:r>
      <w:r>
        <w:t xml:space="preserve"> </w:t>
      </w:r>
      <w:r>
        <w:rPr>
          <w:i/>
          <w:iCs/>
        </w:rPr>
        <w:t xml:space="preserve">AFPF v. Bonta</w:t>
      </w:r>
      <w:r>
        <w:t xml:space="preserve">, 594 U.S. 595 (2021). The State acknowledges that exacting scrutiny applies, but does precious little to defend the Act under that demanding standard. The Act is not remotely tailored because its demand for donors’ public exposure sweeps in startling swaths of information with no connection to Delaware election-related speech. Nowhere does the State identify why basic tailoring devices—whether an earmarking arrangement or opt-out system or indeed any attempt to cabin compelled disclosure to those actually supporting regulated speech in Delaware—would not serve its supposed purpose. That omission confirms that it cannot meet the governing standard.</w:t>
      </w:r>
    </w:p>
    <w:p>
      <w:pPr>
        <w:pStyle w:val="Heading4"/>
        <w:keepNext/>
        <w:spacing w:before="0" w:after="240" w:line="240" w:lineRule="auto"/>
      </w:pPr>
      <w:r>
        <w:t xml:space="preserve">1. AN UNBOUNDED INFORMATION INTEREST IS INSUFFICIENTLY WEIGHTY OR GENUINE TO JUSTIFY ANY COMPELLED DISCLOSURE.</w:t>
      </w:r>
    </w:p>
    <w:p>
      <w:pPr>
        <w:pStyle w:val="BodyText"/>
      </w:pPr>
      <w:r>
        <w:t xml:space="preserve">The State’s own briefing confirms the weight of Appellants’ argument that the State has advanced no “sufficiently important interest” to justify any disclosure requirement.</w:t>
      </w:r>
      <w:r>
        <w:t xml:space="preserve"> </w:t>
      </w:r>
      <w:r>
        <w:rPr>
          <w:i/>
          <w:iCs/>
        </w:rPr>
        <w:t xml:space="preserve">AFPF</w:t>
      </w:r>
      <w:r>
        <w:t xml:space="preserve">, 594 U.S. at 607. The State claims Delawareans must “know[] who is behind the electioneering messages they hear.” But its own brief abandons that interest by admitting the State gladly authorizes “a Delaware-specific association or PAC to sponsor” electioneering communications and bypass the Act’s donor disclosure requirement.</w:t>
      </w:r>
    </w:p>
    <w:p>
      <w:pPr>
        <w:pStyle w:val="BodyText"/>
      </w:pPr>
      <w:r>
        <w:t xml:space="preserve">But it is unserious for the State to contend that entities like Appellants must disclose all their donors nationwide going back years to allow “voters to evaluate and measure the statements made” in advertising the sponsor, and then propose that Appellants can avoid doing exactly that “via a simple online form.” Loopholes like this “raise[] serious doubts about whether the government is in fact pursuing the interest it invokes.”</w:t>
      </w:r>
      <w:r>
        <w:t xml:space="preserve"> </w:t>
      </w:r>
      <w:r>
        <w:rPr>
          <w:i/>
          <w:iCs/>
        </w:rPr>
        <w:t xml:space="preserve">Brown v. Ent. Merchants Ass’n</w:t>
      </w:r>
      <w:r>
        <w:t xml:space="preserve">, 564 U.S. 786, 802 (2011); see</w:t>
      </w:r>
      <w:r>
        <w:t xml:space="preserve"> </w:t>
      </w:r>
      <w:r>
        <w:rPr>
          <w:i/>
          <w:iCs/>
        </w:rPr>
        <w:t xml:space="preserve">The Fla. Star v. B.J.F.</w:t>
      </w:r>
      <w:r>
        <w:t xml:space="preserve">, 491 U.S. 524, 540 (1989) (similar “serious doubts”).</w:t>
      </w:r>
    </w:p>
    <w:p>
      <w:pPr>
        <w:pStyle w:val="BodyText"/>
      </w:pPr>
      <w:r>
        <w:t xml:space="preserve">The State’s invocation of “the federal law upon which [the Act] was [supposedly] modeled” wrongly assumes that Supreme Court precedents approving one reporting regime based on interests of the federal government necessarily approved all reporting regimes. In any event, the State admits federal law is not administered to require disclosure of all donors of entities that spend on electioneering communications. A state’s supposed “purpose” can be “belied” by other provisions of its own law that “are both underinclusive and overinclusive.”</w:t>
      </w:r>
      <w:r>
        <w:t xml:space="preserve"> </w:t>
      </w:r>
      <w:r>
        <w:rPr>
          <w:i/>
          <w:iCs/>
        </w:rPr>
        <w:t xml:space="preserve">First Nat. Bank of Bos. v. Bellotti</w:t>
      </w:r>
      <w:r>
        <w:t xml:space="preserve">, 435 U.S. 765, 792-93 (1978). The State’s contention that its regime is so flimsy as to be meaningless betrays its asserted interest as equally meaningless.</w:t>
      </w:r>
    </w:p>
    <w:p>
      <w:pPr>
        <w:pStyle w:val="BodyText"/>
      </w:pPr>
      <w:r>
        <w:t xml:space="preserve">The State also has little response to Appellants’ point that the startling sweep of the Act calls for the Court to address governmental interests “[i]n reality.”</w:t>
      </w:r>
      <w:r>
        <w:t xml:space="preserve"> </w:t>
      </w:r>
      <w:r>
        <w:rPr>
          <w:i/>
          <w:iCs/>
        </w:rPr>
        <w:t xml:space="preserve">AFPF</w:t>
      </w:r>
      <w:r>
        <w:t xml:space="preserve">, 594 U.S. at 614. The State argues that AFPF did not “question the informational interest in electoral disclosure,” but that is not what Appellants argued.</w:t>
      </w:r>
    </w:p>
    <w:p>
      <w:pPr>
        <w:pStyle w:val="Heading1"/>
        <w:keepNext/>
        <w:spacing w:before="0" w:after="240" w:line="240" w:lineRule="auto"/>
        <w:jc w:val="center"/>
      </w:pPr>
      <w:r>
        <w:t xml:space="preserve">CONCLUSION</w:t>
      </w:r>
    </w:p>
    <w:p>
      <w:pPr>
        <w:pStyle w:val="BodyText"/>
      </w:pPr>
      <w:r>
        <w:t xml:space="preserve">The Court should reverse the district court’s denial of the preliminary injunction and direct it to issue the requested injunction.</w:t>
      </w:r>
    </w:p>
    <w:p>
      <w:pPr>
        <w:keepNext/>
        <w:spacing w:before="0" w:after="0" w:line="240" w:lineRule="auto"/>
        <w:ind w:left="4320"/>
      </w:pPr>
      <w:r>
        <w:t xml:space="preserve">Respectfully submitted,</w:t>
      </w:r>
    </w:p>
    <w:p>
      <w:pPr>
        <w:keepNext/>
        <w:spacing w:before="0" w:after="0" w:line="240" w:lineRule="auto"/>
        <w:ind w:left="4320"/>
      </w:pPr>
      <w:r>
        <w:t xml:space="preserve"/>
      </w:r>
    </w:p>
    <w:p>
      <w:pPr>
        <w:keepNext/>
        <w:spacing w:before="0" w:after="0" w:line="240" w:lineRule="auto"/>
        <w:ind w:left="4320"/>
      </w:pPr>
      <w:r>
        <w:t xml:space="preserve">/s/ Allen J. Dickerson</w:t>
      </w:r>
    </w:p>
    <w:p>
      <w:pPr>
        <w:keepNext/>
        <w:spacing w:before="0" w:after="0" w:line="240" w:lineRule="auto"/>
        <w:ind w:left="4320"/>
      </w:pPr>
      <w:r>
        <w:t xml:space="preserve">ALLEN J. DICKERSON</w:t>
      </w:r>
    </w:p>
    <w:p>
      <w:pPr>
        <w:keepNext/>
        <w:spacing w:before="0" w:after="0" w:line="240" w:lineRule="auto"/>
        <w:ind w:left="4320"/>
      </w:pPr>
      <w:r>
        <w:t xml:space="preserve">BAKER &amp; HOSTETLER LLP</w:t>
      </w:r>
    </w:p>
    <w:p>
      <w:pPr>
        <w:keepNext/>
        <w:spacing w:before="0" w:after="0" w:line="240" w:lineRule="auto"/>
        <w:ind w:left="4320"/>
      </w:pPr>
      <w:r>
        <w:t xml:space="preserve">Washington Square, Ste. 1100</w:t>
      </w:r>
    </w:p>
    <w:p>
      <w:pPr>
        <w:keepNext/>
        <w:spacing w:before="0" w:after="0" w:line="240" w:lineRule="auto"/>
        <w:ind w:left="4320"/>
      </w:pPr>
      <w:r>
        <w:t xml:space="preserve">1050 Connecticut Ave., N.W.</w:t>
      </w:r>
    </w:p>
    <w:p>
      <w:pPr>
        <w:keepNext/>
        <w:spacing w:before="0" w:after="0" w:line="240" w:lineRule="auto"/>
        <w:ind w:left="4320"/>
      </w:pPr>
      <w:r>
        <w:t xml:space="preserve">Washington, DC 20036</w:t>
      </w:r>
    </w:p>
    <w:p>
      <w:pPr>
        <w:keepNext/>
        <w:spacing w:before="0" w:after="0" w:line="240" w:lineRule="auto"/>
        <w:ind w:left="4320"/>
      </w:pPr>
      <w:r>
        <w:t xml:space="preserve">(202) 861-1711</w:t>
      </w:r>
    </w:p>
    <w:p>
      <w:pPr>
        <w:keepNext/>
        <w:spacing w:before="0" w:after="0" w:line="240" w:lineRule="auto"/>
        <w:ind w:left="4320"/>
      </w:pPr>
      <w:r>
        <w:t xml:space="preserve">adickerson@bakerlaw.com</w:t>
      </w:r>
    </w:p>
    <w:p>
      <w:pPr>
        <w:keepNext/>
        <w:spacing w:before="0" w:after="0" w:line="240" w:lineRule="auto"/>
        <w:ind w:left="4320"/>
      </w:pPr>
      <w:r>
        <w:t xml:space="preserve"/>
      </w:r>
    </w:p>
    <w:p>
      <w:pPr>
        <w:keepNext/>
        <w:spacing w:before="0" w:after="0" w:line="240" w:lineRule="auto"/>
        <w:ind w:left="4320"/>
      </w:pPr>
      <w:r>
        <w:t xml:space="preserve">August 4, 2026</w:t>
      </w:r>
    </w:p>
    <w:p>
      <w:pPr>
        <w:pStyle w:val="Heading1"/>
        <w:keepNext/>
        <w:pageBreakBefore/>
        <w:spacing w:before="0" w:after="240" w:line="240" w:lineRule="auto"/>
        <w:jc w:val="center"/>
      </w:pPr>
      <w:r>
        <w:t xml:space="preserve">CERTIFICATE OF COMPLIANCE</w:t>
      </w:r>
    </w:p>
    <w:p>
      <w:pPr>
        <w:spacing w:before="0" w:after="0" w:line="480" w:lineRule="auto"/>
      </w:pPr>
      <w:r>
        <w:t xml:space="preserve">The undersigned counsel certifies pursuant to L.A.R. 46.1(e) that counsel is a member in good standing of the bar of this Court.</w:t>
      </w:r>
    </w:p>
    <w:p>
      <w:pPr>
        <w:spacing w:before="0" w:after="0" w:line="480" w:lineRule="auto"/>
      </w:pPr>
      <w:r>
        <w:t xml:space="preserve">This brief complies with the type-volume limitation of FRAP 32(a)(7)(B)(ii) because it contains 812 words, including headings, footnotes, and quotations, and excluding the items exempted by FRAP 32(f). It is prepared in 14-point, proportionally spaced EB Garamond and complies with the typeface and type-style requirements of FRAP 32(a)(5) and (6).</w:t>
      </w:r>
    </w:p>
    <w:p>
      <w:pPr>
        <w:spacing w:before="0" w:after="0" w:line="480" w:lineRule="auto"/>
      </w:pPr>
      <w:r>
        <w:t xml:space="preserve">The text of the electronic document is identical to the paper copies. Pursuant to L.A.R. 31.1(c), this electronic document was scanned for viruses using CrowdStrike Falcon Sensor Version 7.38.21003.0 prior to filing and found to be virus free.</w:t>
      </w:r>
    </w:p>
    <w:p>
      <w:pPr>
        <w:keepNext/>
        <w:spacing w:before="0" w:after="0" w:line="240" w:lineRule="auto"/>
        <w:ind w:left="4320"/>
      </w:pPr>
      <w:r>
        <w:t xml:space="preserve">/s/ Allen J. Dickerson</w:t>
      </w:r>
    </w:p>
    <w:p>
      <w:pPr>
        <w:keepNext/>
        <w:spacing w:before="0" w:after="0" w:line="240" w:lineRule="auto"/>
        <w:ind w:left="4320"/>
      </w:pPr>
      <w:r>
        <w:t xml:space="preserve">ALLEN J. DICKERSON</w:t>
      </w:r>
    </w:p>
    <w:p>
      <w:pPr>
        <w:keepNext/>
        <w:spacing w:before="0" w:after="0" w:line="240" w:lineRule="auto"/>
        <w:ind w:left="4320"/>
      </w:pPr>
      <w:r>
        <w:t xml:space="preserve">BAKER &amp; HOSTETLER LLP</w:t>
      </w:r>
    </w:p>
    <w:p>
      <w:pPr>
        <w:keepNext/>
        <w:spacing w:before="0" w:after="0" w:line="240" w:lineRule="auto"/>
        <w:ind w:left="4320"/>
      </w:pPr>
      <w:r>
        <w:t xml:space="preserve">Washington Square, Ste. 1100</w:t>
      </w:r>
    </w:p>
    <w:p>
      <w:pPr>
        <w:keepNext/>
        <w:spacing w:before="0" w:after="0" w:line="240" w:lineRule="auto"/>
        <w:ind w:left="4320"/>
      </w:pPr>
      <w:r>
        <w:t xml:space="preserve">1050 Connecticut Ave., N.W.</w:t>
      </w:r>
    </w:p>
    <w:p>
      <w:pPr>
        <w:keepNext/>
        <w:spacing w:before="0" w:after="0" w:line="240" w:lineRule="auto"/>
        <w:ind w:left="4320"/>
      </w:pPr>
      <w:r>
        <w:t xml:space="preserve">Washington, DC 20036</w:t>
      </w:r>
    </w:p>
    <w:p>
      <w:pPr>
        <w:keepNext/>
        <w:spacing w:before="0" w:after="0" w:line="240" w:lineRule="auto"/>
        <w:ind w:left="4320"/>
      </w:pPr>
      <w:r>
        <w:t xml:space="preserve">(202) 861-1711</w:t>
      </w:r>
    </w:p>
    <w:p>
      <w:pPr>
        <w:keepNext/>
        <w:spacing w:before="0" w:after="0" w:line="240" w:lineRule="auto"/>
        <w:ind w:left="4320"/>
      </w:pPr>
      <w:r>
        <w:t xml:space="preserve">adickerson@bakerlaw.com</w:t>
      </w:r>
    </w:p>
    <w:p>
      <w:pPr>
        <w:pStyle w:val="Heading1"/>
        <w:keepNext/>
        <w:pageBreakBefore/>
        <w:spacing w:before="0" w:after="240" w:line="240" w:lineRule="auto"/>
        <w:jc w:val="center"/>
      </w:pPr>
      <w:r>
        <w:t xml:space="preserve">CERTIFICATE OF SERVICE</w:t>
      </w:r>
    </w:p>
    <w:p>
      <w:pPr>
        <w:spacing w:before="0" w:after="0" w:line="480" w:lineRule="auto"/>
      </w:pPr>
      <w:r>
        <w:t xml:space="preserve">I hereby certify that the foregoing brief was electronically filed on this date with the Clerk of the Court for the United States Court of Appeals for the Third Circuit by using the appellate CM/ECF system. Participants in the case who are registered CM/ECF users will be served by the appellate CM/ECF system.</w:t>
      </w:r>
    </w:p>
    <w:p>
      <w:pPr>
        <w:keepNext/>
        <w:spacing w:before="0" w:after="0" w:line="240" w:lineRule="auto"/>
        <w:ind w:left="4320"/>
      </w:pPr>
      <w:r>
        <w:t xml:space="preserve">/s/ Allen J. Dickerson</w:t>
      </w:r>
    </w:p>
    <w:p>
      <w:pPr>
        <w:keepNext/>
        <w:spacing w:before="0" w:after="0" w:line="240" w:lineRule="auto"/>
        <w:ind w:left="4320"/>
      </w:pPr>
      <w:r>
        <w:t xml:space="preserve">ALLEN J. DICKERSON</w:t>
      </w:r>
    </w:p>
    <w:p>
      <w:pPr>
        <w:keepNext/>
        <w:spacing w:before="0" w:after="0" w:line="240" w:lineRule="auto"/>
        <w:ind w:left="4320"/>
      </w:pPr>
      <w:r>
        <w:t xml:space="preserve">BAKER &amp; HOSTETLER LLP</w:t>
      </w:r>
    </w:p>
    <w:p>
      <w:pPr>
        <w:keepNext/>
        <w:spacing w:before="0" w:after="0" w:line="240" w:lineRule="auto"/>
        <w:ind w:left="4320"/>
      </w:pPr>
      <w:r>
        <w:t xml:space="preserve">Washington Square, Ste. 1100</w:t>
      </w:r>
    </w:p>
    <w:p>
      <w:pPr>
        <w:keepNext/>
        <w:spacing w:before="0" w:after="0" w:line="240" w:lineRule="auto"/>
        <w:ind w:left="4320"/>
      </w:pPr>
      <w:r>
        <w:t xml:space="preserve">1050 Connecticut Ave., N.W.</w:t>
      </w:r>
    </w:p>
    <w:p>
      <w:pPr>
        <w:keepNext/>
        <w:spacing w:before="0" w:after="0" w:line="240" w:lineRule="auto"/>
        <w:ind w:left="4320"/>
      </w:pPr>
      <w:r>
        <w:t xml:space="preserve">Washington, DC 20036</w:t>
      </w:r>
    </w:p>
    <w:p>
      <w:pPr>
        <w:keepNext/>
        <w:spacing w:before="0" w:after="0" w:line="240" w:lineRule="auto"/>
        <w:ind w:left="4320"/>
      </w:pPr>
      <w:r>
        <w:t xml:space="preserve">(202) 861-1711</w:t>
      </w:r>
    </w:p>
    <w:p>
      <w:pPr>
        <w:keepNext/>
        <w:spacing w:before="0" w:after="0" w:line="240" w:lineRule="auto"/>
        <w:ind w:left="4320"/>
      </w:pPr>
      <w:r>
        <w:t xml:space="preserve">adickerson@bakerlaw.com</w:t>
      </w:r>
    </w:p>
    <w:sectPr>
      <w:footnotePr>
        <w:numRestart w:val="eachSect"/>
      </w:footnote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8"/>
        <w:szCs w:val="28"/>
        <w:lang w:val="en-US" w:eastAsia="zh-CN" w:bidi="ar-SA"/>
      </w:rPr>
    </w:rPrDefault>
    <w:pPrDefault>
      <w:pPr>
        <w:spacing w:after="0" w:line="480" w:lineRule="auto"/>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28"/>
      <w:szCs w:val="28"/>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28"/>
      <w:szCs w:val="28"/>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8"/>
      <w:szCs w:val="28"/>
    </w:rPr>
  </w:style>
  <w:style w:type="paragraph" w:styleId="Date">
    <w:name w:val="Date"/>
    <w:basedOn w:val="Title"/>
    <w:next w:val="BodyText"/>
    <w:qFormat/>
    <w:pPr>
      <w:keepNext/>
      <w:keepLines/>
    </w:pPr>
    <w:rPr>
      <w:sz w:val="28"/>
      <w:szCs w:val="28"/>
    </w:rPr>
  </w:style>
  <w:style w:type="paragraph" w:customStyle="1" w:styleId="AbstractTitle">
    <w:name w:val="Abstract Title"/>
    <w:basedOn w:val="Normal"/>
    <w:next w:val="Abstract"/>
    <w:qFormat/>
    <w:pPr>
      <w:keepNext/>
      <w:keepLines/>
      <w:spacing w:before="300" w:after="0"/>
      <w:jc w:val="center"/>
    </w:pPr>
    <w:rPr>
      <w:b/>
      <w:sz w:val="28"/>
      <w:szCs w:val="28"/>
    </w:rPr>
  </w:style>
  <w:style w:type="paragraph" w:customStyle="1" w:styleId="Abstract">
    <w:name w:val="Abstract"/>
    <w:basedOn w:val="Normal"/>
    <w:next w:val="BodyText"/>
    <w:qFormat/>
    <w:pPr>
      <w:keepNext/>
      <w:keepLines/>
      <w:spacing w:before="100" w:after="300"/>
    </w:pPr>
    <w:rPr>
      <w:sz w:val="28"/>
      <w:szCs w:val="28"/>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28"/>
      <w:szCs w:val="28"/>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28"/>
      <w:szCs w:val="28"/>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28"/>
      <w:szCs w:val="28"/>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28"/>
      <w:szCs w:val="28"/>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EB Garamond" w:hAnsi="EB Garamond" w:eastAsia="EB Garamond" w:cs="EB Garamond"/>
      <w:sz w:val="28"/>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EB Garamond" w:hAnsi="EB Garamond" w:eastAsia="EB Garamond" w:cs="EB Garamond"/>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2026-10-14T18:39:40Z</dcterms:created>
  <dcterms:modified xsi:type="dcterms:W3CDTF">2026-10-14T18:39:40Z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Reply Brief for Appellants</vt:lpwstr>
  </property>
  <property fmtid="{D5CDD505-2E9C-101B-9397-08002B2CF9AE}" pid="4" name="caption">
    <vt:lpwstr/>
  </property>
  <property fmtid="{D5CDD505-2E9C-101B-9397-08002B2CF9AE}" pid="5" name="case_number">
    <vt:lpwstr>26-2469</vt:lpwstr>
  </property>
  <property fmtid="{D5CDD505-2E9C-101B-9397-08002B2CF9AE}" pid="6" name="counsel">
    <vt:lpwstr/>
  </property>
  <property fmtid="{D5CDD505-2E9C-101B-9397-08002B2CF9AE}" pid="7" name="date">
    <vt:lpwstr>August 4, 2026</vt:lpwstr>
  </property>
  <property fmtid="{D5CDD505-2E9C-101B-9397-08002B2CF9AE}" pid="8" name="district_court_case">
    <vt:lpwstr>1:26-cv-00445-JLH</vt:lpwstr>
  </property>
  <property fmtid="{D5CDD505-2E9C-101B-9397-08002B2CF9AE}" pid="9" name="judge">
    <vt:lpwstr>The Honorable Jennifer L. Hall</vt:lpwstr>
  </property>
  <property fmtid="{D5CDD505-2E9C-101B-9397-08002B2CF9AE}" pid="10" name="phone">
    <vt:lpwstr>(202) 861-1711</vt:lpwstr>
  </property>
  <property fmtid="{D5CDD505-2E9C-101B-9397-08002B2CF9AE}" pid="11" name="proceeding">
    <vt:lpwstr>On Appeal from the United States District Court for the District of Delaware</vt:lpwstr>
  </property>
  <property fmtid="{D5CDD505-2E9C-101B-9397-08002B2CF9AE}" pid="12" name="service">
    <vt:lpwstr/>
  </property>
  <property fmtid="{D5CDD505-2E9C-101B-9397-08002B2CF9AE}" pid="13" name="signature">
    <vt:lpwstr/>
  </property>
  <property fmtid="{D5CDD505-2E9C-101B-9397-08002B2CF9AE}" pid="14" name="typeface">
    <vt:lpwstr>14-point, proportionally spaced EB Garamond</vt:lpwstr>
  </property>
  <property fmtid="{D5CDD505-2E9C-101B-9397-08002B2CF9AE}" pid="15" name="virus_scanner">
    <vt:lpwstr>CrowdStrike Falcon Sensor Version 7.38.21003.0</vt:lpwstr>
  </property>
</Properties>
</file>