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SOUTHERN DISTRICT OF WEST VIRGINIA</w:t>
      </w:r>
    </w:p>
    <w:p>
      <w:pPr>
        <w:spacing w:before="0" w:after="480" w:line="276" w:lineRule="exact"/>
        <w:ind w:left="0" w:firstLine="0"/>
        <w:jc w:val="center"/>
      </w:pPr>
      <w:r>
        <w:rPr>
          <w:b/>
          <w:bCs/>
        </w:rPr>
        <w:t xml:space="preserve">CHARLESTON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432"/>
        <w:gridCol w:w="4608"/>
      </w:tblGrid>
      <w:tr>
        <w:trPr>
          <w:cantSplit/>
        </w:trPr>
        <w:tc>
          <w:tcPr>
            <w:tcW w:w="4320" w:type="dxa"/>
          </w:tcPr>
          <w:p>
            <w:pPr>
              <w:spacing w:before="0" w:after="0" w:line="276" w:lineRule="exact"/>
              <w:ind w:left="0" w:firstLine="0"/>
              <w:jc w:val="left"/>
            </w:pPr>
            <w:r>
              <w:t xml:space="preserve">JOHN</w:t>
            </w:r>
            <w:r>
              <w:t xml:space="preserve"> </w:t>
            </w:r>
            <w:r>
              <w:t xml:space="preserve">ANTHONY</w:t>
            </w:r>
            <w:r>
              <w:t xml:space="preserve"> </w:t>
            </w:r>
            <w:r>
              <w:t xml:space="preserve">CASTRO,</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1440" w:firstLine="0"/>
              <w:jc w:val="left"/>
            </w:pPr>
            <w:r>
              <w:t xml:space="preserve">Plaintiff,</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720" w:firstLine="0"/>
              <w:jc w:val="left"/>
            </w:pPr>
            <w:r>
              <w:t xml:space="preserve">v.</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0" w:firstLine="0"/>
              <w:jc w:val="left"/>
            </w:pPr>
            <w:r>
              <w:t xml:space="preserve">SECRETARY</w:t>
            </w:r>
            <w:r>
              <w:t xml:space="preserve"> </w:t>
            </w:r>
            <w:r>
              <w:t xml:space="preserve">OF</w:t>
            </w:r>
            <w:r>
              <w:t xml:space="preserve"> </w:t>
            </w:r>
            <w:r>
              <w:t xml:space="preserve">STATE</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0" w:firstLine="0"/>
              <w:jc w:val="left"/>
            </w:pPr>
            <w:r>
              <w:t xml:space="preserve">ANDREW</w:t>
            </w:r>
            <w:r>
              <w:t xml:space="preserve"> </w:t>
            </w:r>
            <w:r>
              <w:t xml:space="preserve">WARNER</w:t>
            </w:r>
            <w:r>
              <w:t xml:space="preserve"> </w:t>
            </w:r>
            <w:r>
              <w:t xml:space="preserve">and</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288" w:firstLine="0"/>
              <w:jc w:val="left"/>
            </w:pPr>
            <w:r>
              <w:t xml:space="preserve">Civil</w:t>
            </w:r>
            <w:r>
              <w:t xml:space="preserve"> </w:t>
            </w:r>
            <w:r>
              <w:t xml:space="preserve">Action</w:t>
            </w:r>
            <w:r>
              <w:t xml:space="preserve"> </w:t>
            </w:r>
            <w:r>
              <w:t xml:space="preserve">No.</w:t>
            </w:r>
            <w:r>
              <w:t xml:space="preserve"> </w:t>
            </w:r>
            <w:r>
              <w:t xml:space="preserve">2:23-cv</w:t>
              <w:noBreakHyphen/>
              <w:t xml:space="preserve">00598</w:t>
            </w:r>
          </w:p>
        </w:tc>
      </w:tr>
      <w:tr>
        <w:trPr>
          <w:cantSplit/>
        </w:trPr>
        <w:tc>
          <w:tcPr>
            <w:tcW w:w="4320" w:type="dxa"/>
          </w:tcPr>
          <w:p>
            <w:pPr>
              <w:spacing w:before="0" w:after="0" w:line="276" w:lineRule="exact"/>
              <w:ind w:left="0" w:firstLine="0"/>
              <w:jc w:val="left"/>
            </w:pPr>
            <w:r>
              <w:t xml:space="preserve">DONALD</w:t>
            </w:r>
            <w:r>
              <w:t xml:space="preserve"> </w:t>
            </w:r>
            <w:r>
              <w:t xml:space="preserve">JOHN</w:t>
            </w:r>
            <w:r>
              <w:t xml:space="preserve"> </w:t>
            </w:r>
            <w:r>
              <w:t xml:space="preserve">TRUMP,</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288" w:firstLine="0"/>
              <w:jc w:val="left"/>
            </w:pPr>
            <w:r>
              <w:t xml:space="preserve">Honorable</w:t>
            </w:r>
            <w:r>
              <w:t xml:space="preserve"> </w:t>
            </w:r>
            <w:r>
              <w:t xml:space="preserve">Irene</w:t>
            </w:r>
            <w:r>
              <w:t xml:space="preserve"> </w:t>
            </w:r>
            <w:r>
              <w:t xml:space="preserve">C.</w:t>
            </w:r>
            <w:r>
              <w:t xml:space="preserve"> </w:t>
            </w:r>
            <w:r>
              <w:t xml:space="preserve">Berger</w:t>
            </w:r>
          </w:p>
        </w:tc>
      </w:tr>
      <w:tr>
        <w:trPr>
          <w:cantSplit/>
        </w:trPr>
        <w:tc>
          <w:tcPr>
            <w:tcW w:w="4320" w:type="dxa"/>
          </w:tcPr>
          <w:p>
            <w:pPr>
              <w:spacing w:before="0" w:after="0" w:line="276" w:lineRule="exact"/>
              <w:ind w:left="1440" w:firstLine="0"/>
              <w:jc w:val="left"/>
            </w:pPr>
            <w:r>
              <w:t xml:space="preserve">Defendants.</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0" w:firstLine="0"/>
              <w:jc w:val="left"/>
            </w:pPr>
            <w:r>
              <w:t xml:space="preserve">WEST</w:t>
            </w:r>
            <w:r>
              <w:t xml:space="preserve"> </w:t>
            </w:r>
            <w:r>
              <w:t xml:space="preserve">VIRGINIA</w:t>
            </w:r>
            <w:r>
              <w:t xml:space="preserve"> </w:t>
            </w:r>
            <w:r>
              <w:t xml:space="preserve">REPUBLICAN</w:t>
            </w:r>
            <w:r>
              <w:t xml:space="preserve"> </w:t>
            </w:r>
            <w:r>
              <w:t xml:space="preserve">PARTY</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0" w:firstLine="0"/>
              <w:jc w:val="left"/>
            </w:pPr>
            <w:r>
              <w:t xml:space="preserve">and</w:t>
            </w:r>
            <w:r>
              <w:t xml:space="preserve"> </w:t>
            </w:r>
            <w:r>
              <w:t xml:space="preserve">STATE</w:t>
            </w:r>
            <w:r>
              <w:t xml:space="preserve"> </w:t>
            </w:r>
            <w:r>
              <w:t xml:space="preserve">OF</w:t>
            </w:r>
            <w:r>
              <w:t xml:space="preserve"> </w:t>
            </w:r>
            <w:r>
              <w:t xml:space="preserve">WEST</w:t>
            </w:r>
            <w:r>
              <w:t xml:space="preserve"> </w:t>
            </w:r>
            <w:r>
              <w:t xml:space="preserve">VIRGINIA,</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r>
        <w:trPr>
          <w:cantSplit/>
        </w:trPr>
        <w:tc>
          <w:tcPr>
            <w:tcW w:w="4320" w:type="dxa"/>
          </w:tcPr>
          <w:p>
            <w:pPr>
              <w:spacing w:before="0" w:after="0" w:line="276" w:lineRule="exact"/>
              <w:ind w:left="1440" w:firstLine="0"/>
              <w:jc w:val="left"/>
            </w:pPr>
            <w:r>
              <w:t xml:space="preserve">Intervenors.</w:t>
            </w:r>
          </w:p>
        </w:tc>
        <w:tc>
          <w:tcPr>
            <w:tcW w:w="432" w:type="dxa"/>
          </w:tcPr>
          <w:p>
            <w:pPr>
              <w:spacing w:before="0" w:after="0" w:line="276" w:lineRule="exact"/>
              <w:ind w:left="0" w:firstLine="0"/>
              <w:jc w:val="left"/>
            </w:pPr>
            <w:r>
              <w:t xml:space="preserve">)</w:t>
            </w:r>
          </w:p>
        </w:tc>
        <w:tc>
          <w:tcPr>
            <w:tcW w:w="4608" w:type="dxa"/>
          </w:tcPr>
          <w:p>
            <w:pPr>
              <w:spacing w:before="0" w:after="0" w:line="276" w:lineRule="exact"/>
              <w:ind w:left="0" w:firstLine="0"/>
              <w:jc w:val="left"/>
            </w:pPr>
          </w:p>
        </w:tc>
      </w:tr>
    </w:tbl>
    <w:p>
      <w:pPr>
        <w:spacing w:before="48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720" w:after="0" w:line="276" w:lineRule="exact"/>
        <w:ind w:left="4680" w:firstLine="0"/>
        <w:jc w:val="left"/>
      </w:pPr>
      <w:r>
        <w:t xml:space="preserve">PATRICK</w:t>
      </w:r>
      <w:r>
        <w:t xml:space="preserve"> </w:t>
      </w:r>
      <w:r>
        <w:t xml:space="preserve">MORRISEY</w:t>
      </w:r>
    </w:p>
    <w:p>
      <w:pPr>
        <w:spacing w:before="0" w:after="0" w:line="276" w:lineRule="exact"/>
        <w:ind w:left="4680" w:firstLine="0"/>
        <w:jc w:val="left"/>
      </w:pPr>
      <w:r>
        <w:t xml:space="preserve">ATTORNEY</w:t>
      </w:r>
      <w:r>
        <w:t xml:space="preserve"> </w:t>
      </w:r>
      <w:r>
        <w:t xml:space="preserve">GENERAL</w:t>
      </w:r>
    </w:p>
    <w:p>
      <w:pPr>
        <w:spacing w:before="0" w:after="0" w:line="276" w:lineRule="exact"/>
        <w:ind w:left="4680" w:firstLine="0"/>
        <w:jc w:val="left"/>
      </w:pPr>
      <w:r>
        <w:t xml:space="preserve">Michael</w:t>
      </w:r>
      <w:r>
        <w:t xml:space="preserve"> </w:t>
      </w:r>
      <w:r>
        <w:t xml:space="preserve">R.</w:t>
      </w:r>
      <w:r>
        <w:t xml:space="preserve"> </w:t>
      </w:r>
      <w:r>
        <w:t xml:space="preserve">Williams</w:t>
      </w:r>
      <w:r>
        <w:t xml:space="preserve"> </w:t>
      </w:r>
      <w:r>
        <w:t xml:space="preserve">(WV</w:t>
      </w:r>
      <w:r>
        <w:t xml:space="preserve"> </w:t>
      </w:r>
      <w:r>
        <w:t xml:space="preserve">Bar</w:t>
      </w:r>
      <w:r>
        <w:t xml:space="preserve"> </w:t>
      </w:r>
      <w:r>
        <w:t xml:space="preserve">#</w:t>
      </w:r>
      <w:r>
        <w:t xml:space="preserve"> </w:t>
      </w:r>
      <w:r>
        <w:t xml:space="preserve">14148)</w:t>
      </w:r>
    </w:p>
    <w:p>
      <w:pPr>
        <w:spacing w:before="0" w:after="0" w:line="276" w:lineRule="exact"/>
        <w:ind w:left="4680" w:firstLine="0"/>
        <w:jc w:val="left"/>
      </w:pPr>
      <w:r>
        <w:t xml:space="preserve">Principal</w:t>
      </w:r>
      <w:r>
        <w:t xml:space="preserve"> </w:t>
      </w:r>
      <w:r>
        <w:t xml:space="preserve">Deputy</w:t>
      </w:r>
      <w:r>
        <w:t xml:space="preserve"> </w:t>
      </w:r>
      <w:r>
        <w:t xml:space="preserve">Solicitor</w:t>
      </w:r>
      <w:r>
        <w:t xml:space="preserve"> </w:t>
      </w:r>
      <w:r>
        <w:t xml:space="preserve">General</w:t>
      </w:r>
    </w:p>
    <w:p>
      <w:pPr>
        <w:spacing w:before="0" w:after="0" w:line="276" w:lineRule="exact"/>
        <w:ind w:left="4680" w:firstLine="0"/>
        <w:jc w:val="left"/>
      </w:pPr>
      <w:r>
        <w:t xml:space="preserve">David</w:t>
      </w:r>
      <w:r>
        <w:t xml:space="preserve"> </w:t>
      </w:r>
      <w:r>
        <w:t xml:space="preserve">E.</w:t>
      </w:r>
      <w:r>
        <w:t xml:space="preserve"> </w:t>
      </w:r>
      <w:r>
        <w:t xml:space="preserve">Gilbert</w:t>
      </w:r>
      <w:r>
        <w:t xml:space="preserve"> </w:t>
      </w:r>
      <w:r>
        <w:t xml:space="preserve">(WV</w:t>
      </w:r>
      <w:r>
        <w:t xml:space="preserve"> </w:t>
      </w:r>
      <w:r>
        <w:t xml:space="preserve">Bar</w:t>
      </w:r>
      <w:r>
        <w:t xml:space="preserve"> </w:t>
      </w:r>
      <w:r>
        <w:t xml:space="preserve">#</w:t>
      </w:r>
      <w:r>
        <w:t xml:space="preserve"> </w:t>
      </w:r>
      <w:r>
        <w:t xml:space="preserve">12157)</w:t>
      </w:r>
    </w:p>
    <w:p>
      <w:pPr>
        <w:spacing w:before="0" w:after="0" w:line="276" w:lineRule="exact"/>
        <w:ind w:left="4680" w:firstLine="0"/>
        <w:jc w:val="left"/>
      </w:pPr>
      <w:r>
        <w:t xml:space="preserve">Deputy</w:t>
      </w:r>
      <w:r>
        <w:t xml:space="preserve"> </w:t>
      </w:r>
      <w:r>
        <w:t xml:space="preserve">Attorney</w:t>
      </w:r>
      <w:r>
        <w:t xml:space="preserve"> </w:t>
      </w:r>
      <w:r>
        <w:t xml:space="preserve">General</w:t>
      </w:r>
    </w:p>
    <w:p>
      <w:pPr>
        <w:spacing w:before="0" w:after="0" w:line="276" w:lineRule="exact"/>
        <w:ind w:left="4680" w:firstLine="0"/>
        <w:jc w:val="left"/>
      </w:pPr>
      <w:r>
        <w:t xml:space="preserve">State</w:t>
      </w:r>
      <w:r>
        <w:t xml:space="preserve"> </w:t>
      </w:r>
      <w:r>
        <w:t xml:space="preserve">Capitol</w:t>
      </w:r>
      <w:r>
        <w:t xml:space="preserve"> </w:t>
      </w:r>
      <w:r>
        <w:t xml:space="preserve">Complex</w:t>
      </w:r>
    </w:p>
    <w:p>
      <w:pPr>
        <w:spacing w:before="0" w:after="0" w:line="276" w:lineRule="exact"/>
        <w:ind w:left="4680" w:firstLine="0"/>
        <w:jc w:val="left"/>
      </w:pPr>
      <w:r>
        <w:t xml:space="preserve">Building</w:t>
      </w:r>
      <w:r>
        <w:t xml:space="preserve"> </w:t>
      </w:r>
      <w:r>
        <w:t xml:space="preserve">1,</w:t>
      </w:r>
      <w:r>
        <w:t xml:space="preserve"> </w:t>
      </w:r>
      <w:r>
        <w:t xml:space="preserve">Room</w:t>
      </w:r>
      <w:r>
        <w:t xml:space="preserve"> </w:t>
      </w:r>
      <w:r>
        <w:t xml:space="preserve">E</w:t>
        <w:noBreakHyphen/>
        <w:t xml:space="preserve">26</w:t>
      </w:r>
    </w:p>
    <w:p>
      <w:pPr>
        <w:spacing w:before="0" w:after="0" w:line="276" w:lineRule="exact"/>
        <w:ind w:left="4680" w:firstLine="0"/>
        <w:jc w:val="left"/>
      </w:pPr>
      <w:r>
        <w:t xml:space="preserve">michael.r.williams@wvago.gov</w:t>
      </w:r>
    </w:p>
    <w:p>
      <w:pPr>
        <w:spacing w:before="0" w:after="0" w:line="276" w:lineRule="exact"/>
        <w:ind w:left="4680" w:firstLine="0"/>
        <w:jc w:val="left"/>
      </w:pPr>
      <w:r>
        <w:t xml:space="preserve">david.e.gilbert@wvago.gov</w:t>
      </w:r>
    </w:p>
    <w:p>
      <w:pPr>
        <w:spacing w:before="0" w:after="0" w:line="276" w:lineRule="exact"/>
        <w:ind w:left="4680" w:firstLine="0"/>
        <w:jc w:val="left"/>
      </w:pPr>
      <w:r>
        <w:t xml:space="preserve">Telephone:</w:t>
      </w:r>
      <w:r>
        <w:t xml:space="preserve"> </w:t>
      </w:r>
      <w:r>
        <w:t xml:space="preserve">(304)</w:t>
      </w:r>
      <w:r>
        <w:t xml:space="preserve"> </w:t>
      </w:r>
      <w:r>
        <w:t xml:space="preserve">558</w:t>
        <w:noBreakHyphen/>
        <w:t xml:space="preserve">2021</w:t>
      </w:r>
    </w:p>
    <w:p>
      <w:pPr>
        <w:spacing w:before="0" w:after="0" w:line="276" w:lineRule="exact"/>
        <w:ind w:left="4680" w:firstLine="0"/>
        <w:jc w:val="left"/>
      </w:pPr>
      <w:r>
        <w:t xml:space="preserve">Facsimile:</w:t>
      </w:r>
      <w:r>
        <w:t xml:space="preserve"> </w:t>
      </w:r>
      <w:r>
        <w:t xml:space="preserve">(304)</w:t>
      </w:r>
      <w:r>
        <w:t xml:space="preserve"> </w:t>
      </w:r>
      <w:r>
        <w:t xml:space="preserve">558</w:t>
        <w:noBreakHyphen/>
        <w:t xml:space="preserve">0140</w:t>
      </w:r>
    </w:p>
    <w:p>
      <w:pPr>
        <w:spacing w:before="0" w:after="0" w:line="276" w:lineRule="exact"/>
        <w:ind w:left="4680" w:firstLine="0"/>
        <w:jc w:val="left"/>
      </w:pPr>
      <w:r>
        <w:t xml:space="preserve">Attorneys</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West</w:t>
      </w:r>
      <w:r>
        <w:t xml:space="preserve"> </w:t>
      </w:r>
      <w:r>
        <w:t xml:space="preserve">Virginia</w:t>
      </w:r>
    </w:p>
    <w:p>
      <w:pPr>
        <w:spacing w:before="0" w:after="0" w:line="20" w:lineRule="exact"/>
        <w:sectPr>
          <w:footerReference w:type="default" r:id="rIdFtr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INTRODUCTION</w:t>
      </w:r>
    </w:p>
    <w:p>
      <w:pPr>
        <w:pStyle w:val="FirstParagraph"/>
      </w:pPr>
      <w:r>
        <w:t xml:space="preserve">Plaintiff John Anthony Castro filed this lawsuit as part of a multi-state litigation effort that he dubs “Operation Deadlock.” John Anthony Castro (</w:t>
      </w:r>
      <w:r>
        <w:t xml:space="preserve">@realJohnACastro</w:t>
      </w:r>
      <w:r>
        <w:t xml:space="preserve">), X (Sept. 20, 2023, 2:17 PM), https://​bit.​ly/​48GyE9y. Castro’s supposed operation involves filing suit after suit—roughly two dozen so far—seeking to disqualify President Donald Trump from running for election again. See ECF No. 37. Castro will then “sidelin[e] and neutraliz[e] the influence of conservative judges” by “nonsuit[ing] those cases” that are not assigned to “Obama-appointed or Clinton-appointed judges.” Katherine Fung, Donald Trump’s Lawyers Get Stretched Even Thinner, NEWSWEEK (Sept. 19, 2023, 11:22 AM), https://​bit.​ly/​3S2a25B; see, e.g., Notice of Dismissal, Castro v. Henderson, No. 2:23-cv</w:t>
      </w:r>
      <w:r>
        <w:noBreakHyphen/>
      </w:r>
      <w:r>
        <w:t xml:space="preserve">00617 (D. Utah Sept. 27, 2023), ECF No. 14 (Castro dismissing his suit after it was reassigned to a judge appointed by President Trump); but see, e.g., In re Fieger, No. 97</w:t>
      </w:r>
      <w:r>
        <w:noBreakHyphen/>
      </w:r>
      <w:r>
        <w:t xml:space="preserve">1359, 1999 WL 717991 (6th Cir. Sept. 10, 1999) (affirming sanctions against attorney who had “dismissed [his] cases so that he could select the judge”). Castro evidently hopes these efforts will “completely bankrupt [President Trump] by next summer.” John Anthony Castro (</w:t>
      </w:r>
      <w:r>
        <w:t xml:space="preserve">@realJohnACastro</w:t>
      </w:r>
      <w:r>
        <w:t xml:space="preserve">), X (Sept. 27, 2023, 8:40 PM), https://​bit.​ly/​45gxpLq.</w:t>
      </w:r>
    </w:p>
    <w:p>
      <w:pPr>
        <w:pStyle w:val="BodyText"/>
      </w:pPr>
      <w:r>
        <w:t xml:space="preserve">Trouble is, the claims that Castro brings as part of his “operation” have no basis in either law or fact. For one thing, he lacks standing to bring them, seeing as how he has not plausibly alleged that he will be injured as a competitor. (No wonder at least two courts have already dismissed similar claims from Castro because of similar standing problems.) For another, Castro’s claims are not ripe, as his West Virginia candidacy remains speculative. The claims also present a quintessentially nonjusticiable political question; issues of this sort would belong to Congress, not the federal courts. And if the Court is still inclined to reach the merits, then Castro loses there, too. President Trump is not an “officer” subject to disqualification under the Fourteenth Amendment, and the complaint does not allege facts establishing that President Trump either engaged in insurrection or gave aid or comfort to our country’s enemies. And all this assumes that Section 3 of the Fourteenth Amendment is self-executing. Castro has not shown that it is.</w:t>
      </w:r>
    </w:p>
    <w:p>
      <w:pPr>
        <w:pStyle w:val="BodyText"/>
      </w:pPr>
      <w:r>
        <w:t xml:space="preserve">Lawsuits—especially those asking federal courts to intervene directly in national elections—are serious business. They should not be used as tools to bankrupt someone or harass a politician that a plaintiff might disfavor. “[J]udicial action must be governed by standard, by rule, and must be principled, rational, and based upon reasoned distinctions found in the Constitution or laws.” Rucho v. Common Cause, 139 S. Ct. 2484, 2507 (2019) (cleaned up). Seeing as how the complaint lacks much of anything that can be called “principled” or “rational,” the Court should dismiss it with prejudice.</w:t>
      </w:r>
    </w:p>
    <w:p>
      <w:pPr>
        <w:keepNext/>
        <w:keepLines/>
        <w:spacing w:before="360" w:after="240" w:line="276" w:lineRule="exact"/>
        <w:ind w:left="0" w:firstLine="0"/>
        <w:jc w:val="center"/>
      </w:pPr>
      <w:r>
        <w:rPr>
          <w:b/>
          <w:bCs/>
        </w:rPr>
        <w:t xml:space="preserve">FACTUAL</w:t>
      </w:r>
      <w:r>
        <w:rPr>
          <w:b/>
          <w:bCs/>
        </w:rPr>
        <w:t xml:space="preserve"> </w:t>
      </w:r>
      <w:r>
        <w:rPr>
          <w:b/>
          <w:bCs/>
        </w:rPr>
        <w:t xml:space="preserve">BACKGROUND</w:t>
      </w:r>
    </w:p>
    <w:p>
      <w:pPr>
        <w:pStyle w:val="BodyText"/>
      </w:pPr>
      <w:r>
        <w:t xml:space="preserve">In his Verified Complaint, Castro asks this Court to declare that President Donald John Trump is disqualified from holding civil or military office—including the presidency—under Amendment XIV, Section 3 of the United States Constitution. ECF No. 1 ¶ 16. He also asks the Court to enjoin West Virginia Secretary of State Mac Warner from “accept[ing] and/​or processing” President Trump’s “ballot access documentation” for the 2024 presidential primary and general elections. Id. ¶ 18. Castro brings these claims as a “U.S. citizen and Republican primary presidential candidate … for the 2024 Presidential Election.” Id. ¶ 2.</w:t>
      </w:r>
    </w:p>
    <w:p>
      <w:pPr>
        <w:pStyle w:val="BodyText"/>
      </w:pPr>
      <w:r>
        <w:t xml:space="preserve">The complaint alleges that President Trump should be disqualified from future office because of certain of Trump’s supposed acts and statements in late September 2020 and early 2021. In particular, Castro alleges that President Trump “issued an executive military order to a paramilitary organization” in September 2020. ECF No. 1 ¶ 9. A leader of that same organization was “convicted of Seditious Conspiracy” almost two years later. Id. ¶ 12. Later, President Trump allegedly provided “words of sympathy” to persons entering the Capitol on January 6, 2021. Id. ¶ 10. A few days after that, President Trump allegedly said that he would “treat [the same] people fairly” if reelected, and he explained that he would “give them pardons” if necessary. Id. ¶ 11. And in June 2021, President Trump allegedly “hosted a fundraiser” for the January 6 participants. Id. ¶ 13. Castro maintains that these acts and statements (along with other unspecified “acts of ratification of and sympathy with the convicted criminals of the January 6th Insurrection”), amounted to “‘aid or comfort’ to an insurrection,” id. ¶ 14; see also id. ¶¶ 18, 73. Beyond these bare factual allegations, Castro offers pages of legal arguments and insists that “[t]he entire nation knows that [President] Trump—along with, among others, a wife of a Supreme Court Justice, id. ¶ 71—provided aid and comfort to the January 6th Insurrection.” Id. ¶ 111.</w:t>
      </w:r>
    </w:p>
    <w:p>
      <w:pPr>
        <w:pStyle w:val="BodyText"/>
      </w:pPr>
      <w:r>
        <w:t xml:space="preserve">Castro says he should be granted relief because he is allegedly Trump’s political opponent. According to the complaint, Castro “intends to either appear on the 2024 Republican primary ballot in this state or to file documentation to be a formally recognized write-in candidate in both the primary and general elections.” ECF No. 1 ¶ 19. He notes that he is an “FEC-registered” candidate, id. ¶ 22, and “has an active campaign website,” id. ¶ 30. See also id. ¶ 36. He also lists various media sources that have published articles about him, id. ¶ 34, although most of these articles appear to be about his various lawsuits, see, e.g., Nick Corasaniti &amp; Jonathan Weisman, Is Trump Disqualified? Republicans Prepare to Fight Long-Shot Legal Theory, N.Y. TIMES (Sept. 1, 2023), https://​bit.​ly/​46ymvSu. According to Castro, President Trump is “siphoning off votes and contributions” from him. ECF No. 1 ¶ 103. And while not clear, Castro seems to allege that President Trump intends to kill “every American citizen that disagree[d] with [him].” Id. ¶ 109. He therefore asks the Court to “preserv[e] our Republic” by preventing President Trump from running for elected office. Id. ¶ 112.</w:t>
      </w:r>
    </w:p>
    <w:p>
      <w:pPr>
        <w:keepNext/>
        <w:keepLines/>
        <w:spacing w:before="360" w:after="240" w:line="276" w:lineRule="exact"/>
        <w:ind w:left="0" w:firstLine="0"/>
        <w:jc w:val="center"/>
      </w:pPr>
      <w:r>
        <w:rPr>
          <w:b/>
          <w:bCs/>
        </w:rPr>
        <w:t xml:space="preserve">LEGAL</w:t>
      </w:r>
      <w:r>
        <w:rPr>
          <w:b/>
          <w:bCs/>
        </w:rPr>
        <w:t xml:space="preserve"> </w:t>
      </w:r>
      <w:r>
        <w:rPr>
          <w:b/>
          <w:bCs/>
        </w:rPr>
        <w:t xml:space="preserve">STANDARD</w:t>
      </w:r>
    </w:p>
    <w:p>
      <w:pPr>
        <w:pStyle w:val="BodyText"/>
      </w:pPr>
      <w:r>
        <w:t xml:space="preserve">Castro’s complaint implicates several doctrines going to this Court’s subject-matter jurisdiction, including standing, ripeness, and the political-question doctrine. See Indus. Servs. Grp., Inc. v. Dobson, 68 F.4th 155, 167 (4th Cir. 2023) (explaining that standing is jurisdictional); South Carolina v. United States, 912 F.3d 720, 730 (4th Cir. 2019) (same as to ripeness); Taylor v. Kellogg Brown &amp; Root Servs., Inc., 658 F.3d 402, 407 (4th Cir. 2011) (same as to political-question doctrine). “[A] lack of subject-matter jurisdiction will lead to dismissal under [Federal] Rule [of Civil Procedure] 12(b)⁠(1).” Abbott v. Pastides, 900 F.3d 160, 175 n.8 (4th Cir. 2018). And when evaluating a Rule 12(b)⁠(1) motion premised on a “facial challenge to a complaint,” the Court must accept “as true all factual allegations set forth in the complaint.” Willner v. Dimon, 849 F.3d 93, 99 (4th Cir. 2017) (emphasis added).</w:t>
      </w:r>
    </w:p>
    <w:p>
      <w:pPr>
        <w:pStyle w:val="BodyText"/>
      </w:pPr>
      <w:r>
        <w:t xml:space="preserve">Castro’s complaint also needs to state an actionable claim. “Dismissal is proper if the well-pleaded facts of the complaint, taken in the light most favorable to the plaintiff and excluding unwarranted inferences, unreasonable conclusions, or arguments, fail to state a plausible claim for relief.” Epcon Homestead, LLC v. Town of Chapel Hill, 62 F.4th 882, 885 (4th Cir. 2023) (cleaned up). “The [C]ourt need not accept legal conclusions.” Langford v. Joyner, 62 F.4th 122, 124 (4th Cir. 2023) (cleaned up). And “the test” under Rule 12(b)⁠(6) “is not legally myopic.” Tabb v. Bd. of Educ. of Durham Pub. Sch., 29 F.4th 148, 155 (4th Cir. 2022). “Rather, it must be applied with common sense to determine whether a complaint contains” a plausible claim, “not merely [a] conceivable” one. Id.</w:t>
      </w:r>
    </w:p>
    <w:p>
      <w:pPr>
        <w:keepNext/>
        <w:keepLines/>
        <w:spacing w:before="360" w:after="240" w:line="276" w:lineRule="exact"/>
        <w:ind w:left="0" w:firstLine="0"/>
        <w:jc w:val="center"/>
      </w:pPr>
      <w:r>
        <w:rPr>
          <w:b/>
          <w:bCs/>
        </w:rPr>
        <w:t xml:space="preserve">ARGUMENT</w:t>
      </w:r>
    </w:p>
    <w:p>
      <w:pPr>
        <w:pStyle w:val="BodyText"/>
      </w:pPr>
      <w:r>
        <w:t xml:space="preserve">The Court should dismiss Castro’s complaint for lack of jurisdiction. He lacks standing to bring his constitutional claim, as he has not specifically established how he has been injured, how that injury would be traceable to the defendants here, and how a favorable decision would redress that injury. Relatedly, his claim is not ripe. His own allegations show that Castro is not a candidate for office in West Virginia. Because he relies on a potential future candidacy to establish standing, he cannot jump out of the gate now. Lastly, this case presents a quintessential political question: whether a candidate should stand for office or be disqualified for actions taken while he was previously in office.</w:t>
      </w:r>
    </w:p>
    <w:p>
      <w:pPr>
        <w:pStyle w:val="BodyText"/>
      </w:pPr>
      <w:r>
        <w:t xml:space="preserve">If the Court decides to reach the merits, then it should dismiss the complaint with prejudice for failure to state a claim. Multiple failings lurk in Castro’s “Disqualification Clause” claim. Most obviously, President Trump is not an officer of the United States, and the allegations in the complaint establish nothing approaching insurrection, comfort, or aid. Castro cannot state a federal constitutional claim merely because he disagrees with how President Trump comported himself in the days around January 6, 2021.</w:t>
      </w:r>
    </w:p>
    <w:p>
      <w:pPr>
        <w:keepNext/>
        <w:keepLines/>
        <w:tabs>
          <w:tab w:val="left" w:pos="720"/>
        </w:tabs>
        <w:spacing w:before="240" w:after="240" w:line="276" w:lineRule="exact"/>
        <w:ind w:left="720" w:hanging="720"/>
        <w:jc w:val="left"/>
      </w:pPr>
      <w:r>
        <w:rPr>
          <w:b/>
          <w:bCs/>
        </w:rPr>
        <w:t xml:space="preserve">I.</w:t>
      </w:r>
      <w:r>
        <w:rPr>
          <w:b/>
          <w:bCs/>
        </w:rPr>
        <w:tab/>
      </w:r>
      <w:r>
        <w:rPr>
          <w:b/>
          <w:bCs/>
        </w:rPr>
        <w:t xml:space="preserve">Castro</w:t>
      </w:r>
      <w:r>
        <w:rPr>
          <w:b/>
          <w:bCs/>
        </w:rPr>
        <w:t xml:space="preserve"> </w:t>
      </w:r>
      <w:r>
        <w:rPr>
          <w:b/>
          <w:bCs/>
        </w:rPr>
        <w:t xml:space="preserve">lacks</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these</w:t>
      </w:r>
      <w:r>
        <w:rPr>
          <w:b/>
          <w:bCs/>
        </w:rPr>
        <w:t xml:space="preserve"> </w:t>
      </w:r>
      <w:r>
        <w:rPr>
          <w:b/>
          <w:bCs/>
        </w:rPr>
        <w:t xml:space="preserve">claims.</w:t>
      </w:r>
    </w:p>
    <w:p>
      <w:pPr>
        <w:pStyle w:val="BodyText"/>
      </w:pPr>
      <w:r>
        <w:t xml:space="preserve">“The irreducible constitutional minimum of standing contains three elements that a plaintiff must plead and—ultimately—prove.” Dep’t of Educ. v. Brown, 143 S. Ct. 2343, 2351 (2023) (cleaned up). First, a plaintiff must show an “injury in fact that is both concrete and particularized and actual or imminent, not conjectural or hypothetical.” Id. (cleaned up). Second, a plaintiff’s claimed injury must be “fairly traceable to the challenged action of the defendant”—that is, “there must be a causal connection between the injury and the conduct complained of.” Id. (cleaned up). And third, “it must be likely, as opposed to merely speculative, that the injury will be redressed by a favorable decision.” Id. (cleaned up). A plaintiff must strictly comply with each of these elements. After all, “Article III standing is not merely a troublesome hurdle to be overcome if possible so as to reach the ‘merits’ of a lawsuit which a party desires to have adjudicated; it is a part of the basic charter promulgated by the Framers of the Constitution at Philadelphia in 1787.” United States v. Texas, 143 S. Ct. 1964, 1969 (2023) (cleaned up).</w:t>
      </w:r>
    </w:p>
    <w:p>
      <w:pPr>
        <w:pStyle w:val="BodyText"/>
      </w:pPr>
      <w:r>
        <w:t xml:space="preserve">Castro has not met any of these three basic elements of standing. So his claims should be dismissed at the outset.</w:t>
      </w:r>
    </w:p>
    <w:p>
      <w:pPr>
        <w:pStyle w:val="BodyText"/>
      </w:pPr>
      <w:r>
        <w:t xml:space="preserve">First, he fails on injury. A claim of injury cannot be “too speculative” or “rely on a highly attenuated chain of possibilities.” Wild Va. v. Council on Env’t Quality, 56 F.4th 281, 293 n.4 (4th Cir. 2022). And it must either be a tangible harm (“such as physical harms and monetary harms”) or a type of intangible harm “traditionally recognized as providing a basis for lawsuits in American courts” (like “reputational harms, disclosure of private information, … intrusion upon seclusion,” and harms “specified by the Constitution itself”). TransUnion LLC v. Ramirez, 141 S. Ct. 2190, 2204 (2021). So a generalized allegation that votes might change in the future if the Court acts will not suffice to establish injury. See Buscemi v. Bell, 964 F.3d 252, 261 (4th Cir. 2020); compare with ECF No. 13, at 7 (noting how Castro had not “provide[d] any specific facts in support of [his] allegation” that voters and donations were being siphoned off).</w:t>
      </w:r>
    </w:p>
    <w:p>
      <w:pPr>
        <w:pStyle w:val="BodyText"/>
      </w:pPr>
      <w:r>
        <w:t xml:space="preserve">Here, Castro can summon up only speculative allegations of injury. Castro imagines he might lose votes or donations if President Trump may run. He reasons that Castro and President Trump are “appealing to the same voter base.” ECF No. 1 ¶ 24. Applying Castro’s logic, every vote or dollar given to President Trump is one that would have gone to Castro if only President Trump were removed from the ballot. But that logic requires a chain of reasoning that precedent says is just too weak; it assumes that Castro will in fact run in West Virginia and then secure the support of voters and donors automatically (over the many other choices currently in the field) if only President Trump steps aside. He does not allege that any donor has made this choice in fact. (Note how Castro does not allege that he even has any potential donors.) And the most he can do when it comes to voters is a vague statement that he has talked to “thousands” of potential supporters. Id. ¶ 24. That kind of hearsay-based political puffery is too implausible to consider on a motion to dismiss. See, e.g., Mukuna v. Gibson, No. 1:11CV493, 2011 WL 3793336, at *4 (E.D. Va. Aug. 25, 2011) (finding that allegations did not meet plausibility requirement where, among other things, they were “based on hearsay”).</w:t>
      </w:r>
    </w:p>
    <w:p>
      <w:pPr>
        <w:pStyle w:val="BodyText"/>
      </w:pPr>
      <w:r>
        <w:t xml:space="preserve">Castro’s claims also fail on traceability. Remember that President Trump is alleged to be simply a “nominal” defendant, ECF No. 1 ¶ 5, so any injury must be traceable to the other defendant, Secretary Warner. But Castro contradictorily alleges that his “injury-in-fact is traceable to [President] Trump.” Id. ¶ 50. Unsurprisingly, then, Castro never explains how any action that Secretary Warner intends to take or has taken will inflict the vote dilution or donor problems that Castro imagines might happen with President Trump in the race. He does not even suggest, for instance, that Secretary Warner has some obligation or duty that he is failing to fulfill by allowing President Trump to run again. Cf. Doe v. Obama, 631 F.3d 157, 161</w:t>
      </w:r>
      <w:r>
        <w:noBreakHyphen/>
      </w:r>
      <w:r>
        <w:t xml:space="preserve">62 (4th Cir. 2011) (explaining that an injury was not traceable to the government defendant where the government defendant merely permitted certain independent private conduct). That disconnect is fatal.</w:t>
      </w:r>
    </w:p>
    <w:p>
      <w:pPr>
        <w:pStyle w:val="BodyText"/>
      </w:pPr>
      <w:r>
        <w:t xml:space="preserve">Lastly, Castro has not satisfied the redressability element. He does not try to explain how an injunction against Secretary Warner and President Trump will cure the harms he alleges. Instead, in a series of muddled allegations, Castro appears to allege that his request for declaratory relief somehow changes the redressability requirement. See, e.g., ECF No. 1 ¶ 59. Castro is wrong. “By itself, a declaratory judgment cannot be the redress that satisfies the third standing prong. Rather, plaintiffs must identify some further concrete relief that will likely result from the declaratory judgment.” Comite de Apoyo a los Trabajadores Agricolas (CATA) v. U.S. Dep’t of Lab., 995 F.2d 510, 513 (4th Cir. 1993) (rejecting argument that the Declaratory Judgment Act constituted an “upheaval in the traditional law of standing”).</w:t>
      </w:r>
    </w:p>
    <w:p>
      <w:pPr>
        <w:pStyle w:val="BodyText"/>
      </w:pPr>
      <w:r>
        <w:t xml:space="preserve">In his complaint, Castro leans on out-of-circuit authority to suggest his standing problems can be solved by “political competitor standing.” See ECF No. 1 ¶¶ 19</w:t>
      </w:r>
      <w:r>
        <w:noBreakHyphen/>
      </w:r>
      <w:r>
        <w:t xml:space="preserve">22; but see, e.g., Fulani v. Brady, 935 F.2d 1324, 1329 (D.C. Cir. 1991) (finding that political competitor standing did not afford a plaintiff standing where the challenged action was “merely one in a chain of independent causal factors necessary to achieve [the claimed] injury”). The Fourth Circuit has never embraced this doctrine, at least not in the broad way that Castro seems to conceive it. But anyway, Castro has never offered up factual allegations that might justify using the doctrine here, seeing as how he has not registered as a primary or write-in candidate in West Virginia (or, judging from the allegations of the complaint, not even campaigned here at all). A website and an FEC registration should not license a plaintiff to invoke broad new conceptions of standing to stifle free elections. And if the Court wishes to look to out-of-circuit authority for guidance, it would do better to consider the cases in which courts have dismissed Castro’s similar claims against President Trump for lack of standing. See Order, Castro v. Trump, No. 23</w:t>
      </w:r>
      <w:r>
        <w:noBreakHyphen/>
      </w:r>
      <w:r>
        <w:t xml:space="preserve">80015 (S.D. Fl. June 25, 2023), ECF No. 33; Castro v. FEC, No. CV 22</w:t>
      </w:r>
      <w:r>
        <w:noBreakHyphen/>
      </w:r>
      <w:r>
        <w:t xml:space="preserve">2176, 2022 WL 17976630, at *2 (D.D.C. Dec. 6, 2022).</w:t>
      </w:r>
    </w:p>
    <w:p>
      <w:pPr>
        <w:pStyle w:val="BodyText"/>
      </w:pPr>
      <w:r>
        <w:t xml:space="preserve">This Court should dismiss for lack of standing, too.</w:t>
      </w:r>
    </w:p>
    <w:p>
      <w:pPr>
        <w:keepNext/>
        <w:keepLines/>
        <w:tabs>
          <w:tab w:val="left" w:pos="720"/>
        </w:tabs>
        <w:spacing w:before="240" w:after="240" w:line="276" w:lineRule="exact"/>
        <w:ind w:left="720" w:hanging="720"/>
        <w:jc w:val="left"/>
      </w:pPr>
      <w:r>
        <w:rPr>
          <w:b/>
          <w:bCs/>
        </w:rPr>
        <w:t xml:space="preserve">II.</w:t>
      </w:r>
      <w:r>
        <w:rPr>
          <w:b/>
          <w:bCs/>
        </w:rPr>
        <w:tab/>
      </w:r>
      <w:r>
        <w:rPr>
          <w:b/>
          <w:bCs/>
        </w:rPr>
        <w:t xml:space="preserve">Castro’s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ripe.</w:t>
      </w:r>
    </w:p>
    <w:p>
      <w:pPr>
        <w:pStyle w:val="BodyText"/>
      </w:pPr>
      <w:r>
        <w:t xml:space="preserve">“While standing involves the question of who may sue, ripeness involves when they may sue.” Wild Va., 56 F.4th at 293 (cleaned up). A court must wait until a case has “taken on fixed and final shape so that a court can see what legal issues it is deciding, what effect its decision will have on the adversaries, and some useful purpose to be achieved in deciding them.” Pub. Serv. Comm’n of Utah v. Wycoff Co., 344 U.S. 237, 244 (1952). Ripeness considers fitness and hardship. “A controversy becomes ‘fit’ for review when it no longer is ‘dependent on future uncertainties.’” Nat’l Ass’n For The Advancement of Colored People v. Bureau of the Census, 945 F.3d 183, 192 (4th Cir. 2019). As to hardship, courts consider “the immediacy of the threat and the burden imposed on the petitioner.” Doe v. Va. Dep’t of State Police, 713 F.3d 745, 759 (4th Cir. 2013).</w:t>
      </w:r>
    </w:p>
    <w:p>
      <w:pPr>
        <w:pStyle w:val="BodyText"/>
      </w:pPr>
      <w:r>
        <w:t xml:space="preserve">Castro has filed this suit too early. He does not allege that he has taken appropriate steps to run for President in West Virginia. For that matter, he does not even allege that President Trump has done so. From all appearances, this lawsuit is the sole campaign activity that Castro has undertaken in this State. And perhaps more importantly, the Fourteenth Amendment contemplates that any violation of Section 3 occurs when a person who has engaged in insurrection or other forbidden acts takes office, not when he or she merely runs. See Smith v. Moore, 90 Ind. 294, 303 (1883) (describing congressional practice indicating that Section 3 limits who can hold office, not who can run); Privett v. Bickford, 26 Kan. 52, 57 (1881) (explaining that an ineligible person can run for election, win, and take office as long as the “disabilities had been subsequently [to election] removed”); Sublett v. Bedwell, 47 Miss. 266, 274 (1872) (same). President Trump could assume office only as early as January 2025—and then only if he runs and wins the election. Perhaps Congress could decide before then to remove any disability imposed by the Fourteenth Amendment (if there were one). Perhaps not. But because all these events remain a long way off, it imposes no obvious burden on Castro to at least ask him to wait. Even more so when bringing charged claims such as these.</w:t>
      </w:r>
    </w:p>
    <w:p>
      <w:pPr>
        <w:pStyle w:val="BodyText"/>
      </w:pPr>
      <w:r>
        <w:t xml:space="preserve">The Court should hold that Plaintiff’s claims are not ripe.</w:t>
      </w:r>
    </w:p>
    <w:p>
      <w:pPr>
        <w:keepNext/>
        <w:keepLines/>
        <w:tabs>
          <w:tab w:val="left" w:pos="720"/>
        </w:tabs>
        <w:spacing w:before="240" w:after="240" w:line="276" w:lineRule="exact"/>
        <w:ind w:left="720" w:hanging="720"/>
        <w:jc w:val="left"/>
      </w:pPr>
      <w:r>
        <w:rPr>
          <w:b/>
          <w:bCs/>
        </w:rPr>
        <w:t xml:space="preserve">III.</w:t>
      </w:r>
      <w:r>
        <w:rPr>
          <w:b/>
          <w:bCs/>
        </w:rPr>
        <w:tab/>
      </w:r>
      <w:r>
        <w:rPr>
          <w:b/>
          <w:bCs/>
        </w:rPr>
        <w:t xml:space="preserve">Castro’s</w:t>
      </w:r>
      <w:r>
        <w:rPr>
          <w:b/>
          <w:bCs/>
        </w:rPr>
        <w:t xml:space="preserve"> </w:t>
      </w:r>
      <w:r>
        <w:rPr>
          <w:b/>
          <w:bCs/>
        </w:rPr>
        <w:t xml:space="preserve">claims</w:t>
      </w:r>
      <w:r>
        <w:rPr>
          <w:b/>
          <w:bCs/>
        </w:rPr>
        <w:t xml:space="preserve"> </w:t>
      </w:r>
      <w:r>
        <w:rPr>
          <w:b/>
          <w:bCs/>
        </w:rPr>
        <w:t xml:space="preserve">present</w:t>
      </w:r>
      <w:r>
        <w:rPr>
          <w:b/>
          <w:bCs/>
        </w:rPr>
        <w:t xml:space="preserve"> </w:t>
      </w:r>
      <w:r>
        <w:rPr>
          <w:b/>
          <w:bCs/>
        </w:rPr>
        <w:t xml:space="preserve">nonjusticiable</w:t>
      </w:r>
      <w:r>
        <w:rPr>
          <w:b/>
          <w:bCs/>
        </w:rPr>
        <w:t xml:space="preserve"> </w:t>
      </w:r>
      <w:r>
        <w:rPr>
          <w:b/>
          <w:bCs/>
        </w:rPr>
        <w:t xml:space="preserve">political</w:t>
      </w:r>
      <w:r>
        <w:rPr>
          <w:b/>
          <w:bCs/>
        </w:rPr>
        <w:t xml:space="preserve"> </w:t>
      </w:r>
      <w:r>
        <w:rPr>
          <w:b/>
          <w:bCs/>
        </w:rPr>
        <w:t xml:space="preserve">questions.</w:t>
      </w:r>
    </w:p>
    <w:p>
      <w:pPr>
        <w:pStyle w:val="BodyText"/>
      </w:pPr>
      <w:r>
        <w:t xml:space="preserve">“Article III[, Section 2] of the Constitution limits federal-court jurisdiction to ‘Cases’ and ‘Controversies.’” Massachusetts v. EPA, 549 U.S. 497, 516 (2007) (cleaned up). “[N]o justiciable ‘controversy’ exists when parties seek adjudication of a political question[.]” Id. Of course, not every assertion “of a political right . . . presents a political question.” Baker v. Carr, 369 U.S. 186, 209 (1962). But courts have not infrequently applied the doctrine, viewing it as “primarily a function of the separation of powers.” Id. at 210.</w:t>
      </w:r>
    </w:p>
    <w:p>
      <w:pPr>
        <w:pStyle w:val="BodyText"/>
      </w:pPr>
      <w:r>
        <w:t xml:space="preserve">In deciding whether to apply the political-question doctrine, courts examine on a “case-by-case” basis “the particular question posed, … the history of its management by the political branches, … its susceptibility to judicial handling in the light of its nature and posture in the specific case, and … the possible consequences of judicial action.” Baker, 369 U.S. at 211</w:t>
      </w:r>
      <w:r>
        <w:noBreakHyphen/>
      </w:r>
      <w:r>
        <w:t xml:space="preserve">12. Courts will ask whether (1) there is “a textually demonstrable constitutional commitment of the issue to a coordinate political department”; (2) there are “judicially discoverable and manageable standards for resolving [the question]”; (3) the court will be compelled to make “an initial policy determination of a kind clearly for nonjudicial discretion”; (4) the court may “undertak[e] independent resolution without expressing lack of the respect due coordinate branches of government”; (5) there is an unusual need for unquestioning adherence to the political decision in play; and (6) judicial action holds the “potentiality of embarrassment from multifarious pronouncements by various departments on one question.” Id. at 217. In short, “[i]t is enough that plaintiff asks the courts to intrude in an area in which they have no rightful power and no compass.” Wu Tien Li-Shou v. United States, 777 F.3d 175, 183 (4th Cir. 2015) (cleaned up).</w:t>
      </w:r>
    </w:p>
    <w:p>
      <w:pPr>
        <w:pStyle w:val="BodyText"/>
      </w:pPr>
      <w:r>
        <w:t xml:space="preserve">Once more, every factor cuts against Castro’s effort here.</w:t>
      </w:r>
    </w:p>
    <w:p>
      <w:pPr>
        <w:pStyle w:val="BodyText"/>
      </w:pPr>
      <w:r>
        <w:t xml:space="preserve">Start with the Fourteenth Amendment’s text, which places these questions firmly in Congress’s hands. Section 3 of the Fourteenth Amendment authorizes only Congress to “remove such disability” imposed by the same amendment’s Disqualification Clause. Later, the same amendment authorizes Congress “to enforce” the Amendment “by appropriate legislation[.]” Id., amend. XIV, § 5. So the Fourteenth Amendment appears squarely focused on Congress’s power—and, at least until Congress speaks, no one else’s. As Chief Justice Salmon P. Chase explained (while riding circuit in Virginia) just months after the Fourteenth Amendment was ratified, the Disqualification Clause contemplates proceedings for removal that “can only be provided for by congress.”</w:t>
      </w:r>
      <w:r>
        <w:rPr>
          <w:rStyle w:val="FootnoteReference"/>
        </w:rPr>
        <w:footnoteReference w:id="9"/>
      </w:r>
      <w:r>
        <w:t xml:space="preserve"> </w:t>
      </w:r>
      <w:r>
        <w:t xml:space="preserve">In re Griffin, 11 F. Cas. 7, 26 (C.C.D. Va. 1869); cf. Cawthorn v. Amalfi, 35 F.4th 245, 275</w:t>
      </w:r>
      <w:r>
        <w:noBreakHyphen/>
      </w:r>
      <w:r>
        <w:t xml:space="preserve">82 (4th Cir. 2022) (Richardson, J., concurring) (explaining why only Congress may decide whether its own members are disqualified under Section 3 of the Fourteenth Amendment).</w:t>
      </w:r>
      <w:r>
        <w:rPr>
          <w:rStyle w:val="FootnoteReference"/>
        </w:rPr>
        <w:footnoteReference w:id="10"/>
      </w:r>
    </w:p>
    <w:p>
      <w:pPr>
        <w:pStyle w:val="BodyText"/>
      </w:pPr>
      <w:r>
        <w:t xml:space="preserve">In requiring that “two-thirds of each House” agree to remove the disability, the Fourteenth Amendment echoes the standard for Congress to determine a President’s legal qualifications under the Twenty-Fifth Amendment. Under the latter amendment, after the Vice President and certain officers find that the President is unable to perform the duties of his office, “Congress shall decide the issue [of ability] … by two-thirds vote of both Houses.” Id. (emphasis added). “[O]therwise, the President shall resume the powers and duties of his office.” Id. An unable President is one who lacks either the ability or the legal qualifications to discharge his office. See Grinols v. Electoral Coll., No. 2:12-CV</w:t>
      </w:r>
      <w:r>
        <w:noBreakHyphen/>
      </w:r>
      <w:r>
        <w:t xml:space="preserve">02997, 2013 WL 2294885, at *6 (E.D. Cal. May 23, 2013), aff’d, 622 F. App’x 624 (9th Cir. 2015) (stating that “the Twenty–Fifth Amendment provides for removal of the President should he be unfit to serve”). So in the Twenty-Fifth Amendment—and by extension the Fourteenth—Congress is again given the ultimate power to decide whether an official is legally unqualified to serve.</w:t>
      </w:r>
    </w:p>
    <w:p>
      <w:pPr>
        <w:pStyle w:val="BodyText"/>
      </w:pPr>
      <w:r>
        <w:t xml:space="preserve">The voters will decide in the first instance whether President Trump is legally qualified to be re-elected as President. “Arguments concerning qualifications or lack thereof can be laid before the voting public before the election[.]” Robinson v. Bowen, 567 F. Supp. 2d 1144, 1147 (N.D. Cal. 2008). If the voters find President Trump qualified, and Congress concurs, then the Constitution does not contemplate a time for the judiciary to second-guess that call. Rather, the Constitution gives Congress the sole and final authority to determine whether the President can continue to serve.</w:t>
      </w:r>
      <w:r>
        <w:rPr>
          <w:rStyle w:val="FootnoteReference"/>
        </w:rPr>
        <w:footnoteReference w:id="11"/>
      </w:r>
      <w:r>
        <w:t xml:space="preserve"> </w:t>
      </w:r>
      <w:r>
        <w:t xml:space="preserve">See Grinols, 2013 WL 2294885, at *6 (“Nowhere does the Constitution empower the Judiciary . . . to enjoin [a] President-elect from taking office.”).</w:t>
      </w:r>
    </w:p>
    <w:p>
      <w:pPr>
        <w:pStyle w:val="BodyText"/>
      </w:pPr>
      <w:r>
        <w:t xml:space="preserve">The next two factors disfavor Castro, too: Judicially discernible standards are absent, while policy judgments are inherent in a claim like this one. In essence, Castro is asking the courts to second guess the President’s personal actions and weigh whether they rise to a level of sufficient seriousness as to justify refusing him another chance to run. See ECF No. 1 ¶ 112. But that question plays on somewhat indeterminate notions of justice and morality, not the usual kind of textual interpretation or application of precedent or other legal authority. Evaluating whether an individual has given inappropriate and actionable aid to the enemy or whether an insurrection occurred is the kind of question most often answered in war and diplomacy. Cf. Stinson v. N.Y. Life Ins., 167 F.2d 233, 236 (D.C. Cir. 1948) (explaining that whether the “this country became engaged in war” is a political question). “But [j]udges are not soldiers or diplomats.” Lin v. United States, 539 F. Supp. 2d 173, 180 (D.D.C. 2008). So other than war and diplomacy, the answers must come through elections. Cf. Luther v. Borden, 48 U.S. 1, 45</w:t>
      </w:r>
      <w:r>
        <w:noBreakHyphen/>
      </w:r>
      <w:r>
        <w:t xml:space="preserve">46 (1849) (refusing to “question [the State’s] authority” as to whether it was appropriate to determine that persons were “engaged in the insurrection” and accordingly use force to “overcome the unlawful opposition”).</w:t>
      </w:r>
    </w:p>
    <w:p>
      <w:pPr>
        <w:pStyle w:val="BodyText"/>
      </w:pPr>
      <w:r>
        <w:t xml:space="preserve">The last three factors—respect for co-equal branches, a need for adherence, and a potential for embarrassment—all work against Castro in the same way. A decision here would inappropriately reject the conclusions made by Congress on these very same events.</w:t>
      </w:r>
    </w:p>
    <w:p>
      <w:pPr>
        <w:keepNext/>
        <w:keepLines/>
        <w:spacing w:before="360" w:after="240" w:line="276" w:lineRule="exact"/>
        <w:ind w:left="0" w:firstLine="0"/>
        <w:jc w:val="center"/>
      </w:pPr>
      <w:r>
        <w:rPr>
          <w:b/>
          <w:bCs/>
        </w:rPr>
        <w:t xml:space="preserve">CONCLUSION</w:t>
      </w:r>
    </w:p>
    <w:p>
      <w:pPr>
        <w:pStyle w:val="BodyText"/>
      </w:pPr>
      <w:r>
        <w:t xml:space="preserve">For all these reasons, the Court should dismiss this suit for lack of jurisdiction or for failure to state a claim.</w:t>
      </w:r>
    </w:p>
    <w:p>
      <w:pPr>
        <w:keepNext/>
        <w:keepLines/>
        <w:spacing w:before="480" w:after="0" w:line="276" w:lineRule="exact"/>
        <w:ind w:left="0" w:firstLine="0"/>
        <w:jc w:val="left"/>
      </w:pPr>
      <w:r>
        <w:t xml:space="preserve">Dated: </w:t>
      </w:r>
      <w:r>
        <w:t xml:space="preserve">October</w:t>
      </w:r>
      <w:r>
        <w:t xml:space="preserve"> </w:t>
      </w:r>
      <w:r>
        <w:t xml:space="preserve">12,</w:t>
      </w:r>
      <w:r>
        <w:t xml:space="preserve"> </w:t>
      </w:r>
      <w:r>
        <w:t xml:space="preserve">2023</w:t>
      </w:r>
    </w:p>
    <w:p>
      <w:pPr>
        <w:keepNext/>
        <w:keepLines/>
        <w:spacing w:before="480" w:after="0" w:line="276" w:lineRule="exact"/>
        <w:ind w:left="4680" w:firstLine="0"/>
        <w:jc w:val="left"/>
      </w:pPr>
      <w:r>
        <w:t xml:space="preserve">Respectfully</w:t>
      </w:r>
      <w:r>
        <w:t xml:space="preserve"> </w:t>
      </w:r>
      <w:r>
        <w:t xml:space="preserve">submitted,</w:t>
      </w:r>
    </w:p>
    <w:p>
      <w:pPr>
        <w:keepNext/>
        <w:keepLines/>
        <w:spacing w:before="276" w:after="0" w:line="276" w:lineRule="exact"/>
        <w:ind w:left="4680" w:firstLine="0"/>
        <w:jc w:val="left"/>
      </w:pPr>
      <w:r>
        <w:t xml:space="preserve">THE</w:t>
      </w:r>
      <w:r>
        <w:t xml:space="preserve"> </w:t>
      </w:r>
      <w:r>
        <w:t xml:space="preserve">STATE</w:t>
      </w:r>
      <w:r>
        <w:t xml:space="preserve"> </w:t>
      </w:r>
      <w:r>
        <w:t xml:space="preserve">OF</w:t>
      </w:r>
      <w:r>
        <w:t xml:space="preserve"> </w:t>
      </w:r>
      <w:r>
        <w:t xml:space="preserve">WEST</w:t>
      </w:r>
      <w:r>
        <w:t xml:space="preserve"> </w:t>
      </w:r>
      <w:r>
        <w:t xml:space="preserve">VIRGINIA</w:t>
      </w:r>
    </w:p>
    <w:p>
      <w:pPr>
        <w:keepNext/>
        <w:keepLines/>
        <w:spacing w:before="0" w:after="0" w:line="276" w:lineRule="exact"/>
        <w:ind w:left="4680" w:firstLine="0"/>
        <w:jc w:val="left"/>
      </w:pPr>
      <w:r>
        <w:t xml:space="preserve">PATRICK</w:t>
      </w:r>
      <w:r>
        <w:t xml:space="preserve"> </w:t>
      </w:r>
      <w:r>
        <w:t xml:space="preserve">MORRISEY</w:t>
      </w:r>
    </w:p>
    <w:p>
      <w:pPr>
        <w:keepNext/>
        <w:keepLines/>
        <w:spacing w:before="0" w:after="0" w:line="276" w:lineRule="exact"/>
        <w:ind w:left="4680" w:firstLine="0"/>
        <w:jc w:val="left"/>
      </w:pPr>
      <w:r>
        <w:t xml:space="preserve">ATTORNEY</w:t>
      </w:r>
      <w:r>
        <w:t xml:space="preserve"> </w:t>
      </w:r>
      <w:r>
        <w:t xml:space="preserve">GENERAL</w:t>
      </w:r>
    </w:p>
    <w:p>
      <w:pPr>
        <w:keepNext/>
        <w:keepLines/>
        <w:spacing w:before="276" w:after="0" w:line="276" w:lineRule="exact"/>
        <w:ind w:left="4680" w:firstLine="0"/>
        <w:jc w:val="left"/>
      </w:pPr>
      <w:r>
        <w:t xml:space="preserve">/​s/</w:t>
      </w:r>
      <w:r>
        <w:t xml:space="preserve"> </w:t>
      </w:r>
      <w:r>
        <w:t xml:space="preserve">Michael</w:t>
      </w:r>
      <w:r>
        <w:t xml:space="preserve"> </w:t>
      </w:r>
      <w:r>
        <w:t xml:space="preserve">R.</w:t>
      </w:r>
      <w:r>
        <w:t xml:space="preserve"> </w:t>
      </w:r>
      <w:r>
        <w:t xml:space="preserve">Williams</w:t>
      </w:r>
    </w:p>
    <w:p>
      <w:pPr>
        <w:keepNext/>
        <w:keepLines/>
        <w:spacing w:before="0" w:after="0" w:line="276" w:lineRule="exact"/>
        <w:ind w:left="4680" w:firstLine="0"/>
        <w:jc w:val="left"/>
      </w:pPr>
      <w:r>
        <w:t xml:space="preserve">Michael</w:t>
      </w:r>
      <w:r>
        <w:t xml:space="preserve"> </w:t>
      </w:r>
      <w:r>
        <w:t xml:space="preserve">R.</w:t>
      </w:r>
      <w:r>
        <w:t xml:space="preserve"> </w:t>
      </w:r>
      <w:r>
        <w:t xml:space="preserve">Williams</w:t>
      </w:r>
      <w:r>
        <w:t xml:space="preserve"> </w:t>
      </w:r>
      <w:r>
        <w:t xml:space="preserve">(WV</w:t>
      </w:r>
      <w:r>
        <w:t xml:space="preserve"> </w:t>
      </w:r>
      <w:r>
        <w:t xml:space="preserve">Bar</w:t>
      </w:r>
      <w:r>
        <w:t xml:space="preserve"> </w:t>
      </w:r>
      <w:r>
        <w:t xml:space="preserve">#</w:t>
      </w:r>
      <w:r>
        <w:t xml:space="preserve"> </w:t>
      </w:r>
      <w:r>
        <w:t xml:space="preserve">14148)</w:t>
      </w:r>
    </w:p>
    <w:p>
      <w:pPr>
        <w:keepNext/>
        <w:keepLines/>
        <w:spacing w:before="0" w:after="0" w:line="276" w:lineRule="exact"/>
        <w:ind w:left="4680" w:firstLine="0"/>
        <w:jc w:val="left"/>
      </w:pPr>
      <w:r>
        <w:t xml:space="preserve">Principal</w:t>
      </w:r>
      <w:r>
        <w:t xml:space="preserve"> </w:t>
      </w:r>
      <w:r>
        <w:t xml:space="preserve">Deputy</w:t>
      </w:r>
      <w:r>
        <w:t xml:space="preserve"> </w:t>
      </w:r>
      <w:r>
        <w:t xml:space="preserve">Solicitor</w:t>
      </w:r>
      <w:r>
        <w:t xml:space="preserve"> </w:t>
      </w:r>
      <w:r>
        <w:t xml:space="preserve">General</w:t>
      </w:r>
    </w:p>
    <w:p>
      <w:pPr>
        <w:keepNext/>
        <w:keepLines/>
        <w:spacing w:before="0" w:after="0" w:line="276" w:lineRule="exact"/>
        <w:ind w:left="4680" w:firstLine="0"/>
        <w:jc w:val="left"/>
      </w:pPr>
      <w:r>
        <w:t xml:space="preserve">David</w:t>
      </w:r>
      <w:r>
        <w:t xml:space="preserve"> </w:t>
      </w:r>
      <w:r>
        <w:t xml:space="preserve">E.</w:t>
      </w:r>
      <w:r>
        <w:t xml:space="preserve"> </w:t>
      </w:r>
      <w:r>
        <w:t xml:space="preserve">Gilbert</w:t>
      </w:r>
      <w:r>
        <w:t xml:space="preserve"> </w:t>
      </w:r>
      <w:r>
        <w:t xml:space="preserve">(WV</w:t>
      </w:r>
      <w:r>
        <w:t xml:space="preserve"> </w:t>
      </w:r>
      <w:r>
        <w:t xml:space="preserve">Bar</w:t>
      </w:r>
      <w:r>
        <w:t xml:space="preserve"> </w:t>
      </w:r>
      <w:r>
        <w:t xml:space="preserve">#</w:t>
      </w:r>
      <w:r>
        <w:t xml:space="preserve"> </w:t>
      </w:r>
      <w:r>
        <w:t xml:space="preserve">12157)</w:t>
      </w:r>
    </w:p>
    <w:p>
      <w:pPr>
        <w:keepNext/>
        <w:keepLines/>
        <w:spacing w:before="0" w:after="0" w:line="276" w:lineRule="exact"/>
        <w:ind w:left="4680" w:firstLine="0"/>
        <w:jc w:val="left"/>
      </w:pPr>
      <w:r>
        <w:t xml:space="preserve">Deputy</w:t>
      </w:r>
      <w:r>
        <w:t xml:space="preserve"> </w:t>
      </w:r>
      <w:r>
        <w:t xml:space="preserve">Attorney</w:t>
      </w:r>
      <w:r>
        <w:t xml:space="preserve"> </w:t>
      </w:r>
      <w:r>
        <w:t xml:space="preserve">General</w:t>
      </w:r>
    </w:p>
    <w:p>
      <w:pPr>
        <w:keepNext/>
        <w:keepLines/>
        <w:spacing w:before="0" w:after="0" w:line="276" w:lineRule="exact"/>
        <w:ind w:left="4680" w:firstLine="0"/>
        <w:jc w:val="left"/>
      </w:pPr>
      <w:r>
        <w:t xml:space="preserve">State</w:t>
      </w:r>
      <w:r>
        <w:t xml:space="preserve"> </w:t>
      </w:r>
      <w:r>
        <w:t xml:space="preserve">Capitol</w:t>
      </w:r>
      <w:r>
        <w:t xml:space="preserve"> </w:t>
      </w:r>
      <w:r>
        <w:t xml:space="preserve">Complex</w:t>
      </w:r>
    </w:p>
    <w:p>
      <w:pPr>
        <w:keepNext/>
        <w:keepLines/>
        <w:spacing w:before="0" w:after="0" w:line="276" w:lineRule="exact"/>
        <w:ind w:left="4680" w:firstLine="0"/>
        <w:jc w:val="left"/>
      </w:pPr>
      <w:r>
        <w:t xml:space="preserve">Building</w:t>
      </w:r>
      <w:r>
        <w:t xml:space="preserve"> </w:t>
      </w:r>
      <w:r>
        <w:t xml:space="preserve">1,</w:t>
      </w:r>
      <w:r>
        <w:t xml:space="preserve"> </w:t>
      </w:r>
      <w:r>
        <w:t xml:space="preserve">Room</w:t>
      </w:r>
      <w:r>
        <w:t xml:space="preserve"> </w:t>
      </w:r>
      <w:r>
        <w:t xml:space="preserve">E</w:t>
        <w:noBreakHyphen/>
        <w:t xml:space="preserve">26</w:t>
      </w:r>
    </w:p>
    <w:p>
      <w:pPr>
        <w:keepNext/>
        <w:keepLines/>
        <w:spacing w:before="0" w:after="0" w:line="276" w:lineRule="exact"/>
        <w:ind w:left="4680" w:firstLine="0"/>
        <w:jc w:val="left"/>
      </w:pPr>
      <w:r>
        <w:t xml:space="preserve">michael.r.williams@wvago.gov</w:t>
      </w:r>
    </w:p>
    <w:p>
      <w:pPr>
        <w:keepNext/>
        <w:keepLines/>
        <w:spacing w:before="0" w:after="0" w:line="276" w:lineRule="exact"/>
        <w:ind w:left="4680" w:firstLine="0"/>
        <w:jc w:val="left"/>
      </w:pPr>
      <w:r>
        <w:t xml:space="preserve">david.e.gilbert@wvago.gov</w:t>
      </w:r>
    </w:p>
    <w:p>
      <w:pPr>
        <w:keepNext/>
        <w:keepLines/>
        <w:spacing w:before="0" w:after="0" w:line="276" w:lineRule="exact"/>
        <w:ind w:left="4680" w:firstLine="0"/>
        <w:jc w:val="left"/>
      </w:pPr>
      <w:r>
        <w:t xml:space="preserve">Telephone:</w:t>
      </w:r>
      <w:r>
        <w:t xml:space="preserve"> </w:t>
      </w:r>
      <w:r>
        <w:t xml:space="preserve">(304)</w:t>
      </w:r>
      <w:r>
        <w:t xml:space="preserve"> </w:t>
      </w:r>
      <w:r>
        <w:t xml:space="preserve">558</w:t>
        <w:noBreakHyphen/>
        <w:t xml:space="preserve">2021</w:t>
      </w:r>
    </w:p>
    <w:p>
      <w:pPr>
        <w:spacing w:before="0" w:after="0" w:line="276" w:lineRule="exact"/>
        <w:ind w:left="4680" w:firstLine="0"/>
        <w:jc w:val="left"/>
      </w:pPr>
      <w:r>
        <w:t xml:space="preserve">Facsimile:</w:t>
      </w:r>
      <w:r>
        <w:t xml:space="preserve"> </w:t>
      </w:r>
      <w:r>
        <w:t xml:space="preserve">(304)</w:t>
      </w:r>
      <w:r>
        <w:t xml:space="preserve"> </w:t>
      </w:r>
      <w:r>
        <w:t xml:space="preserve">558</w:t>
        <w:noBreakHyphen/>
        <w:t xml:space="preserve">0140</w:t>
      </w:r>
    </w:p>
    <w:sectPr>
      <w:footerReference w:type="default" r:id="rIdFtrWvsd"/>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Many read this language to leave room for court involvement if Congress passes enabling legislation providing for that involvement. But as explained below, even that gloss ultimately doesn’t help Castro because no such legislation exists.</w:t>
      </w:r>
    </w:p>
  </w:footnote>
  <w:footnote w:id="10">
    <w:p>
      <w:pPr>
        <w:pStyle w:val="FootnoteText"/>
      </w:pPr>
      <w:r>
        <w:rPr>
          <w:rStyle w:val="FootnoteReference"/>
        </w:rPr>
        <w:footnoteRef/>
      </w:r>
      <w:r>
        <w:t xml:space="preserve"> </w:t>
      </w:r>
      <w:r>
        <w:t xml:space="preserve">In Cawthorn, the Fourth Circuit held that an 1872 Act of Congress did not prospectively remove any political disability imposed by the Fourteenth Amendment, but it did not address whether qualification under Section 3 of the Fourteenth Amendment would itself present a political question. See Cawthorn, 35 F.4th at 257.</w:t>
      </w:r>
    </w:p>
  </w:footnote>
  <w:footnote w:id="11">
    <w:p>
      <w:pPr>
        <w:pStyle w:val="FootnoteText"/>
      </w:pPr>
      <w:r>
        <w:rPr>
          <w:rStyle w:val="FootnoteReference"/>
        </w:rPr>
        <w:footnoteRef/>
      </w:r>
      <w:r>
        <w:t xml:space="preserve"> </w:t>
      </w:r>
      <w:r>
        <w:t xml:space="preserve">As explained further below, Section 3 of the Fourteenth Amendment does not actually apply to a former President. So truth be told, even Congress has no role to play when it comes to deciding whether a former president is a so-called insurrectionist or the like.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Wvsd"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