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t xml:space="preserve">No.</w:t>
      </w:r>
      <w:r>
        <w:t xml:space="preserve"> </w:t>
      </w:r>
      <w:r>
        <w:t xml:space="preserve">21-⁠1397</w:t>
      </w:r>
    </w:p>
    <w:p>
      <w:pPr>
        <w:spacing w:before="1296" w:after="0" w:line="280" w:lineRule="exact"/>
        <w:ind w:left="0" w:firstLine="0"/>
        <w:jc w:val="center"/>
      </w:pPr>
      <w:r>
        <w:t xml:space="preserve">IN THE</w:t>
      </w:r>
    </w:p>
    <w:p>
      <w:pPr>
        <w:spacing w:before="48" w:after="0" w:line="280" w:lineRule="exact"/>
        <w:ind w:left="0" w:firstLine="0"/>
        <w:jc w:val="center"/>
      </w:pPr>
      <w:r>
        <w:t xml:space="preserve">Supreme Court of the United States</w:t>
      </w:r>
    </w:p>
    <w:p>
      <w:pPr>
        <w:pBdr>
          <w:bottom w:val="single" w:sz="5" w:space="0" w:color="000000"/>
        </w:pBdr>
        <w:spacing w:before="144" w:after="0" w:line="20" w:lineRule="exact"/>
        <w:ind w:left="0" w:firstLine="0"/>
      </w:pPr>
    </w:p>
    <w:p>
      <w:pPr>
        <w:spacing w:before="144" w:after="0" w:line="280" w:lineRule="exact"/>
        <w:ind w:left="0" w:firstLine="0"/>
        <w:jc w:val="center"/>
      </w:pPr>
      <w:r>
        <w:t xml:space="preserve">IN</w:t>
      </w:r>
      <w:r>
        <w:t xml:space="preserve"> </w:t>
      </w:r>
      <w:r>
        <w:t xml:space="preserve">RE</w:t>
      </w:r>
      <w:r>
        <w:t xml:space="preserve"> </w:t>
      </w:r>
      <w:r>
        <w:t xml:space="preserve">GRAND</w:t>
      </w:r>
      <w:r>
        <w:t xml:space="preserve"> </w:t>
      </w:r>
      <w:r>
        <w:t xml:space="preserve">JURY</w:t>
      </w:r>
    </w:p>
    <w:p>
      <w:pPr>
        <w:pBdr>
          <w:bottom w:val="single" w:sz="5" w:space="0" w:color="000000"/>
        </w:pBdr>
        <w:spacing w:before="144" w:after="0" w:line="20" w:lineRule="exact"/>
        <w:ind w:left="0" w:firstLine="0"/>
      </w:pPr>
    </w:p>
    <w:p>
      <w:pPr>
        <w:spacing w:before="144" w:after="0" w:line="280" w:lineRule="exact"/>
        <w:ind w:left="0" w:firstLine="0"/>
        <w:jc w:val="center"/>
      </w:pPr>
      <w:r>
        <w:t xml:space="preserve">On</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Court</w:t>
      </w:r>
      <w:r>
        <w:t xml:space="preserve"> </w:t>
      </w:r>
      <w:r>
        <w:t xml:space="preserve">of</w:t>
      </w:r>
      <w:r>
        <w:t xml:space="preserve"> </w:t>
      </w:r>
      <w:r>
        <w:t xml:space="preserve">Appeals</w:t>
      </w:r>
      <w:r>
        <w:t xml:space="preserve"> </w:t>
      </w:r>
      <w:r>
        <w:t xml:space="preserve">for</w:t>
      </w:r>
      <w:r>
        <w:t xml:space="preserve"> </w:t>
      </w:r>
      <w:r>
        <w:t xml:space="preserve">the</w:t>
      </w:r>
      <w:r>
        <w:t xml:space="preserve"> </w:t>
      </w:r>
      <w:r>
        <w:t xml:space="preserve">Ninth</w:t>
      </w:r>
      <w:r>
        <w:t xml:space="preserve"> </w:t>
      </w:r>
      <w:r>
        <w:t xml:space="preserve">Circuit</w:t>
      </w:r>
    </w:p>
    <w:p>
      <w:pPr>
        <w:spacing w:before="144" w:after="0" w:line="280"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PETITIONER</w:t>
      </w:r>
    </w:p>
    <w:tbl>
      <w:tblPr>
        <w:tblpPr w:leftFromText="0" w:rightFromText="0" w:vertAnchor="margin" w:horzAnchor="margin" w:tblpYSpec="bottom"/>
        <w:tblW w:w="5940" w:type="dxa"/>
        <w:tblLayout w:type="fixed"/>
        <w:tblCellMar>
          <w:top w:w="0" w:type="dxa"/>
          <w:left w:w="0" w:type="dxa"/>
          <w:bottom w:w="0" w:type="dxa"/>
          <w:right w:w="0" w:type="dxa"/>
        </w:tblCellMar>
      </w:tblPr>
      <w:tblGrid>
        <w:gridCol w:w="2790"/>
        <w:gridCol w:w="360"/>
        <w:gridCol w:w="2790"/>
      </w:tblGrid>
      <w:tr>
        <w:trPr>
          <w:cantSplit/>
        </w:trPr>
        <w:tc>
          <w:tcPr>
            <w:tcW w:w="2790" w:type="dxa"/>
          </w:tcPr>
          <w:p>
            <w:pPr>
              <w:spacing w:before="0" w:after="0" w:line="240" w:lineRule="exact"/>
              <w:ind w:left="0" w:firstLine="0"/>
            </w:pPr>
            <w:r>
              <w:rPr>
                <w:sz w:val="20"/>
                <w:szCs w:val="20"/>
              </w:rPr>
              <w:t xml:space="preserve">Daniel</w:t>
            </w:r>
            <w:r>
              <w:rPr>
                <w:sz w:val="20"/>
                <w:szCs w:val="20"/>
              </w:rPr>
              <w:t xml:space="preserve"> </w:t>
            </w:r>
            <w:r>
              <w:rPr>
                <w:sz w:val="20"/>
                <w:szCs w:val="20"/>
              </w:rPr>
              <w:t xml:space="preserve">B.</w:t>
            </w:r>
            <w:r>
              <w:rPr>
                <w:sz w:val="20"/>
                <w:szCs w:val="20"/>
              </w:rPr>
              <w:t xml:space="preserve"> </w:t>
            </w:r>
            <w:r>
              <w:rPr>
                <w:sz w:val="20"/>
                <w:szCs w:val="20"/>
              </w:rPr>
              <w:t xml:space="preserve">Levin</w:t>
            </w:r>
          </w:p>
          <w:p>
            <w:pPr>
              <w:spacing w:before="0" w:after="0" w:line="240" w:lineRule="exact"/>
              <w:ind w:left="0" w:firstLine="0"/>
            </w:pPr>
            <w:r>
              <w:rPr>
                <w:i/>
                <w:iCs/>
                <w:sz w:val="20"/>
                <w:szCs w:val="20"/>
              </w:rPr>
              <w:t xml:space="preserve">Counsel</w:t>
            </w:r>
            <w:r>
              <w:rPr>
                <w:i/>
                <w:iCs/>
                <w:sz w:val="20"/>
                <w:szCs w:val="20"/>
              </w:rPr>
              <w:t xml:space="preserve"> </w:t>
            </w:r>
            <w:r>
              <w:rPr>
                <w:i/>
                <w:iCs/>
                <w:sz w:val="20"/>
                <w:szCs w:val="20"/>
              </w:rPr>
              <w:t xml:space="preserve">of</w:t>
            </w:r>
            <w:r>
              <w:rPr>
                <w:i/>
                <w:iCs/>
                <w:sz w:val="20"/>
                <w:szCs w:val="20"/>
              </w:rPr>
              <w:t xml:space="preserve"> </w:t>
            </w:r>
            <w:r>
              <w:rPr>
                <w:i/>
                <w:iCs/>
                <w:sz w:val="20"/>
                <w:szCs w:val="20"/>
              </w:rPr>
              <w:t xml:space="preserve">Record</w:t>
            </w:r>
          </w:p>
          <w:p>
            <w:pPr>
              <w:spacing w:before="0" w:after="0" w:line="240" w:lineRule="exact"/>
              <w:ind w:left="0" w:firstLine="0"/>
            </w:pPr>
            <w:r>
              <w:rPr>
                <w:i/>
                <w:iCs/>
                <w:sz w:val="20"/>
                <w:szCs w:val="20"/>
              </w:rPr>
              <w:t xml:space="preserve">MUNGER,</w:t>
            </w:r>
            <w:r>
              <w:rPr>
                <w:i/>
                <w:iCs/>
                <w:sz w:val="20"/>
                <w:szCs w:val="20"/>
              </w:rPr>
              <w:t xml:space="preserve"> </w:t>
            </w:r>
            <w:r>
              <w:rPr>
                <w:i/>
                <w:iCs/>
                <w:sz w:val="20"/>
                <w:szCs w:val="20"/>
              </w:rPr>
              <w:t xml:space="preserve">TOLLES</w:t>
            </w:r>
            <w:r>
              <w:rPr>
                <w:i/>
                <w:iCs/>
                <w:sz w:val="20"/>
                <w:szCs w:val="20"/>
              </w:rPr>
              <w:t xml:space="preserve"> </w:t>
            </w:r>
            <w:r>
              <w:rPr>
                <w:i/>
                <w:iCs/>
                <w:sz w:val="20"/>
                <w:szCs w:val="20"/>
              </w:rPr>
              <w:t xml:space="preserve">&amp;</w:t>
            </w:r>
            <w:r>
              <w:rPr>
                <w:i/>
                <w:iCs/>
                <w:sz w:val="20"/>
                <w:szCs w:val="20"/>
              </w:rPr>
              <w:t xml:space="preserve"> </w:t>
            </w:r>
            <w:r>
              <w:rPr>
                <w:i/>
                <w:iCs/>
                <w:sz w:val="20"/>
                <w:szCs w:val="20"/>
              </w:rPr>
              <w:t xml:space="preserve">OLSON</w:t>
            </w:r>
            <w:r>
              <w:rPr>
                <w:i/>
                <w:iCs/>
                <w:sz w:val="20"/>
                <w:szCs w:val="20"/>
              </w:rPr>
              <w:t xml:space="preserve"> </w:t>
            </w:r>
            <w:r>
              <w:rPr>
                <w:i/>
                <w:iCs/>
                <w:sz w:val="20"/>
                <w:szCs w:val="20"/>
              </w:rPr>
              <w:t xml:space="preserve">LLP</w:t>
            </w:r>
          </w:p>
          <w:p>
            <w:pPr>
              <w:spacing w:before="0" w:after="0" w:line="240" w:lineRule="exact"/>
              <w:ind w:left="0" w:firstLine="0"/>
            </w:pPr>
            <w:r>
              <w:rPr>
                <w:i/>
                <w:iCs/>
                <w:sz w:val="20"/>
                <w:szCs w:val="20"/>
              </w:rPr>
              <w:t xml:space="preserve">350</w:t>
            </w:r>
            <w:r>
              <w:rPr>
                <w:i/>
                <w:iCs/>
                <w:sz w:val="20"/>
                <w:szCs w:val="20"/>
              </w:rPr>
              <w:t xml:space="preserve"> </w:t>
            </w:r>
            <w:r>
              <w:rPr>
                <w:i/>
                <w:iCs/>
                <w:sz w:val="20"/>
                <w:szCs w:val="20"/>
              </w:rPr>
              <w:t xml:space="preserve">South</w:t>
            </w:r>
            <w:r>
              <w:rPr>
                <w:i/>
                <w:iCs/>
                <w:sz w:val="20"/>
                <w:szCs w:val="20"/>
              </w:rPr>
              <w:t xml:space="preserve"> </w:t>
            </w:r>
            <w:r>
              <w:rPr>
                <w:i/>
                <w:iCs/>
                <w:sz w:val="20"/>
                <w:szCs w:val="20"/>
              </w:rPr>
              <w:t xml:space="preserve">Grand</w:t>
            </w:r>
            <w:r>
              <w:rPr>
                <w:i/>
                <w:iCs/>
                <w:sz w:val="20"/>
                <w:szCs w:val="20"/>
              </w:rPr>
              <w:t xml:space="preserve"> </w:t>
            </w:r>
            <w:r>
              <w:rPr>
                <w:i/>
                <w:iCs/>
                <w:sz w:val="20"/>
                <w:szCs w:val="20"/>
              </w:rPr>
              <w:t xml:space="preserve">Avenue,</w:t>
            </w:r>
            <w:r>
              <w:rPr>
                <w:i/>
                <w:iCs/>
                <w:sz w:val="20"/>
                <w:szCs w:val="20"/>
              </w:rPr>
              <w:t xml:space="preserve"> </w:t>
            </w:r>
            <w:r>
              <w:rPr>
                <w:i/>
                <w:iCs/>
                <w:sz w:val="20"/>
                <w:szCs w:val="20"/>
              </w:rPr>
              <w:t xml:space="preserve">50th</w:t>
            </w:r>
            <w:r>
              <w:rPr>
                <w:i/>
                <w:iCs/>
                <w:sz w:val="20"/>
                <w:szCs w:val="20"/>
              </w:rPr>
              <w:t xml:space="preserve"> </w:t>
            </w:r>
            <w:r>
              <w:rPr>
                <w:i/>
                <w:iCs/>
                <w:sz w:val="20"/>
                <w:szCs w:val="20"/>
              </w:rPr>
              <w:t xml:space="preserve">Floor</w:t>
            </w:r>
          </w:p>
          <w:p>
            <w:pPr>
              <w:spacing w:before="0" w:after="0" w:line="240" w:lineRule="exact"/>
              <w:ind w:left="0" w:firstLine="0"/>
            </w:pPr>
            <w:r>
              <w:rPr>
                <w:i/>
                <w:iCs/>
                <w:sz w:val="20"/>
                <w:szCs w:val="20"/>
              </w:rPr>
              <w:t xml:space="preserve">Los</w:t>
            </w:r>
            <w:r>
              <w:rPr>
                <w:i/>
                <w:iCs/>
                <w:sz w:val="20"/>
                <w:szCs w:val="20"/>
              </w:rPr>
              <w:t xml:space="preserve"> </w:t>
            </w:r>
            <w:r>
              <w:rPr>
                <w:i/>
                <w:iCs/>
                <w:sz w:val="20"/>
                <w:szCs w:val="20"/>
              </w:rPr>
              <w:t xml:space="preserve">Angeles,</w:t>
            </w:r>
            <w:r>
              <w:rPr>
                <w:i/>
                <w:iCs/>
                <w:sz w:val="20"/>
                <w:szCs w:val="20"/>
              </w:rPr>
              <w:t xml:space="preserve"> </w:t>
            </w:r>
            <w:r>
              <w:rPr>
                <w:i/>
                <w:iCs/>
                <w:sz w:val="20"/>
                <w:szCs w:val="20"/>
              </w:rPr>
              <w:t xml:space="preserve">CA</w:t>
            </w:r>
            <w:r>
              <w:rPr>
                <w:i/>
                <w:iCs/>
                <w:sz w:val="20"/>
                <w:szCs w:val="20"/>
              </w:rPr>
              <w:t xml:space="preserve"> </w:t>
            </w:r>
            <w:r>
              <w:rPr>
                <w:i/>
                <w:iCs/>
                <w:sz w:val="20"/>
                <w:szCs w:val="20"/>
              </w:rPr>
              <w:t xml:space="preserve">90071-⁠3426</w:t>
            </w:r>
          </w:p>
          <w:p>
            <w:pPr>
              <w:spacing w:before="0" w:after="0" w:line="240" w:lineRule="exact"/>
              <w:ind w:left="0" w:firstLine="0"/>
            </w:pPr>
            <w:r>
              <w:rPr>
                <w:i/>
                <w:iCs/>
                <w:sz w:val="20"/>
                <w:szCs w:val="20"/>
              </w:rPr>
              <w:t xml:space="preserve">(213)</w:t>
            </w:r>
            <w:r>
              <w:rPr>
                <w:i/>
                <w:iCs/>
                <w:sz w:val="20"/>
                <w:szCs w:val="20"/>
              </w:rPr>
              <w:t xml:space="preserve"> </w:t>
            </w:r>
            <w:r>
              <w:rPr>
                <w:i/>
                <w:iCs/>
                <w:sz w:val="20"/>
                <w:szCs w:val="20"/>
              </w:rPr>
              <w:t xml:space="preserve">683-⁠9135</w:t>
            </w:r>
          </w:p>
          <w:p>
            <w:pPr>
              <w:spacing w:before="0" w:after="0" w:line="240" w:lineRule="exact"/>
              <w:ind w:left="0" w:firstLine="0"/>
            </w:pPr>
            <w:r>
              <w:rPr>
                <w:i/>
                <w:iCs/>
                <w:sz w:val="20"/>
                <w:szCs w:val="20"/>
              </w:rPr>
              <w:t xml:space="preserve">Daniel.Levin@mto.com</w:t>
            </w:r>
          </w:p>
        </w:tc>
        <w:tc>
          <w:tcPr>
            <w:tcW w:w="360" w:type="dxa"/>
          </w:tcPr>
          <w:p>
            <w:pPr>
              <w:spacing w:before="0" w:after="0" w:line="240" w:lineRule="exact"/>
            </w:pPr>
          </w:p>
        </w:tc>
        <w:tc>
          <w:tcPr>
            <w:tcW w:w="2790" w:type="dxa"/>
          </w:tcPr>
          <w:p>
            <w:pPr>
              <w:spacing w:before="0" w:after="0" w:line="240" w:lineRule="exact"/>
              <w:ind w:left="0" w:firstLine="0"/>
            </w:pPr>
            <w:r>
              <w:rPr>
                <w:sz w:val="20"/>
                <w:szCs w:val="20"/>
              </w:rPr>
              <w:t xml:space="preserve">Donald</w:t>
            </w:r>
            <w:r>
              <w:rPr>
                <w:sz w:val="20"/>
                <w:szCs w:val="20"/>
              </w:rPr>
              <w:t xml:space="preserve"> </w:t>
            </w:r>
            <w:r>
              <w:rPr>
                <w:sz w:val="20"/>
                <w:szCs w:val="20"/>
              </w:rPr>
              <w:t xml:space="preserve">B.</w:t>
            </w:r>
            <w:r>
              <w:rPr>
                <w:sz w:val="20"/>
                <w:szCs w:val="20"/>
              </w:rPr>
              <w:t xml:space="preserve"> </w:t>
            </w:r>
            <w:r>
              <w:rPr>
                <w:sz w:val="20"/>
                <w:szCs w:val="20"/>
              </w:rPr>
              <w:t xml:space="preserve">Verrilli,</w:t>
            </w:r>
            <w:r>
              <w:rPr>
                <w:sz w:val="20"/>
                <w:szCs w:val="20"/>
              </w:rPr>
              <w:t xml:space="preserve"> </w:t>
            </w:r>
            <w:r>
              <w:rPr>
                <w:sz w:val="20"/>
                <w:szCs w:val="20"/>
              </w:rPr>
              <w:t xml:space="preserve">Jr.</w:t>
            </w:r>
          </w:p>
          <w:p>
            <w:pPr>
              <w:spacing w:before="0" w:after="0" w:line="240" w:lineRule="exact"/>
              <w:ind w:left="0" w:firstLine="0"/>
            </w:pPr>
            <w:r>
              <w:rPr>
                <w:i/>
                <w:iCs/>
                <w:sz w:val="20"/>
                <w:szCs w:val="20"/>
              </w:rPr>
              <w:t xml:space="preserve">MUNGER,</w:t>
            </w:r>
            <w:r>
              <w:rPr>
                <w:i/>
                <w:iCs/>
                <w:sz w:val="20"/>
                <w:szCs w:val="20"/>
              </w:rPr>
              <w:t xml:space="preserve"> </w:t>
            </w:r>
            <w:r>
              <w:rPr>
                <w:i/>
                <w:iCs/>
                <w:sz w:val="20"/>
                <w:szCs w:val="20"/>
              </w:rPr>
              <w:t xml:space="preserve">TOLLES</w:t>
            </w:r>
            <w:r>
              <w:rPr>
                <w:i/>
                <w:iCs/>
                <w:sz w:val="20"/>
                <w:szCs w:val="20"/>
              </w:rPr>
              <w:t xml:space="preserve"> </w:t>
            </w:r>
            <w:r>
              <w:rPr>
                <w:i/>
                <w:iCs/>
                <w:sz w:val="20"/>
                <w:szCs w:val="20"/>
              </w:rPr>
              <w:t xml:space="preserve">&amp;</w:t>
            </w:r>
            <w:r>
              <w:rPr>
                <w:i/>
                <w:iCs/>
                <w:sz w:val="20"/>
                <w:szCs w:val="20"/>
              </w:rPr>
              <w:t xml:space="preserve"> </w:t>
            </w:r>
            <w:r>
              <w:rPr>
                <w:i/>
                <w:iCs/>
                <w:sz w:val="20"/>
                <w:szCs w:val="20"/>
              </w:rPr>
              <w:t xml:space="preserve">OLSON</w:t>
            </w:r>
            <w:r>
              <w:rPr>
                <w:i/>
                <w:iCs/>
                <w:sz w:val="20"/>
                <w:szCs w:val="20"/>
              </w:rPr>
              <w:t xml:space="preserve"> </w:t>
            </w:r>
            <w:r>
              <w:rPr>
                <w:i/>
                <w:iCs/>
                <w:sz w:val="20"/>
                <w:szCs w:val="20"/>
              </w:rPr>
              <w:t xml:space="preserve">LLP</w:t>
            </w:r>
          </w:p>
          <w:p>
            <w:pPr>
              <w:spacing w:before="0" w:after="0" w:line="240" w:lineRule="exact"/>
              <w:ind w:left="0" w:firstLine="0"/>
            </w:pPr>
            <w:r>
              <w:rPr>
                <w:i/>
                <w:iCs/>
                <w:sz w:val="20"/>
                <w:szCs w:val="20"/>
              </w:rPr>
              <w:t xml:space="preserve">601</w:t>
            </w:r>
            <w:r>
              <w:rPr>
                <w:i/>
                <w:iCs/>
                <w:sz w:val="20"/>
                <w:szCs w:val="20"/>
              </w:rPr>
              <w:t xml:space="preserve"> </w:t>
            </w:r>
            <w:r>
              <w:rPr>
                <w:i/>
                <w:iCs/>
                <w:sz w:val="20"/>
                <w:szCs w:val="20"/>
              </w:rPr>
              <w:t xml:space="preserve">Massachusetts</w:t>
            </w:r>
            <w:r>
              <w:rPr>
                <w:i/>
                <w:iCs/>
                <w:sz w:val="20"/>
                <w:szCs w:val="20"/>
              </w:rPr>
              <w:t xml:space="preserve"> </w:t>
            </w:r>
            <w:r>
              <w:rPr>
                <w:i/>
                <w:iCs/>
                <w:sz w:val="20"/>
                <w:szCs w:val="20"/>
              </w:rPr>
              <w:t xml:space="preserve">Ave.</w:t>
            </w:r>
            <w:r>
              <w:rPr>
                <w:i/>
                <w:iCs/>
                <w:sz w:val="20"/>
                <w:szCs w:val="20"/>
              </w:rPr>
              <w:t xml:space="preserve"> </w:t>
            </w:r>
            <w:r>
              <w:rPr>
                <w:i/>
                <w:iCs/>
                <w:sz w:val="20"/>
                <w:szCs w:val="20"/>
              </w:rPr>
              <w:t xml:space="preserve">NW,</w:t>
            </w:r>
            <w:r>
              <w:rPr>
                <w:i/>
                <w:iCs/>
                <w:sz w:val="20"/>
                <w:szCs w:val="20"/>
              </w:rPr>
              <w:t xml:space="preserve"> </w:t>
            </w:r>
            <w:r>
              <w:rPr>
                <w:i/>
                <w:iCs/>
                <w:sz w:val="20"/>
                <w:szCs w:val="20"/>
              </w:rPr>
              <w:t xml:space="preserve">Suite</w:t>
            </w:r>
            <w:r>
              <w:rPr>
                <w:i/>
                <w:iCs/>
                <w:sz w:val="20"/>
                <w:szCs w:val="20"/>
              </w:rPr>
              <w:t xml:space="preserve"> </w:t>
            </w:r>
            <w:r>
              <w:rPr>
                <w:i/>
                <w:iCs/>
                <w:sz w:val="20"/>
                <w:szCs w:val="20"/>
              </w:rPr>
              <w:t xml:space="preserve">500E</w:t>
            </w:r>
          </w:p>
          <w:p>
            <w:pPr>
              <w:spacing w:before="0" w:after="0" w:line="240" w:lineRule="exact"/>
              <w:ind w:left="0" w:firstLine="0"/>
            </w:pPr>
            <w:r>
              <w:rPr>
                <w:i/>
                <w:iCs/>
                <w:sz w:val="20"/>
                <w:szCs w:val="20"/>
              </w:rPr>
              <w:t xml:space="preserve">Washington,</w:t>
            </w:r>
            <w:r>
              <w:rPr>
                <w:i/>
                <w:iCs/>
                <w:sz w:val="20"/>
                <w:szCs w:val="20"/>
              </w:rPr>
              <w:t xml:space="preserve"> </w:t>
            </w:r>
            <w:r>
              <w:rPr>
                <w:i/>
                <w:iCs/>
                <w:sz w:val="20"/>
                <w:szCs w:val="20"/>
              </w:rPr>
              <w:t xml:space="preserve">DC</w:t>
            </w:r>
            <w:r>
              <w:rPr>
                <w:i/>
                <w:iCs/>
                <w:sz w:val="20"/>
                <w:szCs w:val="20"/>
              </w:rPr>
              <w:t xml:space="preserve"> </w:t>
            </w:r>
            <w:r>
              <w:rPr>
                <w:i/>
                <w:iCs/>
                <w:sz w:val="20"/>
                <w:szCs w:val="20"/>
              </w:rPr>
              <w:t xml:space="preserve">20001-⁠5369</w:t>
            </w:r>
          </w:p>
          <w:p>
            <w:pPr>
              <w:spacing w:before="0" w:after="0" w:line="240" w:lineRule="exact"/>
              <w:ind w:left="0" w:firstLine="0"/>
            </w:pPr>
            <w:r>
              <w:rPr>
                <w:i/>
                <w:iCs/>
                <w:sz w:val="20"/>
                <w:szCs w:val="20"/>
              </w:rPr>
              <w:t xml:space="preserve">(202)</w:t>
            </w:r>
            <w:r>
              <w:rPr>
                <w:i/>
                <w:iCs/>
                <w:sz w:val="20"/>
                <w:szCs w:val="20"/>
              </w:rPr>
              <w:t xml:space="preserve"> </w:t>
            </w:r>
            <w:r>
              <w:rPr>
                <w:i/>
                <w:iCs/>
                <w:sz w:val="20"/>
                <w:szCs w:val="20"/>
              </w:rPr>
              <w:t xml:space="preserve">220-⁠1100</w:t>
            </w:r>
          </w:p>
          <w:p>
            <w:pPr>
              <w:spacing w:before="0" w:after="0" w:line="240" w:lineRule="exact"/>
              <w:ind w:left="0" w:firstLine="0"/>
            </w:pPr>
            <w:r>
              <w:rPr>
                <w:i/>
                <w:iCs/>
                <w:sz w:val="20"/>
                <w:szCs w:val="20"/>
              </w:rPr>
              <w:t xml:space="preserve">Donald.Verrilli@mto.com</w:t>
            </w:r>
          </w:p>
        </w:tc>
      </w:tr>
      <w:tr>
        <w:trPr>
          <w:cantSplit/>
        </w:trPr>
        <w:tc>
          <w:tcPr>
            <w:tcW w:w="2790" w:type="dxa"/>
          </w:tcPr>
          <w:p>
            <w:pPr>
              <w:spacing w:before="216" w:after="0" w:line="240" w:lineRule="exact"/>
              <w:ind w:left="0" w:firstLine="0"/>
            </w:pPr>
            <w:r>
              <w:rPr>
                <w:sz w:val="20"/>
                <w:szCs w:val="20"/>
              </w:rPr>
              <w:t xml:space="preserve">Evan</w:t>
            </w:r>
            <w:r>
              <w:rPr>
                <w:sz w:val="20"/>
                <w:szCs w:val="20"/>
              </w:rPr>
              <w:t xml:space="preserve"> </w:t>
            </w:r>
            <w:r>
              <w:rPr>
                <w:sz w:val="20"/>
                <w:szCs w:val="20"/>
              </w:rPr>
              <w:t xml:space="preserve">J.</w:t>
            </w:r>
            <w:r>
              <w:rPr>
                <w:sz w:val="20"/>
                <w:szCs w:val="20"/>
              </w:rPr>
              <w:t xml:space="preserve"> </w:t>
            </w:r>
            <w:r>
              <w:rPr>
                <w:sz w:val="20"/>
                <w:szCs w:val="20"/>
              </w:rPr>
              <w:t xml:space="preserve">Davis</w:t>
            </w:r>
          </w:p>
          <w:p>
            <w:pPr>
              <w:spacing w:before="0" w:after="0" w:line="240" w:lineRule="exact"/>
              <w:ind w:left="0" w:firstLine="0"/>
            </w:pPr>
            <w:r>
              <w:rPr>
                <w:i/>
                <w:iCs/>
                <w:sz w:val="20"/>
                <w:szCs w:val="20"/>
              </w:rPr>
              <w:t xml:space="preserve">HOCHMAN</w:t>
            </w:r>
            <w:r>
              <w:rPr>
                <w:i/>
                <w:iCs/>
                <w:sz w:val="20"/>
                <w:szCs w:val="20"/>
              </w:rPr>
              <w:t xml:space="preserve"> </w:t>
            </w:r>
            <w:r>
              <w:rPr>
                <w:i/>
                <w:iCs/>
                <w:sz w:val="20"/>
                <w:szCs w:val="20"/>
              </w:rPr>
              <w:t xml:space="preserve">SALKIN</w:t>
            </w:r>
            <w:r>
              <w:rPr>
                <w:i/>
                <w:iCs/>
                <w:sz w:val="20"/>
                <w:szCs w:val="20"/>
              </w:rPr>
              <w:t xml:space="preserve"> </w:t>
            </w:r>
            <w:r>
              <w:rPr>
                <w:i/>
                <w:iCs/>
                <w:sz w:val="20"/>
                <w:szCs w:val="20"/>
              </w:rPr>
              <w:t xml:space="preserve">TOSCHER</w:t>
            </w:r>
            <w:r>
              <w:rPr>
                <w:i/>
                <w:iCs/>
                <w:sz w:val="20"/>
                <w:szCs w:val="20"/>
              </w:rPr>
              <w:t xml:space="preserve"> </w:t>
            </w:r>
            <w:r>
              <w:rPr>
                <w:i/>
                <w:iCs/>
                <w:sz w:val="20"/>
                <w:szCs w:val="20"/>
              </w:rPr>
              <w:t xml:space="preserve">PEREZ</w:t>
            </w:r>
            <w:r>
              <w:rPr>
                <w:i/>
                <w:iCs/>
                <w:sz w:val="20"/>
                <w:szCs w:val="20"/>
              </w:rPr>
              <w:t xml:space="preserve"> </w:t>
            </w:r>
            <w:r>
              <w:rPr>
                <w:i/>
                <w:iCs/>
                <w:sz w:val="20"/>
                <w:szCs w:val="20"/>
              </w:rPr>
              <w:t xml:space="preserve">P.C.</w:t>
            </w:r>
          </w:p>
          <w:p>
            <w:pPr>
              <w:spacing w:before="0" w:after="0" w:line="240" w:lineRule="exact"/>
              <w:ind w:left="0" w:firstLine="0"/>
            </w:pPr>
            <w:r>
              <w:rPr>
                <w:i/>
                <w:iCs/>
                <w:sz w:val="20"/>
                <w:szCs w:val="20"/>
              </w:rPr>
              <w:t xml:space="preserve">9100</w:t>
            </w:r>
            <w:r>
              <w:rPr>
                <w:i/>
                <w:iCs/>
                <w:sz w:val="20"/>
                <w:szCs w:val="20"/>
              </w:rPr>
              <w:t xml:space="preserve"> </w:t>
            </w:r>
            <w:r>
              <w:rPr>
                <w:i/>
                <w:iCs/>
                <w:sz w:val="20"/>
                <w:szCs w:val="20"/>
              </w:rPr>
              <w:t xml:space="preserve">Wilshire</w:t>
            </w:r>
            <w:r>
              <w:rPr>
                <w:i/>
                <w:iCs/>
                <w:sz w:val="20"/>
                <w:szCs w:val="20"/>
              </w:rPr>
              <w:t xml:space="preserve"> </w:t>
            </w:r>
            <w:r>
              <w:rPr>
                <w:i/>
                <w:iCs/>
                <w:sz w:val="20"/>
                <w:szCs w:val="20"/>
              </w:rPr>
              <w:t xml:space="preserve">Blvd.,</w:t>
            </w:r>
            <w:r>
              <w:rPr>
                <w:i/>
                <w:iCs/>
                <w:sz w:val="20"/>
                <w:szCs w:val="20"/>
              </w:rPr>
              <w:t xml:space="preserve"> </w:t>
            </w:r>
            <w:r>
              <w:rPr>
                <w:i/>
                <w:iCs/>
                <w:sz w:val="20"/>
                <w:szCs w:val="20"/>
              </w:rPr>
              <w:t xml:space="preserve">Suite</w:t>
            </w:r>
            <w:r>
              <w:rPr>
                <w:i/>
                <w:iCs/>
                <w:sz w:val="20"/>
                <w:szCs w:val="20"/>
              </w:rPr>
              <w:t xml:space="preserve"> </w:t>
            </w:r>
            <w:r>
              <w:rPr>
                <w:i/>
                <w:iCs/>
                <w:sz w:val="20"/>
                <w:szCs w:val="20"/>
              </w:rPr>
              <w:t xml:space="preserve">900W</w:t>
            </w:r>
          </w:p>
          <w:p>
            <w:pPr>
              <w:spacing w:before="0" w:after="0" w:line="240" w:lineRule="exact"/>
              <w:ind w:left="0" w:firstLine="0"/>
            </w:pPr>
            <w:r>
              <w:rPr>
                <w:i/>
                <w:iCs/>
                <w:sz w:val="20"/>
                <w:szCs w:val="20"/>
              </w:rPr>
              <w:t xml:space="preserve">Beverly</w:t>
            </w:r>
            <w:r>
              <w:rPr>
                <w:i/>
                <w:iCs/>
                <w:sz w:val="20"/>
                <w:szCs w:val="20"/>
              </w:rPr>
              <w:t xml:space="preserve"> </w:t>
            </w:r>
            <w:r>
              <w:rPr>
                <w:i/>
                <w:iCs/>
                <w:sz w:val="20"/>
                <w:szCs w:val="20"/>
              </w:rPr>
              <w:t xml:space="preserve">Hills,</w:t>
            </w:r>
            <w:r>
              <w:rPr>
                <w:i/>
                <w:iCs/>
                <w:sz w:val="20"/>
                <w:szCs w:val="20"/>
              </w:rPr>
              <w:t xml:space="preserve"> </w:t>
            </w:r>
            <w:r>
              <w:rPr>
                <w:i/>
                <w:iCs/>
                <w:sz w:val="20"/>
                <w:szCs w:val="20"/>
              </w:rPr>
              <w:t xml:space="preserve">CA</w:t>
            </w:r>
            <w:r>
              <w:rPr>
                <w:i/>
                <w:iCs/>
                <w:sz w:val="20"/>
                <w:szCs w:val="20"/>
              </w:rPr>
              <w:t xml:space="preserve"> </w:t>
            </w:r>
            <w:r>
              <w:rPr>
                <w:i/>
                <w:iCs/>
                <w:sz w:val="20"/>
                <w:szCs w:val="20"/>
              </w:rPr>
              <w:t xml:space="preserve">90212</w:t>
            </w:r>
          </w:p>
          <w:p>
            <w:pPr>
              <w:spacing w:before="0" w:after="0" w:line="240" w:lineRule="exact"/>
              <w:ind w:left="0" w:firstLine="0"/>
            </w:pPr>
            <w:r>
              <w:rPr>
                <w:i/>
                <w:iCs/>
                <w:sz w:val="20"/>
                <w:szCs w:val="20"/>
              </w:rPr>
              <w:t xml:space="preserve">(310)</w:t>
            </w:r>
            <w:r>
              <w:rPr>
                <w:i/>
                <w:iCs/>
                <w:sz w:val="20"/>
                <w:szCs w:val="20"/>
              </w:rPr>
              <w:t xml:space="preserve"> </w:t>
            </w:r>
            <w:r>
              <w:rPr>
                <w:i/>
                <w:iCs/>
                <w:sz w:val="20"/>
                <w:szCs w:val="20"/>
              </w:rPr>
              <w:t xml:space="preserve">281-⁠3200</w:t>
            </w:r>
          </w:p>
          <w:p>
            <w:pPr>
              <w:spacing w:before="0" w:after="0" w:line="240" w:lineRule="exact"/>
              <w:ind w:left="0" w:firstLine="0"/>
            </w:pPr>
            <w:r>
              <w:rPr>
                <w:i/>
                <w:iCs/>
                <w:sz w:val="20"/>
                <w:szCs w:val="20"/>
              </w:rPr>
              <w:t xml:space="preserve">Davis@taxlitigator.com</w:t>
            </w:r>
          </w:p>
        </w:tc>
        <w:tc>
          <w:tcPr>
            <w:tcW w:w="360" w:type="dxa"/>
          </w:tcPr>
          <w:p>
            <w:pPr>
              <w:spacing w:before="0" w:after="0" w:line="240" w:lineRule="exact"/>
            </w:pPr>
          </w:p>
        </w:tc>
        <w:tc>
          <w:tcPr>
            <w:tcW w:w="2790" w:type="dxa"/>
          </w:tcPr>
          <w:p>
            <w:pPr>
              <w:spacing w:before="0" w:after="0" w:line="240" w:lineRule="exact"/>
            </w:pPr>
          </w:p>
        </w:tc>
      </w:tr>
    </w:tbl>
    <w:p>
      <w:pPr>
        <w:spacing w:before="0" w:after="0" w:line="20" w:lineRule="exact"/>
        <w:sectPr>
          <w:footerReference w:type="default" r:id="rIdFtrNone"/>
          <w:pgSz w:w="8820" w:h="13320"/>
          <w:pgMar w:top="1440" w:right="1441" w:bottom="1620" w:left="1440" w:header="0" w:footer="540" w:gutter="0"/>
        </w:sectPr>
      </w:pPr>
    </w:p>
    <w:p>
      <w:pPr>
        <w:keepNext/>
        <w:keepLines/>
        <w:spacing w:before="0" w:after="216" w:line="280" w:lineRule="exact"/>
        <w:ind w:left="0" w:firstLine="0"/>
        <w:jc w:val="center"/>
      </w:pPr>
      <w:r>
        <w:rPr>
          <w:b/>
          <w:bCs/>
        </w:rPr>
        <w:t xml:space="preserve">Question Presented</w:t>
      </w:r>
    </w:p>
    <w:p>
      <w:pPr>
        <w:spacing w:before="0" w:after="180" w:line="280" w:lineRule="exact"/>
        <w:ind w:left="0" w:firstLine="0"/>
      </w:pPr>
      <w:r>
        <w:t xml:space="preserve">Whether</w:t>
      </w:r>
      <w:r>
        <w:t xml:space="preserve"> </w:t>
      </w:r>
      <w:r>
        <w:t xml:space="preserve">a</w:t>
      </w:r>
      <w:r>
        <w:t xml:space="preserve"> </w:t>
      </w:r>
      <w:r>
        <w:t xml:space="preserve">communication</w:t>
      </w:r>
      <w:r>
        <w:t xml:space="preserve"> </w:t>
      </w:r>
      <w:r>
        <w:t xml:space="preserve">involving</w:t>
      </w:r>
      <w:r>
        <w:t xml:space="preserve"> </w:t>
      </w:r>
      <w:r>
        <w:t xml:space="preserve">both</w:t>
      </w:r>
      <w:r>
        <w:t xml:space="preserve"> </w:t>
      </w:r>
      <w:r>
        <w:t xml:space="preserve">legal</w:t>
      </w:r>
      <w:r>
        <w:t xml:space="preserve"> </w:t>
      </w:r>
      <w:r>
        <w:t xml:space="preserve">and</w:t>
      </w:r>
      <w:r>
        <w:t xml:space="preserve"> </w:t>
      </w:r>
      <w:r>
        <w:t xml:space="preserve">non-legal</w:t>
      </w:r>
      <w:r>
        <w:t xml:space="preserve"> </w:t>
      </w:r>
      <w:r>
        <w:t xml:space="preserve">advice</w:t>
      </w:r>
      <w:r>
        <w:t xml:space="preserve"> </w:t>
      </w:r>
      <w:r>
        <w:t xml:space="preserve">is</w:t>
      </w:r>
      <w:r>
        <w:t xml:space="preserve"> </w:t>
      </w:r>
      <w:r>
        <w:t xml:space="preserve">protected</w:t>
      </w:r>
      <w:r>
        <w:t xml:space="preserve"> </w:t>
      </w:r>
      <w:r>
        <w:t xml:space="preserve">by</w:t>
      </w:r>
      <w:r>
        <w:t xml:space="preserve"> </w:t>
      </w:r>
      <w:r>
        <w:t xml:space="preserve">attorney-client</w:t>
      </w:r>
      <w:r>
        <w:t xml:space="preserve"> </w:t>
      </w:r>
      <w:r>
        <w:t xml:space="preserve">privilege</w:t>
      </w:r>
      <w:r>
        <w:t xml:space="preserve"> </w:t>
      </w:r>
      <w:r>
        <w:t xml:space="preserve">where</w:t>
      </w:r>
      <w:r>
        <w:t xml:space="preserve"> </w:t>
      </w:r>
      <w:r>
        <w:t xml:space="preserve">obtaining</w:t>
      </w:r>
      <w:r>
        <w:t xml:space="preserve"> </w:t>
      </w:r>
      <w:r>
        <w:t xml:space="preserve">or</w:t>
      </w:r>
      <w:r>
        <w:t xml:space="preserve"> </w:t>
      </w:r>
      <w:r>
        <w:t xml:space="preserve">providing</w:t>
      </w:r>
      <w:r>
        <w:t xml:space="preserve"> </w:t>
      </w:r>
      <w:r>
        <w:t xml:space="preserve">legal</w:t>
      </w:r>
      <w:r>
        <w:t xml:space="preserve"> </w:t>
      </w:r>
      <w:r>
        <w:t xml:space="preserve">advice</w:t>
      </w:r>
      <w:r>
        <w:t xml:space="preserve"> </w:t>
      </w:r>
      <w:r>
        <w:t xml:space="preserve">was</w:t>
      </w:r>
      <w:r>
        <w:t xml:space="preserve"> </w:t>
      </w:r>
      <w:r>
        <w:t xml:space="preserve">one</w:t>
      </w:r>
      <w:r>
        <w:t xml:space="preserve"> </w:t>
      </w:r>
      <w:r>
        <w:t xml:space="preserve">of</w:t>
      </w:r>
      <w:r>
        <w:t xml:space="preserve"> </w:t>
      </w:r>
      <w:r>
        <w:t xml:space="preserve">the</w:t>
      </w:r>
      <w:r>
        <w:t xml:space="preserve"> </w:t>
      </w:r>
      <w:r>
        <w:t xml:space="preserve">significant</w:t>
      </w:r>
      <w:r>
        <w:t xml:space="preserve"> </w:t>
      </w:r>
      <w:r>
        <w:t xml:space="preserve">purposes</w:t>
      </w:r>
      <w:r>
        <w:t xml:space="preserve"> </w:t>
      </w:r>
      <w:r>
        <w:t xml:space="preserve">behind</w:t>
      </w:r>
      <w:r>
        <w:t xml:space="preserve"> </w:t>
      </w:r>
      <w:r>
        <w:t xml:space="preserve">the</w:t>
      </w:r>
      <w:r>
        <w:t xml:space="preserve"> </w:t>
      </w:r>
      <w:r>
        <w:t xml:space="preserve">communication.</w:t>
      </w:r>
    </w:p>
    <w:p>
      <w:pPr>
        <w:pageBreakBefore/>
        <w:spacing w:before="0" w:after="0" w:line="20" w:lineRule="exact"/>
      </w:pPr>
    </w:p>
    <w:p>
      <w:pPr>
        <w:keepNext/>
        <w:keepLines/>
        <w:spacing w:before="0" w:after="216" w:line="280" w:lineRule="exact"/>
        <w:ind w:left="0" w:firstLine="0"/>
        <w:jc w:val="center"/>
      </w:pPr>
      <w:r>
        <w:rPr>
          <w:b/>
          <w:bCs/>
        </w:rPr>
        <w:t xml:space="preserve">Parties to the Proceedings</w:t>
      </w:r>
    </w:p>
    <w:p>
      <w:pPr>
        <w:spacing w:before="0" w:after="180" w:line="280" w:lineRule="exact"/>
        <w:ind w:left="0" w:firstLine="0"/>
      </w:pPr>
      <w:r>
        <w:t xml:space="preserve">The</w:t>
      </w:r>
      <w:r>
        <w:t xml:space="preserve"> </w:t>
      </w:r>
      <w:r>
        <w:t xml:space="preserve">parties</w:t>
      </w:r>
      <w:r>
        <w:t xml:space="preserve"> </w:t>
      </w:r>
      <w:r>
        <w:t xml:space="preserve">to</w:t>
      </w:r>
      <w:r>
        <w:t xml:space="preserve"> </w:t>
      </w:r>
      <w:r>
        <w:t xml:space="preserve">the</w:t>
      </w:r>
      <w:r>
        <w:t xml:space="preserve"> </w:t>
      </w:r>
      <w:r>
        <w:t xml:space="preserve">proceeding</w:t>
      </w:r>
      <w:r>
        <w:t xml:space="preserve"> </w:t>
      </w:r>
      <w:r>
        <w:t xml:space="preserve">are</w:t>
      </w:r>
      <w:r>
        <w:t xml:space="preserve"> </w:t>
      </w:r>
      <w:r>
        <w:t xml:space="preserve">identified</w:t>
      </w:r>
      <w:r>
        <w:t xml:space="preserve"> </w:t>
      </w:r>
      <w:r>
        <w:t xml:space="preserve">in</w:t>
      </w:r>
      <w:r>
        <w:t xml:space="preserve"> </w:t>
      </w:r>
      <w:r>
        <w:t xml:space="preserve">the</w:t>
      </w:r>
      <w:r>
        <w:t xml:space="preserve"> </w:t>
      </w:r>
      <w:r>
        <w:t xml:space="preserve">Sealed</w:t>
      </w:r>
      <w:r>
        <w:t xml:space="preserve"> </w:t>
      </w:r>
      <w:r>
        <w:t xml:space="preserve">Petition</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Certiorari.</w:t>
      </w:r>
    </w:p>
    <w:p>
      <w:pPr>
        <w:keepNext/>
        <w:keepLines/>
        <w:spacing w:before="264" w:after="216" w:line="280" w:lineRule="exact"/>
        <w:ind w:left="0" w:firstLine="0"/>
        <w:jc w:val="center"/>
      </w:pPr>
      <w:r>
        <w:rPr>
          <w:b/>
          <w:bCs/>
        </w:rPr>
        <w:t xml:space="preserve">Corporate Disclosure Statement</w:t>
      </w:r>
    </w:p>
    <w:p>
      <w:pPr>
        <w:spacing w:before="0" w:after="180" w:line="280" w:lineRule="exact"/>
        <w:ind w:left="0" w:firstLine="0"/>
      </w:pPr>
      <w:r>
        <w:t xml:space="preserve">The</w:t>
      </w:r>
      <w:r>
        <w:t xml:space="preserve"> </w:t>
      </w:r>
      <w:r>
        <w:t xml:space="preserve">corporate</w:t>
      </w:r>
      <w:r>
        <w:t xml:space="preserve"> </w:t>
      </w:r>
      <w:r>
        <w:t xml:space="preserve">disclosure</w:t>
      </w:r>
      <w:r>
        <w:t xml:space="preserve"> </w:t>
      </w:r>
      <w:r>
        <w:t xml:space="preserve">statement</w:t>
      </w:r>
      <w:r>
        <w:t xml:space="preserve"> </w:t>
      </w:r>
      <w:r>
        <w:t xml:space="preserve">included</w:t>
      </w:r>
      <w:r>
        <w:t xml:space="preserve"> </w:t>
      </w:r>
      <w:r>
        <w:t xml:space="preserve">in</w:t>
      </w:r>
      <w:r>
        <w:t xml:space="preserve"> </w:t>
      </w:r>
      <w:r>
        <w:t xml:space="preserve">the</w:t>
      </w:r>
      <w:r>
        <w:t xml:space="preserve"> </w:t>
      </w:r>
      <w:r>
        <w:t xml:space="preserve">Sealed</w:t>
      </w:r>
      <w:r>
        <w:t xml:space="preserve"> </w:t>
      </w:r>
      <w:r>
        <w:t xml:space="preserve">Petition</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Certiorari</w:t>
      </w:r>
      <w:r>
        <w:t xml:space="preserve"> </w:t>
      </w:r>
      <w:r>
        <w:t xml:space="preserve">remains</w:t>
      </w:r>
      <w:r>
        <w:t xml:space="preserve"> </w:t>
      </w:r>
      <w:r>
        <w:t xml:space="preserve">accurate.</w:t>
      </w:r>
    </w:p>
    <w:p>
      <w:pPr>
        <w:pageBreakBefore/>
        <w:spacing w:before="0" w:after="0" w:line="20" w:lineRule="exact"/>
      </w:pPr>
    </w:p>
    <w:p>
      <w:pPr>
        <w:keepNext/>
        <w:keepLines/>
        <w:spacing w:before="0" w:after="216" w:line="280" w:lineRule="exact"/>
        <w:ind w:left="0" w:firstLine="0"/>
        <w:jc w:val="center"/>
      </w:pPr>
      <w:r>
        <w:rPr>
          <w:b/>
          <w:bCs/>
        </w:rPr>
        <w:t xml:space="preserve">Table of Contents</w:t>
      </w:r>
    </w:p>
    <w:p>
      <w:pPr>
        <w:keepNext/>
        <w:keepLines/>
        <w:spacing w:before="0" w:after="0" w:line="240" w:lineRule="exact"/>
        <w:ind w:left="0" w:firstLine="0"/>
        <w:jc w:val="right"/>
      </w:pPr>
      <w:r>
        <w:rPr>
          <w:sz w:val="20"/>
          <w:szCs w:val="20"/>
        </w:rPr>
        <w:t xml:space="preserve">Page</w:t>
      </w:r>
    </w:p>
    <w:p>
      <w:pPr>
        <w:keepLines/>
        <w:tabs>
          <w:tab w:val="right" w:leader="dot" w:pos="5939"/>
        </w:tabs>
        <w:spacing w:before="96" w:after="0" w:line="280" w:lineRule="exact"/>
        <w:ind w:left="0" w:right="479" w:firstLine="0"/>
      </w:pPr>
      <w:r>
        <w:t xml:space="preserve">Question Presented</w:t>
      </w:r>
      <w:r>
        <w:t xml:space="preserve">  </w:t>
      </w:r>
      <w:r>
        <w:rPr>
          <w:sz w:val="17"/>
        </w:rPr>
        <w:t xml:space="preserve"> </w:t>
      </w:r>
      <w:r>
        <w:tab/>
      </w:r>
      <w:r>
        <w:t xml:space="preserve">i</w:t>
      </w:r>
    </w:p>
    <w:p>
      <w:pPr>
        <w:keepLines/>
        <w:tabs>
          <w:tab w:val="right" w:leader="dot" w:pos="5939"/>
        </w:tabs>
        <w:spacing w:before="96" w:after="0" w:line="280" w:lineRule="exact"/>
        <w:ind w:left="0" w:right="479" w:firstLine="0"/>
      </w:pPr>
      <w:r>
        <w:t xml:space="preserve">Parties to the Proceedings</w:t>
      </w:r>
      <w:r>
        <w:t xml:space="preserve">  </w:t>
      </w:r>
      <w:r>
        <w:rPr>
          <w:sz w:val="17"/>
        </w:rPr>
        <w:t xml:space="preserve"> </w:t>
      </w:r>
      <w:r>
        <w:tab/>
      </w:r>
      <w:r>
        <w:t xml:space="preserve">ii</w:t>
      </w:r>
    </w:p>
    <w:p>
      <w:pPr>
        <w:keepLines/>
        <w:tabs>
          <w:tab w:val="right" w:leader="dot" w:pos="5939"/>
        </w:tabs>
        <w:spacing w:before="96" w:after="0" w:line="280" w:lineRule="exact"/>
        <w:ind w:left="0" w:right="479" w:firstLine="0"/>
      </w:pPr>
      <w:r>
        <w:t xml:space="preserve">Corporate Disclosure Statement</w:t>
      </w:r>
      <w:r>
        <w:t xml:space="preserve">  </w:t>
      </w:r>
      <w:r>
        <w:rPr>
          <w:sz w:val="17"/>
        </w:rPr>
        <w:t xml:space="preserve"> </w:t>
      </w:r>
      <w:r>
        <w:tab/>
      </w:r>
      <w:r>
        <w:t xml:space="preserve">ii</w:t>
      </w:r>
    </w:p>
    <w:p>
      <w:pPr>
        <w:keepLines/>
        <w:tabs>
          <w:tab w:val="right" w:leader="dot" w:pos="5939"/>
        </w:tabs>
        <w:spacing w:before="96" w:after="0" w:line="280" w:lineRule="exact"/>
        <w:ind w:left="0" w:right="479" w:firstLine="0"/>
      </w:pPr>
      <w:r>
        <w:t xml:space="preserve">OPINIONS</w:t>
      </w:r>
      <w:r>
        <w:t xml:space="preserve"> </w:t>
      </w:r>
      <w:r>
        <w:t xml:space="preserve">BELOW</w:t>
      </w:r>
      <w:r>
        <w:t xml:space="preserve">  </w:t>
      </w:r>
      <w:r>
        <w:rPr>
          <w:sz w:val="17"/>
        </w:rPr>
        <w:t xml:space="preserve"> </w:t>
      </w:r>
      <w:r>
        <w:tab/>
      </w:r>
      <w:r>
        <w:t xml:space="preserve">1</w:t>
      </w:r>
    </w:p>
    <w:p>
      <w:pPr>
        <w:keepLines/>
        <w:tabs>
          <w:tab w:val="right" w:leader="dot" w:pos="5939"/>
        </w:tabs>
        <w:spacing w:before="96" w:after="0" w:line="280" w:lineRule="exact"/>
        <w:ind w:left="0" w:right="479" w:firstLine="0"/>
      </w:pPr>
      <w:r>
        <w:t xml:space="preserve">JURISDICTION</w:t>
      </w:r>
      <w:r>
        <w:t xml:space="preserve">  </w:t>
      </w:r>
      <w:r>
        <w:rPr>
          <w:sz w:val="17"/>
        </w:rPr>
        <w:t xml:space="preserve"> </w:t>
      </w:r>
      <w:r>
        <w:tab/>
      </w:r>
      <w:r>
        <w:t xml:space="preserve">1</w:t>
      </w:r>
    </w:p>
    <w:p>
      <w:pPr>
        <w:keepLines/>
        <w:tabs>
          <w:tab w:val="right" w:leader="dot" w:pos="5939"/>
        </w:tabs>
        <w:spacing w:before="96" w:after="0" w:line="280" w:lineRule="exact"/>
        <w:ind w:left="0" w:right="479" w:firstLine="0"/>
      </w:pPr>
      <w:r>
        <w:t xml:space="preserve">FEDERAL</w:t>
      </w:r>
      <w:r>
        <w:t xml:space="preserve"> </w:t>
      </w:r>
      <w:r>
        <w:t xml:space="preserve">RULE</w:t>
      </w:r>
      <w:r>
        <w:t xml:space="preserve"> </w:t>
      </w:r>
      <w:r>
        <w:t xml:space="preserve">OF</w:t>
      </w:r>
      <w:r>
        <w:t xml:space="preserve"> </w:t>
      </w:r>
      <w:r>
        <w:t xml:space="preserve">EVIDENCE</w:t>
      </w:r>
      <w:r>
        <w:t xml:space="preserve"> </w:t>
      </w:r>
      <w:r>
        <w:t xml:space="preserve">INVOLVED</w:t>
      </w:r>
      <w:r>
        <w:t xml:space="preserve">  </w:t>
      </w:r>
      <w:r>
        <w:rPr>
          <w:sz w:val="17"/>
        </w:rPr>
        <w:t xml:space="preserve"> </w:t>
      </w:r>
      <w:r>
        <w:tab/>
      </w:r>
      <w:r>
        <w:t xml:space="preserve">1</w:t>
      </w:r>
    </w:p>
    <w:p>
      <w:pPr>
        <w:keepLines/>
        <w:tabs>
          <w:tab w:val="right" w:leader="dot" w:pos="5939"/>
        </w:tabs>
        <w:spacing w:before="96" w:after="0" w:line="280" w:lineRule="exact"/>
        <w:ind w:left="0" w:right="479" w:firstLine="0"/>
      </w:pPr>
      <w:r>
        <w:t xml:space="preserve">INTRODUCTION</w:t>
      </w:r>
      <w:r>
        <w:t xml:space="preserve">  </w:t>
      </w:r>
      <w:r>
        <w:rPr>
          <w:sz w:val="17"/>
        </w:rPr>
        <w:t xml:space="preserve"> </w:t>
      </w:r>
      <w:r>
        <w:tab/>
      </w:r>
      <w:r>
        <w:t xml:space="preserve">2</w:t>
      </w:r>
    </w:p>
    <w:p>
      <w:pPr>
        <w:keepLines/>
        <w:tabs>
          <w:tab w:val="right" w:leader="dot" w:pos="5939"/>
        </w:tabs>
        <w:spacing w:before="96" w:after="0" w:line="280" w:lineRule="exact"/>
        <w:ind w:left="0" w:right="479" w:firstLine="0"/>
      </w:pPr>
      <w:r>
        <w:t xml:space="preserve">STATEMENT</w:t>
      </w:r>
      <w:r>
        <w:t xml:space="preserve">  </w:t>
      </w:r>
      <w:r>
        <w:rPr>
          <w:sz w:val="17"/>
        </w:rPr>
        <w:t xml:space="preserve"> </w:t>
      </w:r>
      <w:r>
        <w:tab/>
      </w:r>
      <w:r>
        <w:t xml:space="preserve">4</w:t>
      </w:r>
    </w:p>
    <w:p>
      <w:pPr>
        <w:keepLines/>
        <w:tabs>
          <w:tab w:val="right" w:leader="dot" w:pos="5939"/>
        </w:tabs>
        <w:spacing w:before="96" w:after="0" w:line="280" w:lineRule="exact"/>
        <w:ind w:left="0" w:right="479" w:firstLine="0"/>
      </w:pPr>
      <w:r>
        <w:t xml:space="preserve">SUMMARY</w:t>
      </w:r>
      <w:r>
        <w:t xml:space="preserve"> </w:t>
      </w:r>
      <w:r>
        <w:t xml:space="preserve">OF</w:t>
      </w:r>
      <w:r>
        <w:t xml:space="preserve"> </w:t>
      </w:r>
      <w:r>
        <w:t xml:space="preserve">THE</w:t>
      </w:r>
      <w:r>
        <w:t xml:space="preserve"> </w:t>
      </w:r>
      <w:r>
        <w:t xml:space="preserve">ARGUMENT</w:t>
      </w:r>
      <w:r>
        <w:t xml:space="preserve">  </w:t>
      </w:r>
      <w:r>
        <w:rPr>
          <w:sz w:val="17"/>
        </w:rPr>
        <w:t xml:space="preserve"> </w:t>
      </w:r>
      <w:r>
        <w:tab/>
      </w:r>
      <w:r>
        <w:t xml:space="preserve">8</w:t>
      </w:r>
    </w:p>
    <w:p>
      <w:pPr>
        <w:keepLines/>
        <w:tabs>
          <w:tab w:val="right" w:leader="dot" w:pos="5939"/>
        </w:tabs>
        <w:spacing w:before="96" w:after="0" w:line="280" w:lineRule="exact"/>
        <w:ind w:left="0" w:right="479" w:firstLine="0"/>
      </w:pPr>
      <w:r>
        <w:t xml:space="preserve">ARGUMENT</w:t>
      </w:r>
      <w:r>
        <w:t xml:space="preserve">  </w:t>
      </w:r>
      <w:r>
        <w:rPr>
          <w:sz w:val="17"/>
        </w:rPr>
        <w:t xml:space="preserve"> </w:t>
      </w:r>
      <w:r>
        <w:tab/>
      </w:r>
      <w:r>
        <w:t xml:space="preserve">9</w:t>
      </w:r>
    </w:p>
    <w:p>
      <w:pPr>
        <w:keepLines/>
        <w:tabs>
          <w:tab w:val="right" w:leader="dot" w:pos="5939"/>
        </w:tabs>
        <w:spacing w:before="96" w:after="0" w:line="280" w:lineRule="exact"/>
        <w:ind w:left="432" w:right="479" w:firstLine="0"/>
      </w:pPr>
      <w:r>
        <w:t xml:space="preserve">I.</w:t>
      </w:r>
      <w:r>
        <w:t xml:space="preserve"> </w:t>
      </w:r>
      <w:r>
        <w:t xml:space="preserve">Dual-Purpose</w:t>
      </w:r>
      <w:r>
        <w:t xml:space="preserve"> </w:t>
      </w:r>
      <w:r>
        <w:t xml:space="preserve">Communications</w:t>
      </w:r>
      <w:r>
        <w:t xml:space="preserve"> </w:t>
      </w:r>
      <w:r>
        <w:t xml:space="preserve">Are</w:t>
      </w:r>
      <w:r>
        <w:t xml:space="preserve"> </w:t>
      </w:r>
      <w:r>
        <w:t xml:space="preserve">Entitled</w:t>
      </w:r>
      <w:r>
        <w:t xml:space="preserve"> </w:t>
      </w:r>
      <w:r>
        <w:t xml:space="preserve">To</w:t>
      </w:r>
      <w:r>
        <w:t xml:space="preserve"> </w:t>
      </w:r>
      <w:r>
        <w:t xml:space="preserve">Robust</w:t>
      </w:r>
      <w:r>
        <w:t xml:space="preserve"> </w:t>
      </w:r>
      <w:r>
        <w:t xml:space="preserve">Attorney-Client</w:t>
      </w:r>
      <w:r>
        <w:t xml:space="preserve"> </w:t>
      </w:r>
      <w:r>
        <w:t xml:space="preserve">Privilege</w:t>
      </w:r>
      <w:r>
        <w:t xml:space="preserve"> </w:t>
      </w:r>
      <w:r>
        <w:t xml:space="preserve">Protection</w:t>
      </w:r>
      <w:r>
        <w:t xml:space="preserve">  </w:t>
      </w:r>
      <w:r>
        <w:rPr>
          <w:sz w:val="17"/>
        </w:rPr>
        <w:t xml:space="preserve"> </w:t>
      </w:r>
      <w:r>
        <w:tab/>
      </w:r>
      <w:r>
        <w:t xml:space="preserve">9</w:t>
      </w:r>
    </w:p>
    <w:p>
      <w:pPr>
        <w:keepLines/>
        <w:tabs>
          <w:tab w:val="right" w:leader="dot" w:pos="5939"/>
        </w:tabs>
        <w:spacing w:before="96" w:after="0" w:line="280" w:lineRule="exact"/>
        <w:ind w:left="0" w:right="479" w:firstLine="0"/>
      </w:pPr>
      <w:r>
        <w:t xml:space="preserve">CONCLUSION</w:t>
      </w:r>
      <w:r>
        <w:t xml:space="preserve">  </w:t>
      </w:r>
      <w:r>
        <w:rPr>
          <w:sz w:val="17"/>
        </w:rPr>
        <w:t xml:space="preserve"> </w:t>
      </w:r>
      <w:r>
        <w:tab/>
      </w:r>
      <w:r>
        <w:t xml:space="preserve">10</w:t>
      </w:r>
    </w:p>
    <w:p>
      <w:pPr>
        <w:pageBreakBefore/>
        <w:spacing w:before="0" w:after="0" w:line="20" w:lineRule="exact"/>
      </w:pPr>
    </w:p>
    <w:p>
      <w:pPr>
        <w:keepNext/>
        <w:keepLines/>
        <w:spacing w:before="0" w:after="216" w:line="280" w:lineRule="exact"/>
        <w:ind w:left="0" w:firstLine="0"/>
        <w:jc w:val="center"/>
      </w:pPr>
      <w:r>
        <w:rPr>
          <w:b/>
          <w:bCs/>
        </w:rPr>
        <w:t xml:space="preserve">Table of Authorities</w:t>
      </w:r>
    </w:p>
    <w:p>
      <w:pPr>
        <w:keepNext/>
        <w:keepLines/>
        <w:spacing w:before="240" w:after="96" w:line="280" w:lineRule="exact"/>
        <w:ind w:left="0" w:firstLine="0"/>
      </w:pPr>
      <w:r>
        <w:rPr>
          <w:b/>
          <w:bCs/>
        </w:rPr>
        <w:t xml:space="preserve">Cases</w:t>
      </w:r>
    </w:p>
    <w:p>
      <w:pPr>
        <w:keepLines/>
        <w:tabs>
          <w:tab w:val="right" w:leader="dot" w:pos="5939"/>
        </w:tabs>
        <w:spacing w:before="120" w:after="0" w:line="280" w:lineRule="exact"/>
        <w:ind w:left="360" w:right="800" w:hanging="360"/>
      </w:pPr>
      <w:r>
        <w:rPr>
          <w:i/>
          <w:iCs/>
        </w:rPr>
        <w:t xml:space="preserve">Fisher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425</w:t>
      </w:r>
      <w:r>
        <w:t xml:space="preserve"> </w:t>
      </w:r>
      <w:r>
        <w:t xml:space="preserve">U.S.</w:t>
      </w:r>
      <w:r>
        <w:t xml:space="preserve"> </w:t>
      </w:r>
      <w:r>
        <w:t xml:space="preserve">391</w:t>
      </w:r>
      <w:r>
        <w:t xml:space="preserve"> </w:t>
      </w:r>
      <w:r>
        <w:t xml:space="preserve">(1976)</w:t>
      </w:r>
      <w:r>
        <w:t xml:space="preserve">  </w:t>
      </w:r>
      <w:r>
        <w:rPr>
          <w:sz w:val="17"/>
        </w:rPr>
        <w:t xml:space="preserve"> </w:t>
      </w:r>
      <w:r>
        <w:tab/>
      </w:r>
      <w:r>
        <w:t xml:space="preserve">5, 10</w:t>
      </w:r>
    </w:p>
    <w:p>
      <w:pPr>
        <w:keepLines/>
        <w:tabs>
          <w:tab w:val="right" w:leader="dot" w:pos="5939"/>
        </w:tabs>
        <w:spacing w:before="120" w:after="0" w:line="280" w:lineRule="exact"/>
        <w:ind w:left="360" w:right="800" w:hanging="360"/>
      </w:pPr>
      <w:r>
        <w:rPr>
          <w:i/>
          <w:iCs/>
        </w:rPr>
        <w:t xml:space="preserve">In</w:t>
      </w:r>
      <w:r>
        <w:rPr>
          <w:i/>
          <w:iCs/>
        </w:rPr>
        <w:t xml:space="preserve"> </w:t>
      </w:r>
      <w:r>
        <w:rPr>
          <w:i/>
          <w:iCs/>
        </w:rPr>
        <w:t xml:space="preserve">re</w:t>
      </w:r>
      <w:r>
        <w:rPr>
          <w:i/>
          <w:iCs/>
        </w:rPr>
        <w:t xml:space="preserve"> </w:t>
      </w:r>
      <w:r>
        <w:rPr>
          <w:i/>
          <w:iCs/>
        </w:rPr>
        <w:t xml:space="preserve">Kellogg</w:t>
      </w:r>
      <w:r>
        <w:rPr>
          <w:i/>
          <w:iCs/>
        </w:rPr>
        <w:t xml:space="preserve"> </w:t>
      </w:r>
      <w:r>
        <w:rPr>
          <w:i/>
          <w:iCs/>
        </w:rPr>
        <w:t xml:space="preserve">Brown</w:t>
      </w:r>
      <w:r>
        <w:rPr>
          <w:i/>
          <w:iCs/>
        </w:rPr>
        <w:t xml:space="preserve"> </w:t>
      </w:r>
      <w:r>
        <w:rPr>
          <w:i/>
          <w:iCs/>
        </w:rPr>
        <w:t xml:space="preserve">&amp;</w:t>
      </w:r>
      <w:r>
        <w:rPr>
          <w:i/>
          <w:iCs/>
        </w:rPr>
        <w:t xml:space="preserve"> </w:t>
      </w:r>
      <w:r>
        <w:rPr>
          <w:i/>
          <w:iCs/>
        </w:rPr>
        <w:t xml:space="preserve">Root,</w:t>
      </w:r>
      <w:r>
        <w:rPr>
          <w:i/>
          <w:iCs/>
        </w:rPr>
        <w:t xml:space="preserve"> </w:t>
      </w:r>
      <w:r>
        <w:rPr>
          <w:i/>
          <w:iCs/>
        </w:rPr>
        <w:t xml:space="preserve">Inc.</w:t>
      </w:r>
      <w:r>
        <w:t xml:space="preserve">, </w:t>
      </w:r>
      <w:r>
        <w:t xml:space="preserve">756</w:t>
      </w:r>
      <w:r>
        <w:t xml:space="preserve"> </w:t>
      </w:r>
      <w:r>
        <w:t xml:space="preserve">F.3d</w:t>
      </w:r>
      <w:r>
        <w:t xml:space="preserve"> </w:t>
      </w:r>
      <w:r>
        <w:t xml:space="preserve">754</w:t>
      </w:r>
      <w:r>
        <w:t xml:space="preserve"> </w:t>
      </w:r>
      <w:r>
        <w:t xml:space="preserve">(D.C.</w:t>
      </w:r>
      <w:r>
        <w:t xml:space="preserve"> </w:t>
      </w:r>
      <w:r>
        <w:t xml:space="preserve">Cir.</w:t>
      </w:r>
      <w:r>
        <w:t xml:space="preserve"> </w:t>
      </w:r>
      <w:r>
        <w:t xml:space="preserve">2014)</w:t>
      </w:r>
      <w:r>
        <w:t xml:space="preserve">  </w:t>
      </w:r>
      <w:r>
        <w:rPr>
          <w:sz w:val="17"/>
        </w:rPr>
        <w:t xml:space="preserve"> </w:t>
      </w:r>
      <w:r>
        <w:tab/>
      </w:r>
      <w:r>
        <w:t xml:space="preserve">7, 8</w:t>
      </w:r>
    </w:p>
    <w:p>
      <w:pPr>
        <w:keepLines/>
        <w:tabs>
          <w:tab w:val="right" w:leader="dot" w:pos="5939"/>
        </w:tabs>
        <w:spacing w:before="120" w:after="0" w:line="280" w:lineRule="exact"/>
        <w:ind w:left="360" w:right="800" w:hanging="360"/>
      </w:pPr>
      <w:r>
        <w:rPr>
          <w:i/>
          <w:iCs/>
        </w:rPr>
        <w:t xml:space="preserve">Swidler</w:t>
      </w:r>
      <w:r>
        <w:rPr>
          <w:i/>
          <w:iCs/>
        </w:rPr>
        <w:t xml:space="preserve"> </w:t>
      </w:r>
      <w:r>
        <w:rPr>
          <w:i/>
          <w:iCs/>
        </w:rPr>
        <w:t xml:space="preserve">&amp;</w:t>
      </w:r>
      <w:r>
        <w:rPr>
          <w:i/>
          <w:iCs/>
        </w:rPr>
        <w:t xml:space="preserve"> </w:t>
      </w:r>
      <w:r>
        <w:rPr>
          <w:i/>
          <w:iCs/>
        </w:rPr>
        <w:t xml:space="preserve">Berlin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524</w:t>
      </w:r>
      <w:r>
        <w:t xml:space="preserve"> </w:t>
      </w:r>
      <w:r>
        <w:t xml:space="preserve">U.S.</w:t>
      </w:r>
      <w:r>
        <w:t xml:space="preserve"> </w:t>
      </w:r>
      <w:r>
        <w:t xml:space="preserve">399</w:t>
      </w:r>
      <w:r>
        <w:t xml:space="preserve"> </w:t>
      </w:r>
      <w:r>
        <w:t xml:space="preserve">(1998)</w:t>
      </w:r>
      <w:r>
        <w:t xml:space="preserve">  </w:t>
      </w:r>
      <w:r>
        <w:rPr>
          <w:sz w:val="17"/>
        </w:rPr>
        <w:t xml:space="preserve"> </w:t>
      </w:r>
      <w:r>
        <w:tab/>
      </w:r>
      <w:r>
        <w:t xml:space="preserve">10</w:t>
      </w:r>
    </w:p>
    <w:p>
      <w:pPr>
        <w:keepLines/>
        <w:tabs>
          <w:tab w:val="right" w:leader="dot" w:pos="5939"/>
        </w:tabs>
        <w:spacing w:before="120" w:after="0" w:line="280" w:lineRule="exact"/>
        <w:ind w:left="360" w:right="80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Abrahams</w:t>
      </w:r>
      <w:r>
        <w:t xml:space="preserve">, </w:t>
      </w:r>
      <w:r>
        <w:t xml:space="preserve">905</w:t>
      </w:r>
      <w:r>
        <w:t xml:space="preserve"> </w:t>
      </w:r>
      <w:r>
        <w:t xml:space="preserve">F.2d</w:t>
      </w:r>
      <w:r>
        <w:t xml:space="preserve"> </w:t>
      </w:r>
      <w:r>
        <w:t xml:space="preserve">1276</w:t>
      </w:r>
      <w:r>
        <w:t xml:space="preserve"> </w:t>
      </w:r>
      <w:r>
        <w:t xml:space="preserve">(9th</w:t>
      </w:r>
      <w:r>
        <w:t xml:space="preserve"> </w:t>
      </w:r>
      <w:r>
        <w:t xml:space="preserve">Cir.</w:t>
      </w:r>
      <w:r>
        <w:t xml:space="preserve"> </w:t>
      </w:r>
      <w:r>
        <w:t xml:space="preserve">1990)</w:t>
      </w:r>
      <w:r>
        <w:t xml:space="preserve">  </w:t>
      </w:r>
      <w:r>
        <w:rPr>
          <w:sz w:val="17"/>
        </w:rPr>
        <w:t xml:space="preserve"> </w:t>
      </w:r>
      <w:r>
        <w:tab/>
      </w:r>
      <w:r>
        <w:t xml:space="preserve">5, 6</w:t>
      </w:r>
    </w:p>
    <w:p>
      <w:pPr>
        <w:keepLines/>
        <w:tabs>
          <w:tab w:val="right" w:leader="dot" w:pos="5939"/>
        </w:tabs>
        <w:spacing w:before="120" w:after="0" w:line="280" w:lineRule="exact"/>
        <w:ind w:left="360" w:right="80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Cote</w:t>
      </w:r>
      <w:r>
        <w:t xml:space="preserve">, </w:t>
      </w:r>
      <w:r>
        <w:t xml:space="preserve">456</w:t>
      </w:r>
      <w:r>
        <w:t xml:space="preserve"> </w:t>
      </w:r>
      <w:r>
        <w:t xml:space="preserve">F.2d</w:t>
      </w:r>
      <w:r>
        <w:t xml:space="preserve"> </w:t>
      </w:r>
      <w:r>
        <w:t xml:space="preserve">142</w:t>
      </w:r>
      <w:r>
        <w:t xml:space="preserve"> </w:t>
      </w:r>
      <w:r>
        <w:t xml:space="preserve">(8th</w:t>
      </w:r>
      <w:r>
        <w:t xml:space="preserve"> </w:t>
      </w:r>
      <w:r>
        <w:t xml:space="preserve">Cir.</w:t>
      </w:r>
      <w:r>
        <w:t xml:space="preserve"> </w:t>
      </w:r>
      <w:r>
        <w:t xml:space="preserve">1972)</w:t>
      </w:r>
      <w:r>
        <w:t xml:space="preserve">  </w:t>
      </w:r>
      <w:r>
        <w:rPr>
          <w:sz w:val="17"/>
        </w:rPr>
        <w:t xml:space="preserve"> </w:t>
      </w:r>
      <w:r>
        <w:tab/>
      </w:r>
      <w:r>
        <w:t xml:space="preserve">5</w:t>
      </w:r>
    </w:p>
    <w:p>
      <w:pPr>
        <w:keepLines/>
        <w:tabs>
          <w:tab w:val="right" w:leader="dot" w:pos="5939"/>
        </w:tabs>
        <w:spacing w:before="120" w:after="0" w:line="280" w:lineRule="exact"/>
        <w:ind w:left="360" w:right="80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Kovel</w:t>
      </w:r>
      <w:r>
        <w:t xml:space="preserve">, </w:t>
      </w:r>
      <w:r>
        <w:t xml:space="preserve">296</w:t>
      </w:r>
      <w:r>
        <w:t xml:space="preserve"> </w:t>
      </w:r>
      <w:r>
        <w:t xml:space="preserve">F.2d</w:t>
      </w:r>
      <w:r>
        <w:t xml:space="preserve"> </w:t>
      </w:r>
      <w:r>
        <w:t xml:space="preserve">918</w:t>
      </w:r>
      <w:r>
        <w:t xml:space="preserve"> </w:t>
      </w:r>
      <w:r>
        <w:t xml:space="preserve">(2d</w:t>
      </w:r>
      <w:r>
        <w:t xml:space="preserve"> </w:t>
      </w:r>
      <w:r>
        <w:t xml:space="preserve">Cir.</w:t>
      </w:r>
      <w:r>
        <w:t xml:space="preserve"> </w:t>
      </w:r>
      <w:r>
        <w:t xml:space="preserve">1961)</w:t>
      </w:r>
      <w:r>
        <w:t xml:space="preserve">  </w:t>
      </w:r>
      <w:r>
        <w:rPr>
          <w:sz w:val="17"/>
        </w:rPr>
        <w:t xml:space="preserve"> </w:t>
      </w:r>
      <w:r>
        <w:tab/>
      </w:r>
      <w:r>
        <w:t xml:space="preserve">7</w:t>
      </w:r>
    </w:p>
    <w:p>
      <w:pPr>
        <w:keepLines/>
        <w:tabs>
          <w:tab w:val="right" w:leader="dot" w:pos="5939"/>
        </w:tabs>
        <w:spacing w:before="120" w:after="0" w:line="280" w:lineRule="exact"/>
        <w:ind w:left="360" w:right="801" w:hanging="360"/>
      </w:pPr>
      <w:r>
        <w:rPr>
          <w:i/>
          <w:iCs/>
        </w:rPr>
        <w:t xml:space="preserve">Upjohn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449</w:t>
      </w:r>
      <w:r>
        <w:t xml:space="preserve"> </w:t>
      </w:r>
      <w:r>
        <w:t xml:space="preserve">U.S.</w:t>
      </w:r>
      <w:r>
        <w:t xml:space="preserve"> </w:t>
      </w:r>
      <w:r>
        <w:t xml:space="preserve">383</w:t>
      </w:r>
      <w:r>
        <w:t xml:space="preserve"> </w:t>
      </w:r>
      <w:r>
        <w:t xml:space="preserve">(1981)</w:t>
      </w:r>
      <w:r>
        <w:t xml:space="preserve">  </w:t>
      </w:r>
      <w:r>
        <w:rPr>
          <w:sz w:val="17"/>
        </w:rPr>
        <w:t xml:space="preserve"> </w:t>
      </w:r>
      <w:r>
        <w:tab/>
      </w:r>
      <w:r>
        <w:t xml:space="preserve">3, 5, 10</w:t>
      </w:r>
    </w:p>
    <w:p>
      <w:pPr>
        <w:keepNext/>
        <w:keepLines/>
        <w:spacing w:before="240" w:after="96" w:line="280" w:lineRule="exact"/>
        <w:ind w:left="0" w:firstLine="0"/>
      </w:pPr>
      <w:r>
        <w:rPr>
          <w:b/>
          <w:bCs/>
        </w:rPr>
        <w:t xml:space="preserve">Statutes</w:t>
      </w:r>
    </w:p>
    <w:p>
      <w:pPr>
        <w:keepLines/>
        <w:tabs>
          <w:tab w:val="right" w:leader="dot" w:pos="5939"/>
        </w:tabs>
        <w:spacing w:before="120" w:after="0" w:line="280" w:lineRule="exact"/>
        <w:ind w:left="360" w:right="800" w:hanging="360"/>
      </w:pPr>
      <w:r>
        <w:t xml:space="preserve">26</w:t>
      </w:r>
      <w:r>
        <w:t xml:space="preserve"> </w:t>
      </w:r>
      <w:r>
        <w:t xml:space="preserve">U.S.C.</w:t>
      </w:r>
      <w:r>
        <w:t xml:space="preserve"> </w:t>
      </w:r>
      <w:r>
        <w:t xml:space="preserve">877A</w:t>
      </w:r>
      <w:r>
        <w:t xml:space="preserve">  </w:t>
      </w:r>
      <w:r>
        <w:rPr>
          <w:sz w:val="17"/>
        </w:rPr>
        <w:t xml:space="preserve"> </w:t>
      </w:r>
      <w:r>
        <w:tab/>
      </w:r>
      <w:r>
        <w:t xml:space="preserve">4</w:t>
      </w:r>
    </w:p>
    <w:p>
      <w:pPr>
        <w:keepNext/>
        <w:keepLines/>
        <w:spacing w:before="240" w:after="96" w:line="280" w:lineRule="exact"/>
        <w:ind w:left="0" w:firstLine="0"/>
      </w:pPr>
      <w:r>
        <w:rPr>
          <w:b/>
          <w:bCs/>
        </w:rPr>
        <w:t xml:space="preserve">Rules</w:t>
      </w:r>
    </w:p>
    <w:p>
      <w:pPr>
        <w:keepLines/>
        <w:tabs>
          <w:tab w:val="right" w:leader="dot" w:pos="5939"/>
        </w:tabs>
        <w:spacing w:before="120" w:after="0" w:line="280" w:lineRule="exact"/>
        <w:ind w:left="360" w:right="800" w:hanging="360"/>
      </w:pPr>
      <w:r>
        <w:t xml:space="preserve">Fed.</w:t>
      </w:r>
      <w:r>
        <w:t xml:space="preserve"> </w:t>
      </w:r>
      <w:r>
        <w:t xml:space="preserve">R.</w:t>
      </w:r>
      <w:r>
        <w:t xml:space="preserve"> </w:t>
      </w:r>
      <w:r>
        <w:t xml:space="preserve">Evid.</w:t>
      </w:r>
      <w:r>
        <w:t xml:space="preserve"> </w:t>
      </w:r>
      <w:r>
        <w:t xml:space="preserve">501</w:t>
      </w:r>
      <w:r>
        <w:t xml:space="preserve">  </w:t>
      </w:r>
      <w:r>
        <w:rPr>
          <w:sz w:val="17"/>
        </w:rPr>
        <w:t xml:space="preserve"> </w:t>
      </w:r>
      <w:r>
        <w:tab/>
      </w:r>
      <w:r>
        <w:t xml:space="preserve">9</w:t>
      </w:r>
    </w:p>
    <w:p>
      <w:pPr>
        <w:spacing w:before="0" w:after="0" w:line="20" w:lineRule="exact"/>
        <w:sectPr>
          <w:footerReference w:type="default" r:id="rIdFtrPage"/>
          <w:pgSz w:w="8820" w:h="13320"/>
          <w:pgMar w:top="1440" w:right="1441" w:bottom="1620" w:left="1440" w:header="0" w:footer="540" w:gutter="0"/>
          <w:pgNumType w:fmt="lowerRoman" w:start="1"/>
        </w:sectPr>
      </w:pPr>
    </w:p>
    <w:p>
      <w:pPr>
        <w:keepNext/>
        <w:keepLines/>
        <w:spacing w:before="0" w:after="216" w:line="280" w:lineRule="exact"/>
        <w:ind w:left="0" w:firstLine="0"/>
        <w:jc w:val="center"/>
      </w:pPr>
      <w:r>
        <w:rPr>
          <w:b/>
          <w:bCs/>
        </w:rPr>
        <w:t xml:space="preserve">OPINIONS</w:t>
      </w:r>
      <w:r>
        <w:rPr>
          <w:b/>
          <w:bCs/>
        </w:rPr>
        <w:t xml:space="preserve"> </w:t>
      </w:r>
      <w:r>
        <w:rPr>
          <w:b/>
          <w:bCs/>
        </w:rPr>
        <w:t xml:space="preserve">BELOW</w:t>
      </w:r>
    </w:p>
    <w:p>
      <w:pPr>
        <w:pStyle w:val="FirstParagraphNote"/>
      </w:pPr>
      <w:r>
        <w:t xml:space="preserve">The Ninth Circuit’s amended opinion regarding dual-purpose communications and its order denying the petition for rehearing are published at 23 F.4th 1088. Pet. App. 1a. The Ninth Circuit’s memorandum opinion regarding other privilege issues is sealed and unpublished. Pet. App. 13a. The contempt order of the district court is sealed and unpublished. Pet. App. 20a. The redacted in-chambers order of the district court granting in part the government’s motion to compel is sealed and unpublished. Pet. App. 23a.</w:t>
      </w:r>
      <w:r>
        <w:rPr>
          <w:rStyle w:val="FootnoteReference"/>
        </w:rPr>
        <w:footnoteReference w:id="9"/>
      </w:r>
    </w:p>
    <w:p>
      <w:pPr>
        <w:keepNext/>
        <w:keepLines/>
        <w:spacing w:before="264" w:after="216" w:line="280" w:lineRule="exact"/>
        <w:ind w:left="0" w:firstLine="0"/>
        <w:jc w:val="center"/>
      </w:pPr>
      <w:r>
        <w:rPr>
          <w:b/>
          <w:bCs/>
        </w:rPr>
        <w:t xml:space="preserve">JURISDICTION</w:t>
      </w:r>
    </w:p>
    <w:p>
      <w:pPr>
        <w:pStyle w:val="FirstParagraph"/>
      </w:pPr>
      <w:r>
        <w:t xml:space="preserve">On September 13, 2021, the Ninth Circuit entered its judgment. On January 27, 2022, the Ninth Circuit denied a petition for rehearing and issued an amended panel opinion. The jurisdiction of this Court rests on 28 U.S.C. 1254(1).</w:t>
      </w:r>
    </w:p>
    <w:p>
      <w:pPr>
        <w:keepNext/>
        <w:keepLines/>
        <w:spacing w:before="264" w:after="216" w:line="280" w:lineRule="exact"/>
        <w:ind w:left="0" w:firstLine="0"/>
        <w:jc w:val="center"/>
      </w:pPr>
      <w:r>
        <w:rPr>
          <w:b/>
          <w:bCs/>
        </w:rPr>
        <w:t xml:space="preserve">FEDERAL</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EVIDENCE</w:t>
      </w:r>
      <w:r>
        <w:rPr>
          <w:b/>
          <w:bCs/>
        </w:rPr>
        <w:t xml:space="preserve"> </w:t>
      </w:r>
      <w:r>
        <w:rPr>
          <w:b/>
          <w:bCs/>
        </w:rPr>
        <w:t xml:space="preserve">INVOLVED</w:t>
      </w:r>
    </w:p>
    <w:p>
      <w:pPr>
        <w:pStyle w:val="FirstParagraph"/>
      </w:pPr>
      <w:r>
        <w:t xml:space="preserve">Federal Rule of Evidence 501 provides:</w:t>
      </w:r>
    </w:p>
    <w:p>
      <w:pPr>
        <w:spacing w:before="180" w:after="0" w:line="280" w:lineRule="exact"/>
        <w:ind w:left="576" w:right="576" w:firstLine="0"/>
      </w:pPr>
      <w:r>
        <w:t xml:space="preserve">The</w:t>
      </w:r>
      <w:r>
        <w:t xml:space="preserve"> </w:t>
      </w:r>
      <w:r>
        <w:t xml:space="preserve">common</w:t>
      </w:r>
      <w:r>
        <w:t xml:space="preserve"> </w:t>
      </w:r>
      <w:r>
        <w:t xml:space="preserve">law–as</w:t>
      </w:r>
      <w:r>
        <w:t xml:space="preserve"> </w:t>
      </w:r>
      <w:r>
        <w:t xml:space="preserve">interpreted</w:t>
      </w:r>
      <w:r>
        <w:t xml:space="preserve"> </w:t>
      </w:r>
      <w:r>
        <w:t xml:space="preserve">by</w:t>
      </w:r>
      <w:r>
        <w:t xml:space="preserve"> </w:t>
      </w:r>
      <w:r>
        <w:t xml:space="preserve">United</w:t>
      </w:r>
      <w:r>
        <w:t xml:space="preserve"> </w:t>
      </w:r>
      <w:r>
        <w:t xml:space="preserve">States</w:t>
      </w:r>
      <w:r>
        <w:t xml:space="preserve"> </w:t>
      </w:r>
      <w:r>
        <w:t xml:space="preserve">courts</w:t>
      </w:r>
      <w:r>
        <w:t xml:space="preserve"> </w:t>
      </w:r>
      <w:r>
        <w:t xml:space="preserve">in</w:t>
      </w:r>
      <w:r>
        <w:t xml:space="preserve"> </w:t>
      </w:r>
      <w:r>
        <w:t xml:space="preserve">the</w:t>
      </w:r>
      <w:r>
        <w:t xml:space="preserve"> </w:t>
      </w:r>
      <w:r>
        <w:t xml:space="preserve">light</w:t>
      </w:r>
      <w:r>
        <w:t xml:space="preserve"> </w:t>
      </w:r>
      <w:r>
        <w:t xml:space="preserve">of</w:t>
      </w:r>
      <w:r>
        <w:t xml:space="preserve"> </w:t>
      </w:r>
      <w:r>
        <w:t xml:space="preserve">reason</w:t>
      </w:r>
      <w:r>
        <w:t xml:space="preserve"> </w:t>
      </w:r>
      <w:r>
        <w:t xml:space="preserve">and</w:t>
      </w:r>
      <w:r>
        <w:t xml:space="preserve"> </w:t>
      </w:r>
      <w:r>
        <w:t xml:space="preserve">experience–governs</w:t>
      </w:r>
      <w:r>
        <w:t xml:space="preserve"> </w:t>
      </w:r>
      <w:r>
        <w:t xml:space="preserve">a</w:t>
      </w:r>
      <w:r>
        <w:t xml:space="preserve"> </w:t>
      </w:r>
      <w:r>
        <w:t xml:space="preserve">claim</w:t>
      </w:r>
      <w:r>
        <w:t xml:space="preserve"> </w:t>
      </w:r>
      <w:r>
        <w:t xml:space="preserve">of</w:t>
      </w:r>
      <w:r>
        <w:t xml:space="preserve"> </w:t>
      </w:r>
      <w:r>
        <w:t xml:space="preserve">privilege</w:t>
      </w:r>
      <w:r>
        <w:t xml:space="preserve"> </w:t>
      </w:r>
      <w:r>
        <w:t xml:space="preserve">unless</w:t>
      </w:r>
      <w:r>
        <w:t xml:space="preserve"> </w:t>
      </w:r>
      <w:r>
        <w:t xml:space="preserve">any</w:t>
      </w:r>
      <w:r>
        <w:t xml:space="preserve"> </w:t>
      </w:r>
      <w:r>
        <w:t xml:space="preserve">of</w:t>
      </w:r>
      <w:r>
        <w:t xml:space="preserve"> </w:t>
      </w:r>
      <w:r>
        <w:t xml:space="preserve">the</w:t>
      </w:r>
      <w:r>
        <w:t xml:space="preserve"> </w:t>
      </w:r>
      <w:r>
        <w:t xml:space="preserve">following</w:t>
      </w:r>
      <w:r>
        <w:t xml:space="preserve"> </w:t>
      </w:r>
      <w:r>
        <w:t xml:space="preserve">provides</w:t>
      </w:r>
      <w:r>
        <w:t xml:space="preserve"> </w:t>
      </w:r>
      <w:r>
        <w:t xml:space="preserve">otherwise:</w:t>
      </w:r>
    </w:p>
    <w:p>
      <w:pPr>
        <w:tabs>
          <w:tab w:val="left" w:pos="1008"/>
        </w:tabs>
        <w:spacing w:before="0" w:after="0" w:line="280" w:lineRule="exact"/>
        <w:ind w:left="1008" w:right="576" w:hanging="432"/>
      </w:pPr>
      <w:r>
        <w:t xml:space="preserve">•</w:t>
      </w:r>
      <w:r>
        <w:tab/>
      </w:r>
      <w:r>
        <w:t xml:space="preserve">the</w:t>
      </w:r>
      <w:r>
        <w:t xml:space="preserve"> </w:t>
      </w:r>
      <w:r>
        <w:t xml:space="preserve">United</w:t>
      </w:r>
      <w:r>
        <w:t xml:space="preserve"> </w:t>
      </w:r>
      <w:r>
        <w:t xml:space="preserve">States</w:t>
      </w:r>
      <w:r>
        <w:t xml:space="preserve"> </w:t>
      </w:r>
      <w:r>
        <w:t xml:space="preserve">Constitution;</w:t>
      </w:r>
    </w:p>
    <w:p>
      <w:pPr>
        <w:tabs>
          <w:tab w:val="left" w:pos="1008"/>
        </w:tabs>
        <w:spacing w:before="0" w:after="0" w:line="280" w:lineRule="exact"/>
        <w:ind w:left="1008" w:right="576" w:hanging="432"/>
      </w:pPr>
      <w:r>
        <w:t xml:space="preserve">•</w:t>
      </w:r>
      <w:r>
        <w:tab/>
      </w:r>
      <w:r>
        <w:t xml:space="preserve">a</w:t>
      </w:r>
      <w:r>
        <w:t xml:space="preserve"> </w:t>
      </w:r>
      <w:r>
        <w:t xml:space="preserve">federal</w:t>
      </w:r>
      <w:r>
        <w:t xml:space="preserve"> </w:t>
      </w:r>
      <w:r>
        <w:t xml:space="preserve">statute;</w:t>
      </w:r>
      <w:r>
        <w:t xml:space="preserve"> </w:t>
      </w:r>
      <w:r>
        <w:t xml:space="preserve">or</w:t>
      </w:r>
    </w:p>
    <w:p>
      <w:pPr>
        <w:tabs>
          <w:tab w:val="left" w:pos="1008"/>
        </w:tabs>
        <w:spacing w:before="0" w:after="0" w:line="280" w:lineRule="exact"/>
        <w:ind w:left="1008" w:right="576" w:hanging="432"/>
      </w:pPr>
      <w:r>
        <w:t xml:space="preserve">•</w:t>
      </w:r>
      <w:r>
        <w:tab/>
      </w:r>
      <w:r>
        <w:t xml:space="preserve">rules</w:t>
      </w:r>
      <w:r>
        <w:t xml:space="preserve"> </w:t>
      </w:r>
      <w:r>
        <w:t xml:space="preserve">prescribed</w:t>
      </w:r>
      <w:r>
        <w:t xml:space="preserve"> </w:t>
      </w:r>
      <w:r>
        <w:t xml:space="preserve">by</w:t>
      </w:r>
      <w:r>
        <w:t xml:space="preserve"> </w:t>
      </w:r>
      <w:r>
        <w:t xml:space="preserve">the</w:t>
      </w:r>
      <w:r>
        <w:t xml:space="preserve"> </w:t>
      </w:r>
      <w:r>
        <w:t xml:space="preserve">Supreme</w:t>
      </w:r>
      <w:r>
        <w:t xml:space="preserve"> </w:t>
      </w:r>
      <w:r>
        <w:t xml:space="preserve">Court.</w:t>
      </w:r>
    </w:p>
    <w:p>
      <w:pPr>
        <w:spacing w:before="0" w:after="180" w:line="280" w:lineRule="exact"/>
        <w:ind w:left="576" w:right="576" w:firstLine="0"/>
      </w:pPr>
      <w:r>
        <w:t xml:space="preserve">But</w:t>
      </w:r>
      <w:r>
        <w:t xml:space="preserve"> </w:t>
      </w:r>
      <w:r>
        <w:t xml:space="preserve">in</w:t>
      </w:r>
      <w:r>
        <w:t xml:space="preserve"> </w:t>
      </w:r>
      <w:r>
        <w:t xml:space="preserve">a</w:t>
      </w:r>
      <w:r>
        <w:t xml:space="preserve"> </w:t>
      </w:r>
      <w:r>
        <w:t xml:space="preserve">civil</w:t>
      </w:r>
      <w:r>
        <w:t xml:space="preserve"> </w:t>
      </w:r>
      <w:r>
        <w:t xml:space="preserve">case,</w:t>
      </w:r>
      <w:r>
        <w:t xml:space="preserve"> </w:t>
      </w:r>
      <w:r>
        <w:t xml:space="preserve">state</w:t>
      </w:r>
      <w:r>
        <w:t xml:space="preserve"> </w:t>
      </w:r>
      <w:r>
        <w:t xml:space="preserve">law</w:t>
      </w:r>
      <w:r>
        <w:t xml:space="preserve"> </w:t>
      </w:r>
      <w:r>
        <w:t xml:space="preserve">governs</w:t>
      </w:r>
      <w:r>
        <w:t xml:space="preserve"> </w:t>
      </w:r>
      <w:r>
        <w:t xml:space="preserve">privilege</w:t>
      </w:r>
      <w:r>
        <w:t xml:space="preserve"> </w:t>
      </w:r>
      <w:r>
        <w:t xml:space="preserve">regarding</w:t>
      </w:r>
      <w:r>
        <w:t xml:space="preserve"> </w:t>
      </w:r>
      <w:r>
        <w:t xml:space="preserve">a</w:t>
      </w:r>
      <w:r>
        <w:t xml:space="preserve"> </w:t>
      </w:r>
      <w:r>
        <w:t xml:space="preserve">claim</w:t>
      </w:r>
      <w:r>
        <w:t xml:space="preserve"> </w:t>
      </w:r>
      <w:r>
        <w:t xml:space="preserve">or</w:t>
      </w:r>
      <w:r>
        <w:t xml:space="preserve"> </w:t>
      </w:r>
      <w:r>
        <w:t xml:space="preserve">defense</w:t>
      </w:r>
      <w:r>
        <w:t xml:space="preserve"> </w:t>
      </w:r>
      <w:r>
        <w:t xml:space="preserve">for</w:t>
      </w:r>
      <w:r>
        <w:t xml:space="preserve"> </w:t>
      </w:r>
      <w:r>
        <w:t xml:space="preserve">which</w:t>
      </w:r>
      <w:r>
        <w:t xml:space="preserve"> </w:t>
      </w:r>
      <w:r>
        <w:t xml:space="preserve">state</w:t>
      </w:r>
      <w:r>
        <w:t xml:space="preserve"> </w:t>
      </w:r>
      <w:r>
        <w:t xml:space="preserve">law</w:t>
      </w:r>
      <w:r>
        <w:t xml:space="preserve"> </w:t>
      </w:r>
      <w:r>
        <w:t xml:space="preserve">supplies</w:t>
      </w:r>
      <w:r>
        <w:t xml:space="preserve"> </w:t>
      </w:r>
      <w:r>
        <w:t xml:space="preserve">the</w:t>
      </w:r>
      <w:r>
        <w:t xml:space="preserve"> </w:t>
      </w:r>
      <w:r>
        <w:t xml:space="preserve">rule</w:t>
      </w:r>
      <w:r>
        <w:t xml:space="preserve"> </w:t>
      </w:r>
      <w:r>
        <w:t xml:space="preserve">of</w:t>
      </w:r>
      <w:r>
        <w:t xml:space="preserve"> </w:t>
      </w:r>
      <w:r>
        <w:t xml:space="preserve">decision.</w:t>
      </w:r>
    </w:p>
    <w:p>
      <w:pPr>
        <w:keepNext/>
        <w:keepLines/>
        <w:spacing w:before="264" w:after="216" w:line="280" w:lineRule="exact"/>
        <w:ind w:left="0" w:firstLine="0"/>
        <w:jc w:val="center"/>
      </w:pPr>
      <w:r>
        <w:rPr>
          <w:b/>
          <w:bCs/>
        </w:rPr>
        <w:t xml:space="preserve">INTRODUCTION</w:t>
      </w:r>
    </w:p>
    <w:p>
      <w:pPr>
        <w:pStyle w:val="FirstParagraph"/>
      </w:pPr>
      <w:r>
        <w:t xml:space="preserve">The attorney-client privilege is a cornerstone of the American legal system. Without it, clients could not freely share information with their lawyers, and lawyers could not give their clients full and frank advice. Clients, however, routinely seek advice from lawyers with multiple goals in mind. And lawyers often respond in a way where legal and non-legal advice is intertwined. Those intertwined communications are known as</w:t>
      </w:r>
      <w:r>
        <w:t xml:space="preserve"> </w:t>
      </w:r>
      <w:r>
        <w:t xml:space="preserve">“dual-purpose”</w:t>
      </w:r>
      <w:r>
        <w:t xml:space="preserve"> </w:t>
      </w:r>
      <w:r>
        <w:t xml:space="preserve">communications. The Ninth Circuit in this case held that courts must evaluate all of the purposes for such a communication to determine the single primary purpose, and that the communication is privileged only when that one primary purpose is legal advice.</w:t>
      </w:r>
    </w:p>
    <w:p>
      <w:pPr>
        <w:pStyle w:val="BodyText"/>
      </w:pPr>
      <w:r>
        <w:t xml:space="preserve">That approach is wrong. It unduly narrows the privilege because it withdraws protection from attorney-client communications that have a significant legal purpose any time a judge makes a post hoc determination that the communication also had some other, more important purpose. That inquiry requires courts to engage in an ad hoc balancing exercise that will create unacceptable uncertainty and deter open dialogue between lawyers and their clients.</w:t>
      </w:r>
    </w:p>
    <w:p>
      <w:pPr>
        <w:pStyle w:val="BodyText"/>
      </w:pPr>
      <w:r>
        <w:t xml:space="preserve">To ensure that the attorney-client privilege receives appropriate protection in the context of dual-purpose communications, courts should ask a more straightforward question: whether the communication has a significant legal purpose. If it does, the attorney-client privilege should and must apply. That test faithfully implements the core purposes that the attorney-client privilege exists to serve. And it will generate clear and predictable results that clients can understand and rely upon when deciding whether to trust their lawyer with sensitive information.</w:t>
      </w:r>
    </w:p>
    <w:p>
      <w:pPr>
        <w:pStyle w:val="BodyText"/>
      </w:pPr>
      <w:r>
        <w:t xml:space="preserve">Petitioner, a law firm specializing in tax law, obtained information from and advised its Client about the many tax law issues that arise upon expatriation and prepared the tax filings required when a U.S. citizen expatriates. The Ninth Circuit held that certain dual-purpose communications made during that work were unprivileged because the legal purpose (advice about tax law) was not as significant as the non-legal purpose (tax form preparation work). By requiring that legal advice be the single primary purpose of the communication, the Ninth Circuit’s approach denied the protections of the privilege to communications that had a significant legal purpose.</w:t>
      </w:r>
    </w:p>
    <w:p>
      <w:pPr>
        <w:pStyle w:val="BodyText"/>
      </w:pPr>
      <w:r>
        <w:t xml:space="preserve">Clients and lawyers, including tax lawyers, routinely engage in dual-purpose communications and need clear and predictable rules that</w:t>
      </w:r>
      <w:r>
        <w:t xml:space="preserve"> </w:t>
      </w:r>
      <w:r>
        <w:t xml:space="preserve">“encourage full and frank communication between attorneys and their clients.”</w:t>
      </w:r>
      <w:r>
        <w:t xml:space="preserve"> </w:t>
      </w:r>
      <w:r>
        <w:rPr>
          <w:i/>
          <w:iCs/>
        </w:rPr>
        <w:t xml:space="preserve">Upjohn Co. v. United States</w:t>
      </w:r>
      <w:r>
        <w:t xml:space="preserve">, 449 U.S. 383, 389 (1981). Indeed, the need for a robust privilege in the tax context is particularly important given the extraordinary complexity of the tax code and the need to encourage taxpayers’ voluntary compliance.</w:t>
      </w:r>
    </w:p>
    <w:p>
      <w:pPr>
        <w:keepNext/>
        <w:keepLines/>
        <w:spacing w:before="264" w:after="216" w:line="280" w:lineRule="exact"/>
        <w:ind w:left="0" w:firstLine="0"/>
        <w:jc w:val="center"/>
      </w:pPr>
      <w:r>
        <w:rPr>
          <w:b/>
          <w:bCs/>
        </w:rPr>
        <w:t xml:space="preserve">STATEMENT</w:t>
      </w:r>
    </w:p>
    <w:p>
      <w:pPr>
        <w:pStyle w:val="FirstParagraph"/>
      </w:pPr>
      <w:r>
        <w:t xml:space="preserve">1. a. Petitioner is a law firm that specializes in international tax issues, including the practice of advising clients on the tax consequences of expatriation. JA 16. Upon expatriation, most individuals are subject to an</w:t>
      </w:r>
      <w:r>
        <w:t xml:space="preserve"> </w:t>
      </w:r>
      <w:r>
        <w:t xml:space="preserve">“exit tax.”</w:t>
      </w:r>
      <w:r>
        <w:t xml:space="preserve"> </w:t>
      </w:r>
      <w:r>
        <w:t xml:space="preserve">26 U.S.C. 877A. All of the individual’s property is treated as sold for its fair market value as of the day before the expatriation date, and the individual must pay federal taxes for</w:t>
      </w:r>
      <w:r>
        <w:t xml:space="preserve"> </w:t>
      </w:r>
      <w:r>
        <w:t xml:space="preserve">“any gain arising from such sale.”</w:t>
      </w:r>
      <w:r>
        <w:t xml:space="preserve"> </w:t>
      </w:r>
      <w:r>
        <w:rPr>
          <w:i/>
          <w:iCs/>
        </w:rPr>
        <w:t xml:space="preserve">Id.</w:t>
      </w:r>
      <w:r>
        <w:t xml:space="preserve"> </w:t>
      </w:r>
      <w:r>
        <w:t xml:space="preserve">8⁠7⁠7⁠A⁠(⁠a⁠)⁠(⁠1⁠)⁠-⁠(⁠2⁠)⁠. The expatriate must also certify whether he or she has satisfied all federal tax requirements for the prior five years. JA 17.</w:t>
      </w:r>
    </w:p>
    <w:p>
      <w:pPr>
        <w:pStyle w:val="BodyText"/>
      </w:pPr>
      <w:r>
        <w:t xml:space="preserve">Expatriation implicates complex legal issues, and the Client’s expatriation involved a particularly novel set of legal issues. JA 16; JA 32. Petitioner provided legal advice to the Client about how to determine ownership of cryptocurrency assets, appropriate methods for asset valuation, and tax filing strategies. Pet. App. 28a-⁠29a; JA 32. Petitioner also prepared several of the Client’s individual income tax returns and the Client’s Form 8854, to certify compliance with expatriation tax requirements for the year of expatriation. Pet. App. 28a.</w:t>
      </w:r>
    </w:p>
    <w:p>
      <w:pPr>
        <w:pStyle w:val="BodyText"/>
      </w:pPr>
      <w:r>
        <w:t xml:space="preserve">Petitioner was subsequently served with a grand jury subpoena seeking documents in connection with a criminal tax investigation of the Client. Pet. App. 23a, 31a. In response to the subpoena, Petitioner produced over 20,000 pages of records, but withheld certain documents based on attorney-client privilege and the work-product doctrine. Pet. App. 31.</w:t>
      </w:r>
    </w:p>
    <w:p>
      <w:pPr>
        <w:pStyle w:val="BodyText"/>
      </w:pPr>
      <w:r>
        <w:t xml:space="preserve">b. The attorney-client privilege protects from disclosure confidential communications between attorney and client made to obtain or provide legal advice. See</w:t>
      </w:r>
      <w:r>
        <w:t xml:space="preserve"> </w:t>
      </w:r>
      <w:r>
        <w:rPr>
          <w:i/>
          <w:iCs/>
        </w:rPr>
        <w:t xml:space="preserve">Fisher v. United States</w:t>
      </w:r>
      <w:r>
        <w:t xml:space="preserve">, 425 U.S. 391, 403 (1976); Restatement (Third) of the Law Governing Lawyers § 68 (2000) (Restatement).</w:t>
      </w:r>
      <w:r>
        <w:t xml:space="preserve"> </w:t>
      </w:r>
      <w:r>
        <w:t xml:space="preserve">“Its purpose is to encourage full and frank communication between attorneys and their clients and thereby promote broader public interests in the observance of law and administration of justice.”</w:t>
      </w:r>
      <w:r>
        <w:t xml:space="preserve"> </w:t>
      </w:r>
      <w:r>
        <w:rPr>
          <w:i/>
          <w:iCs/>
        </w:rPr>
        <w:t xml:space="preserve">Upjohn</w:t>
      </w:r>
      <w:r>
        <w:t xml:space="preserve">, 449 U.S. at 389.</w:t>
      </w:r>
    </w:p>
    <w:p>
      <w:pPr>
        <w:pStyle w:val="BodyTextNote"/>
      </w:pPr>
      <w:r>
        <w:t xml:space="preserve">In the tax context, courts have routinely held that</w:t>
      </w:r>
      <w:r>
        <w:t xml:space="preserve"> </w:t>
      </w:r>
      <w:r>
        <w:t xml:space="preserve">“[t]ax advice rendered by an attorney is legal advice within the ambit of the privilege.”</w:t>
      </w:r>
      <w:r>
        <w:t xml:space="preserve"> </w:t>
      </w:r>
      <w:r>
        <w:rPr>
          <w:i/>
          <w:iCs/>
        </w:rPr>
        <w:t xml:space="preserve">In re Grand Jury Subpoena Duces Tecum Dated Sept. 15, 1983</w:t>
      </w:r>
      <w:r>
        <w:t xml:space="preserve">, 731 F.2d 1032, 1037 (2d Cir. 1984); accord, e.g.,</w:t>
      </w:r>
      <w:r>
        <w:t xml:space="preserve"> </w:t>
      </w:r>
      <w:r>
        <w:rPr>
          <w:i/>
          <w:iCs/>
        </w:rPr>
        <w:t xml:space="preserve">United States v. Abrahams</w:t>
      </w:r>
      <w:r>
        <w:t xml:space="preserve">, 905 F.2d 1276, 1284 (9th Cir. 1990) (</w:t>
      </w:r>
      <w:r>
        <w:t xml:space="preserve">“[C]ommunications made to acquire legal advice about what to claim on tax returns may be privileged.”</w:t>
      </w:r>
      <w:r>
        <w:t xml:space="preserve">), overruled on other grounds by</w:t>
      </w:r>
      <w:r>
        <w:t xml:space="preserve"> </w:t>
      </w:r>
      <w:r>
        <w:rPr>
          <w:i/>
          <w:iCs/>
        </w:rPr>
        <w:t xml:space="preserve">United States v. Jose</w:t>
      </w:r>
      <w:r>
        <w:t xml:space="preserve">, 131 F.3d 1325 (9th Cir. 1997);</w:t>
      </w:r>
      <w:r>
        <w:t xml:space="preserve"> </w:t>
      </w:r>
      <w:r>
        <w:rPr>
          <w:i/>
          <w:iCs/>
        </w:rPr>
        <w:t xml:space="preserve">United States v. Cote</w:t>
      </w:r>
      <w:r>
        <w:t xml:space="preserve">, 456 F.2d 142, 144 (8th Cir. 1972) (holding that communications designed to address</w:t>
      </w:r>
      <w:r>
        <w:t xml:space="preserve"> </w:t>
      </w:r>
      <w:r>
        <w:t xml:space="preserve">“whether the taxpayers should file an amended return undoubtedly involved legal considerations which mathematical calculations alone would not provide”</w:t>
      </w:r>
      <w:r>
        <w:t xml:space="preserve"> </w:t>
      </w:r>
      <w:r>
        <w:t xml:space="preserve">and were therefore privileged). But, particularly if an attorney is preparing a client’s tax returns, not all communications will necessarily fall within the attorney-client privilege. For example, conveying the amount of a taxpayer’s income on a W-⁠2 form or names of dependents so that the attorney can list that information on a tax form would not be privileged.</w:t>
      </w:r>
      <w:r>
        <w:rPr>
          <w:rStyle w:val="FootnoteReference"/>
        </w:rPr>
        <w:footnoteReference w:id="10"/>
      </w:r>
    </w:p>
    <w:p>
      <w:pPr>
        <w:pStyle w:val="BodyText"/>
      </w:pPr>
      <w:r>
        <w:t xml:space="preserve">c. Some of the communications Petitioner withheld on the basis of attorney-client privilege were made both to allow Petitioner to provide the Client with legal advice about how to comply with the tax laws and to facilitate Petitioner’s mechanical preparation of the Client’s tax returns. These</w:t>
      </w:r>
      <w:r>
        <w:t xml:space="preserve"> </w:t>
      </w:r>
      <w:r>
        <w:t xml:space="preserve">“dual-purpose”</w:t>
      </w:r>
      <w:r>
        <w:t xml:space="preserve"> </w:t>
      </w:r>
      <w:r>
        <w:t xml:space="preserve">communications included, for example, interpretations of unsettled statutory requirements regarding whether certain assets are subject to Treasury Department foreign reporting requirements, strategies for filing amended income tax returns, and the Client’s questions about and comments on draft submissions to the IRS advocating for the abatement of a penalty assessment. See Part IV,</w:t>
      </w:r>
      <w:r>
        <w:t xml:space="preserve"> </w:t>
      </w:r>
      <w:r>
        <w:rPr>
          <w:i/>
          <w:iCs/>
        </w:rPr>
        <w:t xml:space="preserve">infra</w:t>
      </w:r>
      <w:r>
        <w:t xml:space="preserve">. The government filed a motion to compel Petitioner to produce the withheld records. Pet. App. 31a.</w:t>
      </w:r>
    </w:p>
    <w:p>
      <w:pPr>
        <w:pStyle w:val="BodyText"/>
      </w:pPr>
      <w:r>
        <w:t xml:space="preserve">2. The district court applied what it described as</w:t>
      </w:r>
      <w:r>
        <w:t xml:space="preserve"> </w:t>
      </w:r>
      <w:r>
        <w:t xml:space="preserve">“the primary purpose test”</w:t>
      </w:r>
      <w:r>
        <w:t xml:space="preserve"> </w:t>
      </w:r>
      <w:r>
        <w:t xml:space="preserve">to analyze the dual-purpose communications. Pet. App. 43a. The court rejected the government’s assertion that legal advice could not be privileged at all if it</w:t>
      </w:r>
      <w:r>
        <w:t xml:space="preserve"> </w:t>
      </w:r>
      <w:r>
        <w:t xml:space="preserve">“relate[d] to tax return preparation.”</w:t>
      </w:r>
      <w:r>
        <w:t xml:space="preserve"> </w:t>
      </w:r>
      <w:r>
        <w:rPr>
          <w:i/>
          <w:iCs/>
        </w:rPr>
        <w:t xml:space="preserve">Ibid.</w:t>
      </w:r>
      <w:r>
        <w:t xml:space="preserve"> </w:t>
      </w:r>
      <w:r>
        <w:t xml:space="preserve">The court acknowledged that the D.C. Circuit had held, in an opinion written by then-Judge Kavanaugh, that the attorney-client privilege applies if</w:t>
      </w:r>
      <w:r>
        <w:t xml:space="preserve"> </w:t>
      </w:r>
      <w:r>
        <w:t xml:space="preserve">“solicitation of legal advice was one of the material purposes of the communication.”</w:t>
      </w:r>
      <w:r>
        <w:t xml:space="preserve"> </w:t>
      </w:r>
      <w:r>
        <w:t xml:space="preserve">Pet. App. 42a (citing</w:t>
      </w:r>
      <w:r>
        <w:t xml:space="preserve"> </w:t>
      </w:r>
      <w:r>
        <w:rPr>
          <w:i/>
          <w:iCs/>
        </w:rPr>
        <w:t xml:space="preserve">In re Kellogg Brown &amp; Root, Inc.</w:t>
      </w:r>
      <w:r>
        <w:t xml:space="preserve">, 756 F.3d 754, 760 (D.C. Cir. 2014)). But the district court rejected that standard, holding instead that</w:t>
      </w:r>
      <w:r>
        <w:t xml:space="preserve"> </w:t>
      </w:r>
      <w:r>
        <w:t xml:space="preserve">“the relevant consideration is whether the primary or predominate purpose of the communication was to seek legal advice, or to provide the corresponding legal advice.”</w:t>
      </w:r>
      <w:r>
        <w:t xml:space="preserve"> </w:t>
      </w:r>
      <w:r>
        <w:t xml:space="preserve">Pet. App. 43a.</w:t>
      </w:r>
    </w:p>
    <w:p>
      <w:pPr>
        <w:pStyle w:val="BodyTextNote"/>
      </w:pPr>
      <w:r>
        <w:t xml:space="preserve">In the same subsection in which the district court held that the dual-purpose communications were not privileged under the</w:t>
      </w:r>
      <w:r>
        <w:t xml:space="preserve"> </w:t>
      </w:r>
      <w:r>
        <w:t xml:space="preserve">“primary or predominate purpose”</w:t>
      </w:r>
      <w:r>
        <w:t xml:space="preserve"> </w:t>
      </w:r>
      <w:r>
        <w:t xml:space="preserve">test, it separately found that other communications were not protected because one of Petitioner’s non-lawyer accountants</w:t>
      </w:r>
      <w:r>
        <w:t xml:space="preserve"> </w:t>
      </w:r>
      <w:r>
        <w:t xml:space="preserve">“provided advice as an accountant.”</w:t>
      </w:r>
      <w:r>
        <w:t xml:space="preserve"> </w:t>
      </w:r>
      <w:r>
        <w:t xml:space="preserve">Pet. App. 54a. The district court found, however, that this same accountant often served as an agent for the Client’s attorneys, and when she acted in that agent role, communications between her and the Client for the purpose of obtaining legal advice were privileged. Pet. App. 51a; see also</w:t>
      </w:r>
      <w:r>
        <w:t xml:space="preserve"> </w:t>
      </w:r>
      <w:r>
        <w:rPr>
          <w:i/>
          <w:iCs/>
        </w:rPr>
        <w:t xml:space="preserve">United States v. Kovel</w:t>
      </w:r>
      <w:r>
        <w:t xml:space="preserve">, 296 F.2d 918, 921 (2d Cir. 1961) (</w:t>
      </w:r>
      <w:r>
        <w:t xml:space="preserve">“the privilege must include all the persons who act as the attorney’s agents”</w:t>
      </w:r>
      <w:r>
        <w:t xml:space="preserve">). The district court ultimately ordered the production of 54 documents as not privileged based on this part of its decision without specifying which of the two rulings in the subsection applied to each document. Pet. App. 54a.</w:t>
      </w:r>
      <w:r>
        <w:rPr>
          <w:rStyle w:val="FootnoteReference"/>
        </w:rPr>
        <w:footnoteReference w:id="11"/>
      </w:r>
    </w:p>
    <w:p>
      <w:pPr>
        <w:pStyle w:val="BodyText"/>
      </w:pPr>
      <w:r>
        <w:t xml:space="preserve">Petitioner declined to produce the documents. The district court subsequently held Petitioner in contempt for its non-compliance. Pet. App. 20a. The court stayed its contempt sanction to allow Petitioner to appeal. Pet. App. 21a.</w:t>
      </w:r>
    </w:p>
    <w:p>
      <w:pPr>
        <w:pStyle w:val="BodyText"/>
      </w:pPr>
      <w:r>
        <w:t xml:space="preserve">3. The Ninth Circuit affirmed. The court of appeals held</w:t>
      </w:r>
      <w:r>
        <w:t xml:space="preserve"> </w:t>
      </w:r>
      <w:r>
        <w:t xml:space="preserve">“that the primary-purpose test applies to attorney-client privilege claims for dual-purpose communications.”</w:t>
      </w:r>
      <w:r>
        <w:t xml:space="preserve"> </w:t>
      </w:r>
      <w:r>
        <w:t xml:space="preserve">Pet. App. 6a. The court rejected the government’s argument, based in part on Seventh Circuit authority,</w:t>
      </w:r>
      <w:r>
        <w:t xml:space="preserve"> </w:t>
      </w:r>
      <w:r>
        <w:t xml:space="preserve">“that dual-purpose communications in the tax advice context can never be privileged.”</w:t>
      </w:r>
      <w:r>
        <w:t xml:space="preserve"> </w:t>
      </w:r>
      <w:r>
        <w:t xml:space="preserve">Pet. App. 5a n.2. The Ninth Circuit then addressed what test to adopt to determine whether a dual-purpose communication is privileged. Pet. App. 6a-⁠12a. Like the district court, the Ninth Circuit recognized that the D.C. Circuit had applied a test that assesses whether obtaining or providing legal advice was</w:t>
      </w:r>
      <w:r>
        <w:t xml:space="preserve"> </w:t>
      </w:r>
      <w:r>
        <w:t xml:space="preserve">“one of the significant purposes of the communication,”</w:t>
      </w:r>
      <w:r>
        <w:t xml:space="preserve"> </w:t>
      </w:r>
      <w:r>
        <w:t xml:space="preserve">rather than the primary purpose of the communication. Pet. App. 10a (quoting</w:t>
      </w:r>
      <w:r>
        <w:t xml:space="preserve"> </w:t>
      </w:r>
      <w:r>
        <w:rPr>
          <w:i/>
          <w:iCs/>
        </w:rPr>
        <w:t xml:space="preserve">Kellogg</w:t>
      </w:r>
      <w:r>
        <w:t xml:space="preserve">, 756 F.3d at 760).</w:t>
      </w:r>
    </w:p>
    <w:p>
      <w:pPr>
        <w:keepNext/>
        <w:keepLines/>
        <w:spacing w:before="264" w:after="216" w:line="280"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FirstParagraph"/>
      </w:pPr>
      <w:r>
        <w:t xml:space="preserve">The court of appeals adopted a test for attorney-client privilege that fails to protect the ability of clients to seek and obtain the full and frank advice of their lawyers. Every day, clients seek lawyers’ advice for overlapping legal and non-legal purposes. By withdrawing the protection of the attorney-client privilege from such dual-purpose communications whenever a court later makes an ad hoc judgment that the non-legal purpose outweighs the legal purpose, the Ninth Circuit’s single primary purpose test undermines the public interest in protecting confidential communications between lawyers and clients.</w:t>
      </w:r>
    </w:p>
    <w:p>
      <w:pPr>
        <w:pStyle w:val="BodyText"/>
      </w:pPr>
      <w:r>
        <w:t xml:space="preserve">The significant purpose test adopted by the D.C. Circuit in</w:t>
      </w:r>
      <w:r>
        <w:t xml:space="preserve"> </w:t>
      </w:r>
      <w:r>
        <w:rPr>
          <w:i/>
          <w:iCs/>
        </w:rPr>
        <w:t xml:space="preserve">Kellogg</w:t>
      </w:r>
      <w:r>
        <w:t xml:space="preserve"> </w:t>
      </w:r>
      <w:r>
        <w:t xml:space="preserve">appropriately protects attorney-client dual purpose communications. That test asks a single question that arises directly from the long-established test for attorney-client privilege: whether a client is seeking or obtaining confidential legal advice from his or her lawyer.</w:t>
      </w:r>
    </w:p>
    <w:p>
      <w:pPr>
        <w:pStyle w:val="BodyText"/>
      </w:pPr>
      <w:r>
        <w:t xml:space="preserve">This Court is charged with interpreting the scope of the attorney-client privilege</w:t>
      </w:r>
      <w:r>
        <w:t xml:space="preserve"> </w:t>
      </w:r>
      <w:r>
        <w:t xml:space="preserve">“in the light of reason and experience.”</w:t>
      </w:r>
      <w:r>
        <w:t xml:space="preserve"> </w:t>
      </w:r>
      <w:r>
        <w:t xml:space="preserve">Fed. R. Evid. 501. Both reason and experience support the adoption of the significant purpose test. First, by protecting significant confidential communications relating to legal advice, regardless of whatever other purposes the communication may also serve, the test neither expands nor contracts the long-established boundaries of the privilege.</w:t>
      </w:r>
    </w:p>
    <w:p>
      <w:pPr>
        <w:keepNext/>
        <w:keepLines/>
        <w:spacing w:before="264" w:after="216" w:line="280" w:lineRule="exact"/>
        <w:ind w:left="0" w:firstLine="0"/>
        <w:jc w:val="center"/>
      </w:pPr>
      <w:r>
        <w:rPr>
          <w:b/>
          <w:bCs/>
        </w:rPr>
        <w:t xml:space="preserve">ARGUMENT</w:t>
      </w:r>
    </w:p>
    <w:p>
      <w:pPr>
        <w:keepNext/>
        <w:keepLines/>
        <w:spacing w:before="216" w:after="168" w:line="280" w:lineRule="exact"/>
        <w:ind w:left="576" w:hanging="576"/>
      </w:pPr>
      <w:r>
        <w:rPr>
          <w:b/>
          <w:bCs/>
        </w:rPr>
        <w:t xml:space="preserve">I.</w:t>
      </w:r>
      <w:r>
        <w:rPr>
          <w:b/>
          <w:bCs/>
        </w:rPr>
        <w:t xml:space="preserve"> </w:t>
      </w:r>
      <w:r>
        <w:rPr>
          <w:b/>
          <w:bCs/>
        </w:rPr>
        <w:t xml:space="preserve">Dual-Purpose</w:t>
      </w:r>
      <w:r>
        <w:rPr>
          <w:b/>
          <w:bCs/>
        </w:rPr>
        <w:t xml:space="preserve"> </w:t>
      </w:r>
      <w:r>
        <w:rPr>
          <w:b/>
          <w:bCs/>
        </w:rPr>
        <w:t xml:space="preserve">Communications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Robust</w:t>
      </w:r>
      <w:r>
        <w:rPr>
          <w:b/>
          <w:bCs/>
        </w:rPr>
        <w:t xml:space="preserve"> </w:t>
      </w:r>
      <w:r>
        <w:rPr>
          <w:b/>
          <w:bCs/>
        </w:rPr>
        <w:t xml:space="preserve">Attorney-Client</w:t>
      </w:r>
      <w:r>
        <w:rPr>
          <w:b/>
          <w:bCs/>
        </w:rPr>
        <w:t xml:space="preserve"> </w:t>
      </w:r>
      <w:r>
        <w:rPr>
          <w:b/>
          <w:bCs/>
        </w:rPr>
        <w:t xml:space="preserve">Privilege</w:t>
      </w:r>
      <w:r>
        <w:rPr>
          <w:b/>
          <w:bCs/>
        </w:rPr>
        <w:t xml:space="preserve"> </w:t>
      </w:r>
      <w:r>
        <w:rPr>
          <w:b/>
          <w:bCs/>
        </w:rPr>
        <w:t xml:space="preserve">Protection</w:t>
      </w:r>
    </w:p>
    <w:p>
      <w:pPr>
        <w:pStyle w:val="FirstParagraph"/>
      </w:pPr>
      <w:r>
        <w:t xml:space="preserve">1.</w:t>
      </w:r>
      <w:r>
        <w:t xml:space="preserve"> </w:t>
      </w:r>
      <w:r>
        <w:t xml:space="preserve">“The attorney-client privilege is the oldest of the privileges for confidential communications known to the common law.”</w:t>
      </w:r>
      <w:r>
        <w:t xml:space="preserve"> </w:t>
      </w:r>
      <w:r>
        <w:rPr>
          <w:i/>
          <w:iCs/>
        </w:rPr>
        <w:t xml:space="preserve">Upjohn</w:t>
      </w:r>
      <w:r>
        <w:t xml:space="preserve">, 449 U.S. at 389. Decisions about the scope of the privilege are</w:t>
      </w:r>
      <w:r>
        <w:t xml:space="preserve"> </w:t>
      </w:r>
      <w:r>
        <w:t xml:space="preserve">“guided by</w:t>
      </w:r>
      <w:r>
        <w:t xml:space="preserve"> </w:t>
      </w:r>
      <w:r>
        <w:t xml:space="preserve">‘the principles of the common law * * * as interpreted by the courts * * * in the light of reason and experience.’</w:t>
      </w:r>
      <w:r>
        <w:t xml:space="preserve">”</w:t>
      </w:r>
      <w:r>
        <w:t xml:space="preserve"> </w:t>
      </w:r>
      <w:r>
        <w:rPr>
          <w:i/>
          <w:iCs/>
        </w:rPr>
        <w:t xml:space="preserve">Swidler &amp; Berlin v. United States</w:t>
      </w:r>
      <w:r>
        <w:t xml:space="preserve">, 524 U.S. 399, 403 (1998) (quoting Fed. R. Evid. 501). The privilege protects from disclosure confidential communications between a client and attorney made to obtain or provide legal advice. See</w:t>
      </w:r>
      <w:r>
        <w:t xml:space="preserve"> </w:t>
      </w:r>
      <w:r>
        <w:rPr>
          <w:i/>
          <w:iCs/>
        </w:rPr>
        <w:t xml:space="preserve">Fisher</w:t>
      </w:r>
      <w:r>
        <w:t xml:space="preserve">, 425 U.S. at 403.</w:t>
      </w:r>
    </w:p>
    <w:p>
      <w:pPr>
        <w:pStyle w:val="BodyText"/>
      </w:pPr>
      <w:r>
        <w:t xml:space="preserve">This Court has long recognized that a robust attorney-client privilege safeguards vital public interests. As the Court explained in</w:t>
      </w:r>
      <w:r>
        <w:t xml:space="preserve"> </w:t>
      </w:r>
      <w:r>
        <w:rPr>
          <w:i/>
          <w:iCs/>
        </w:rPr>
        <w:t xml:space="preserve">Upjohn</w:t>
      </w:r>
      <w:r>
        <w:t xml:space="preserve">, the privilege</w:t>
      </w:r>
      <w:r>
        <w:t xml:space="preserve"> </w:t>
      </w:r>
      <w:r>
        <w:t xml:space="preserve">“promote[s] broader public interests in the observance of law and administration of justice.”</w:t>
      </w:r>
      <w:r>
        <w:t xml:space="preserve"> </w:t>
      </w:r>
      <w:r>
        <w:t xml:space="preserve">449 U.S. at 389. The privilege achieves those public interests by</w:t>
      </w:r>
      <w:r>
        <w:t xml:space="preserve"> </w:t>
      </w:r>
      <w:r>
        <w:t xml:space="preserve">“encourag[ing] full and frank communication between attorneys and their clients,”</w:t>
      </w:r>
      <w:r>
        <w:t xml:space="preserve"> </w:t>
      </w:r>
      <w:r>
        <w:t xml:space="preserve">on the understanding that such open and honest dialogue will provide attorneys with the full information they need to provide</w:t>
      </w:r>
      <w:r>
        <w:t xml:space="preserve"> </w:t>
      </w:r>
      <w:r>
        <w:t xml:space="preserve">“sound legal advice”</w:t>
      </w:r>
      <w:r>
        <w:t xml:space="preserve"> </w:t>
      </w:r>
      <w:r>
        <w:t xml:space="preserve">to their clients.</w:t>
      </w:r>
      <w:r>
        <w:t xml:space="preserve"> </w:t>
      </w:r>
      <w:r>
        <w:rPr>
          <w:i/>
          <w:iCs/>
        </w:rPr>
        <w:t xml:space="preserve">Id.</w:t>
      </w:r>
    </w:p>
    <w:p>
      <w:pPr>
        <w:keepNext/>
        <w:keepLines/>
        <w:spacing w:before="264" w:after="216" w:line="280" w:lineRule="exact"/>
        <w:ind w:left="0" w:firstLine="0"/>
        <w:jc w:val="center"/>
      </w:pPr>
      <w:r>
        <w:rPr>
          <w:b/>
          <w:bCs/>
        </w:rPr>
        <w:t xml:space="preserve">CONCLUSION</w:t>
      </w:r>
    </w:p>
    <w:p>
      <w:pPr>
        <w:pStyle w:val="FirstParagraph"/>
      </w:pPr>
      <w:r>
        <w:t xml:space="preserve">The judgment of the court of appeals should be reversed.</w:t>
      </w:r>
    </w:p>
    <w:p>
      <w:pPr>
        <w:keepNext/>
        <w:keepLines/>
        <w:spacing w:before="288" w:after="480" w:line="280" w:lineRule="exact"/>
        <w:ind w:left="0" w:firstLine="0"/>
      </w:pPr>
      <w:r>
        <w:t xml:space="preserve">Respectfully submitted,</w:t>
      </w:r>
    </w:p>
    <w:p>
      <w:pPr>
        <w:keepNext/>
        <w:keepLines/>
        <w:spacing w:before="0" w:after="0" w:line="280" w:lineRule="exact"/>
        <w:ind w:left="0" w:firstLine="0"/>
      </w:pPr>
      <w:r>
        <w:t xml:space="preserve">Daniel</w:t>
      </w:r>
      <w:r>
        <w:t xml:space="preserve"> </w:t>
      </w:r>
      <w:r>
        <w:t xml:space="preserve">B.</w:t>
      </w:r>
      <w:r>
        <w:t xml:space="preserve"> </w:t>
      </w:r>
      <w:r>
        <w:t xml:space="preserve">Levin</w:t>
      </w:r>
    </w:p>
    <w:p>
      <w:pPr>
        <w:keepNext/>
        <w:keepLines/>
        <w:spacing w:before="0" w:after="0" w:line="280" w:lineRule="exact"/>
        <w:ind w:left="0" w:firstLine="0"/>
      </w:pPr>
      <w:r>
        <w:rPr>
          <w:i/>
          <w:iCs/>
        </w:rPr>
        <w:t xml:space="preserve">Counsel</w:t>
      </w:r>
      <w:r>
        <w:rPr>
          <w:i/>
          <w:iCs/>
        </w:rPr>
        <w:t xml:space="preserve"> </w:t>
      </w:r>
      <w:r>
        <w:rPr>
          <w:i/>
          <w:iCs/>
        </w:rPr>
        <w:t xml:space="preserve">of</w:t>
      </w:r>
      <w:r>
        <w:rPr>
          <w:i/>
          <w:iCs/>
        </w:rPr>
        <w:t xml:space="preserve"> </w:t>
      </w:r>
      <w:r>
        <w:rPr>
          <w:i/>
          <w:iCs/>
        </w:rPr>
        <w:t xml:space="preserve">Record</w:t>
      </w:r>
    </w:p>
    <w:p>
      <w:pPr>
        <w:keepNext/>
        <w:keepLines/>
        <w:spacing w:before="0" w:after="0" w:line="280" w:lineRule="exact"/>
        <w:ind w:left="0" w:firstLine="0"/>
      </w:pPr>
      <w:r>
        <w:t xml:space="preserve">MUNGER,</w:t>
      </w:r>
      <w:r>
        <w:t xml:space="preserve"> </w:t>
      </w:r>
      <w:r>
        <w:t xml:space="preserve">TOLLES</w:t>
      </w:r>
      <w:r>
        <w:t xml:space="preserve"> </w:t>
      </w:r>
      <w:r>
        <w:t xml:space="preserve">&amp;</w:t>
      </w:r>
      <w:r>
        <w:t xml:space="preserve"> </w:t>
      </w:r>
      <w:r>
        <w:t xml:space="preserve">OLSON</w:t>
      </w:r>
      <w:r>
        <w:t xml:space="preserve"> </w:t>
      </w:r>
      <w:r>
        <w:t xml:space="preserve">LLP</w:t>
      </w:r>
    </w:p>
    <w:p>
      <w:pPr>
        <w:keepNext/>
        <w:keepLines/>
        <w:spacing w:before="0" w:after="0" w:line="280" w:lineRule="exact"/>
        <w:ind w:left="0" w:firstLine="0"/>
      </w:pPr>
      <w:r>
        <w:t xml:space="preserve">350</w:t>
      </w:r>
      <w:r>
        <w:t xml:space="preserve"> </w:t>
      </w:r>
      <w:r>
        <w:t xml:space="preserve">South</w:t>
      </w:r>
      <w:r>
        <w:t xml:space="preserve"> </w:t>
      </w:r>
      <w:r>
        <w:t xml:space="preserve">Grand</w:t>
      </w:r>
      <w:r>
        <w:t xml:space="preserve"> </w:t>
      </w:r>
      <w:r>
        <w:t xml:space="preserve">Avenue,</w:t>
      </w:r>
      <w:r>
        <w:t xml:space="preserve"> </w:t>
      </w:r>
      <w:r>
        <w:t xml:space="preserve">50th</w:t>
      </w:r>
      <w:r>
        <w:t xml:space="preserve"> </w:t>
      </w:r>
      <w:r>
        <w:t xml:space="preserve">Floor</w:t>
      </w:r>
    </w:p>
    <w:p>
      <w:pPr>
        <w:keepNext/>
        <w:keepLines/>
        <w:spacing w:before="0" w:after="0" w:line="280" w:lineRule="exact"/>
        <w:ind w:left="0" w:firstLine="0"/>
      </w:pPr>
      <w:r>
        <w:t xml:space="preserve">Los</w:t>
      </w:r>
      <w:r>
        <w:t xml:space="preserve"> </w:t>
      </w:r>
      <w:r>
        <w:t xml:space="preserve">Angeles,</w:t>
      </w:r>
      <w:r>
        <w:t xml:space="preserve"> </w:t>
      </w:r>
      <w:r>
        <w:t xml:space="preserve">CA</w:t>
      </w:r>
      <w:r>
        <w:t xml:space="preserve"> </w:t>
      </w:r>
      <w:r>
        <w:t xml:space="preserve">90071-⁠3426</w:t>
      </w:r>
    </w:p>
    <w:p>
      <w:pPr>
        <w:keepNext/>
        <w:keepLines/>
        <w:spacing w:before="0" w:after="0" w:line="280" w:lineRule="exact"/>
        <w:ind w:left="0" w:firstLine="0"/>
      </w:pPr>
      <w:r>
        <w:t xml:space="preserve">(213)</w:t>
      </w:r>
      <w:r>
        <w:t xml:space="preserve"> </w:t>
      </w:r>
      <w:r>
        <w:t xml:space="preserve">683-⁠9135</w:t>
      </w:r>
    </w:p>
    <w:p>
      <w:pPr>
        <w:keepNext/>
        <w:keepLines/>
        <w:spacing w:before="0" w:after="0" w:line="280" w:lineRule="exact"/>
        <w:ind w:left="0" w:firstLine="0"/>
      </w:pPr>
      <w:r>
        <w:t xml:space="preserve">Daniel.Levin@mto.com</w:t>
      </w:r>
    </w:p>
    <w:p>
      <w:pPr>
        <w:keepLines/>
        <w:spacing w:before="192" w:after="0" w:line="280" w:lineRule="exact"/>
        <w:ind w:left="0" w:firstLine="0"/>
      </w:pPr>
      <w:r>
        <w:t xml:space="preserve">November</w:t>
      </w:r>
      <w:r>
        <w:t xml:space="preserve"> </w:t>
      </w:r>
      <w:r>
        <w:t xml:space="preserve">16,</w:t>
      </w:r>
      <w:r>
        <w:t xml:space="preserve"> </w:t>
      </w:r>
      <w:r>
        <w:t xml:space="preserve">2022</w:t>
      </w:r>
    </w:p>
    <w:p>
      <w:pPr>
        <w:spacing w:before="0" w:after="0" w:line="20" w:lineRule="exact"/>
        <w:sectPr>
          <w:footerReference w:type="default" r:id="rIdFtrPage"/>
          <w:pgSz w:w="8820" w:h="13320"/>
          <w:pgMar w:top="1440" w:right="1441" w:bottom="1620" w:left="1440" w:header="0" w:footer="540" w:gutter="0"/>
          <w:pgNumType w:fmt="decimal" w:start="1"/>
        </w:sectPr>
      </w:pPr>
    </w:p>
    <w:p>
      <w:pPr>
        <w:keepNext/>
        <w:keepLines/>
        <w:spacing w:before="0" w:after="216" w:line="280" w:lineRule="exact"/>
        <w:ind w:left="0" w:firstLine="0"/>
        <w:jc w:val="center"/>
      </w:pPr>
      <w:r>
        <w:rPr>
          <w:b/>
          <w:bCs/>
        </w:rPr>
        <w:t xml:space="preserve">Certificate of Compliance</w:t>
      </w:r>
    </w:p>
    <w:p>
      <w:pPr>
        <w:spacing w:before="0" w:after="180" w:line="280" w:lineRule="exact"/>
        <w:ind w:left="0" w:firstLine="0"/>
      </w:pPr>
      <w:r>
        <w:t xml:space="preserve">I certify that this brief complies with the word limit of Supreme Court Rule 33.1(g), 13,000 words for a brief on the merits for a petitioner or appellant, and that it contains 2,271 words, excluding the parts that Rule 33.1(d) excludes.</w:t>
      </w:r>
    </w:p>
    <w:p>
      <w:pPr>
        <w:keepNext/>
        <w:keepLines/>
        <w:spacing w:before="288" w:after="480" w:line="280" w:lineRule="exact"/>
        <w:ind w:left="0" w:firstLine="0"/>
      </w:pPr>
      <w:r>
        <w:t xml:space="preserve">Respectfully submitted,</w:t>
      </w:r>
    </w:p>
    <w:p>
      <w:pPr>
        <w:keepNext/>
        <w:keepLines/>
        <w:spacing w:before="0" w:after="0" w:line="280" w:lineRule="exact"/>
        <w:ind w:left="0" w:firstLine="0"/>
      </w:pPr>
      <w:r>
        <w:t xml:space="preserve">Daniel</w:t>
      </w:r>
      <w:r>
        <w:t xml:space="preserve"> </w:t>
      </w:r>
      <w:r>
        <w:t xml:space="preserve">B.</w:t>
      </w:r>
      <w:r>
        <w:t xml:space="preserve"> </w:t>
      </w:r>
      <w:r>
        <w:t xml:space="preserve">Levin</w:t>
      </w:r>
    </w:p>
    <w:p>
      <w:pPr>
        <w:keepNext/>
        <w:keepLines/>
        <w:spacing w:before="0" w:after="0" w:line="280" w:lineRule="exact"/>
        <w:ind w:left="0" w:firstLine="0"/>
      </w:pPr>
      <w:r>
        <w:rPr>
          <w:i/>
          <w:iCs/>
        </w:rPr>
        <w:t xml:space="preserve">Counsel</w:t>
      </w:r>
      <w:r>
        <w:rPr>
          <w:i/>
          <w:iCs/>
        </w:rPr>
        <w:t xml:space="preserve"> </w:t>
      </w:r>
      <w:r>
        <w:rPr>
          <w:i/>
          <w:iCs/>
        </w:rPr>
        <w:t xml:space="preserve">of</w:t>
      </w:r>
      <w:r>
        <w:rPr>
          <w:i/>
          <w:iCs/>
        </w:rPr>
        <w:t xml:space="preserve"> </w:t>
      </w:r>
      <w:r>
        <w:rPr>
          <w:i/>
          <w:iCs/>
        </w:rPr>
        <w:t xml:space="preserve">Record</w:t>
      </w:r>
    </w:p>
    <w:p>
      <w:pPr>
        <w:keepNext/>
        <w:keepLines/>
        <w:spacing w:before="0" w:after="0" w:line="280" w:lineRule="exact"/>
        <w:ind w:left="0" w:firstLine="0"/>
      </w:pPr>
      <w:r>
        <w:t xml:space="preserve">MUNGER,</w:t>
      </w:r>
      <w:r>
        <w:t xml:space="preserve"> </w:t>
      </w:r>
      <w:r>
        <w:t xml:space="preserve">TOLLES</w:t>
      </w:r>
      <w:r>
        <w:t xml:space="preserve"> </w:t>
      </w:r>
      <w:r>
        <w:t xml:space="preserve">&amp;</w:t>
      </w:r>
      <w:r>
        <w:t xml:space="preserve"> </w:t>
      </w:r>
      <w:r>
        <w:t xml:space="preserve">OLSON</w:t>
      </w:r>
      <w:r>
        <w:t xml:space="preserve"> </w:t>
      </w:r>
      <w:r>
        <w:t xml:space="preserve">LLP</w:t>
      </w:r>
    </w:p>
    <w:p>
      <w:pPr>
        <w:keepNext/>
        <w:keepLines/>
        <w:spacing w:before="0" w:after="0" w:line="280" w:lineRule="exact"/>
        <w:ind w:left="0" w:firstLine="0"/>
      </w:pPr>
      <w:r>
        <w:t xml:space="preserve">350</w:t>
      </w:r>
      <w:r>
        <w:t xml:space="preserve"> </w:t>
      </w:r>
      <w:r>
        <w:t xml:space="preserve">South</w:t>
      </w:r>
      <w:r>
        <w:t xml:space="preserve"> </w:t>
      </w:r>
      <w:r>
        <w:t xml:space="preserve">Grand</w:t>
      </w:r>
      <w:r>
        <w:t xml:space="preserve"> </w:t>
      </w:r>
      <w:r>
        <w:t xml:space="preserve">Avenue,</w:t>
      </w:r>
      <w:r>
        <w:t xml:space="preserve"> </w:t>
      </w:r>
      <w:r>
        <w:t xml:space="preserve">50th</w:t>
      </w:r>
      <w:r>
        <w:t xml:space="preserve"> </w:t>
      </w:r>
      <w:r>
        <w:t xml:space="preserve">Floor</w:t>
      </w:r>
    </w:p>
    <w:p>
      <w:pPr>
        <w:keepNext/>
        <w:keepLines/>
        <w:spacing w:before="0" w:after="0" w:line="280" w:lineRule="exact"/>
        <w:ind w:left="0" w:firstLine="0"/>
      </w:pPr>
      <w:r>
        <w:t xml:space="preserve">Los</w:t>
      </w:r>
      <w:r>
        <w:t xml:space="preserve"> </w:t>
      </w:r>
      <w:r>
        <w:t xml:space="preserve">Angeles,</w:t>
      </w:r>
      <w:r>
        <w:t xml:space="preserve"> </w:t>
      </w:r>
      <w:r>
        <w:t xml:space="preserve">CA</w:t>
      </w:r>
      <w:r>
        <w:t xml:space="preserve"> </w:t>
      </w:r>
      <w:r>
        <w:t xml:space="preserve">90071-⁠3426</w:t>
      </w:r>
    </w:p>
    <w:p>
      <w:pPr>
        <w:keepNext/>
        <w:keepLines/>
        <w:spacing w:before="0" w:after="0" w:line="280" w:lineRule="exact"/>
        <w:ind w:left="0" w:firstLine="0"/>
      </w:pPr>
      <w:r>
        <w:t xml:space="preserve">(213)</w:t>
      </w:r>
      <w:r>
        <w:t xml:space="preserve"> </w:t>
      </w:r>
      <w:r>
        <w:t xml:space="preserve">683-⁠9135</w:t>
      </w:r>
    </w:p>
    <w:p>
      <w:pPr>
        <w:keepNext/>
        <w:keepLines/>
        <w:spacing w:before="0" w:after="0" w:line="280" w:lineRule="exact"/>
        <w:ind w:left="0" w:firstLine="0"/>
      </w:pPr>
      <w:r>
        <w:t xml:space="preserve">Daniel.Levin@mto.com</w:t>
      </w:r>
    </w:p>
    <w:p>
      <w:pPr>
        <w:keepLines/>
        <w:spacing w:before="192" w:after="0" w:line="280" w:lineRule="exact"/>
        <w:ind w:left="0" w:firstLine="0"/>
      </w:pPr>
      <w:r>
        <w:t xml:space="preserve">November</w:t>
      </w:r>
      <w:r>
        <w:t xml:space="preserve"> </w:t>
      </w:r>
      <w:r>
        <w:t xml:space="preserve">16,</w:t>
      </w:r>
      <w:r>
        <w:t xml:space="preserve"> </w:t>
      </w:r>
      <w:r>
        <w:t xml:space="preserve">2022</w:t>
      </w:r>
    </w:p>
    <w:sectPr>
      <w:footerReference w:type="default" r:id="rIdFtrNone"/>
      <w:pgSz w:w="8820" w:h="13320"/>
      <w:pgMar w:top="1440" w:right="1441" w:bottom="1620" w:left="1440" w:header="0" w:footer="5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district court issued two versions of its order, redacting certain information from Petitioner’s copy and redacting different information from the government’s copy. The version of the order contained in the Petition Appendix combines those redactions, removing all text redacted from each version of the order. The redacted information is not relevant to the question presented.</w:t>
      </w:r>
    </w:p>
  </w:footnote>
  <w:footnote w:id="10">
    <w:p>
      <w:pPr>
        <w:pStyle w:val="FootnoteText"/>
      </w:pPr>
      <w:r>
        <w:rPr>
          <w:rStyle w:val="FootnoteReference"/>
        </w:rPr>
        <w:footnoteRef/>
      </w:r>
      <w:r>
        <w:t xml:space="preserve"> </w:t>
      </w:r>
      <w:r>
        <w:t xml:space="preserve">Several courts have held that communications with an attorney</w:t>
      </w:r>
      <w:r>
        <w:t xml:space="preserve"> </w:t>
      </w:r>
      <w:r>
        <w:t xml:space="preserve">“made solely for tax return preparation are not privileged.”</w:t>
      </w:r>
      <w:r>
        <w:t xml:space="preserve"> </w:t>
      </w:r>
      <w:r>
        <w:rPr>
          <w:i/>
          <w:iCs/>
        </w:rPr>
        <w:t xml:space="preserve">Abrahams</w:t>
      </w:r>
      <w:r>
        <w:t xml:space="preserve">, 905 F.2d at 1284. This Court need not address here precisely where the line falls between communications related to the mechanics of preparing a return or effectuating basic mathematical calculations, which would not be privileged, and communications to ensure that a filed return complies with the Internal Revenue Code, which should be privileged because they will require judgments about what the law allows or requires.</w:t>
      </w:r>
    </w:p>
  </w:footnote>
  <w:footnote w:id="11">
    <w:p>
      <w:pPr>
        <w:pStyle w:val="FootnoteText"/>
      </w:pPr>
      <w:r>
        <w:rPr>
          <w:rStyle w:val="FootnoteReference"/>
        </w:rPr>
        <w:footnoteRef/>
      </w:r>
      <w:r>
        <w:t xml:space="preserve"> </w:t>
      </w:r>
      <w:r>
        <w:t xml:space="preserve">Given the grouping in the district court order, Petitioner submitted a list of all 54 of those documents to the Ninth Circuit under the heading of</w:t>
      </w:r>
      <w:r>
        <w:t xml:space="preserve"> </w:t>
      </w:r>
      <w:r>
        <w:t xml:space="preserve">“dual-purpose”</w:t>
      </w:r>
      <w:r>
        <w:t xml:space="preserve"> </w:t>
      </w:r>
      <w:r>
        <w:t xml:space="preserve">documents. CA9 Opening Br. at 25 &amp; n.15;</w:t>
      </w:r>
      <w:r>
        <w:t xml:space="preserve"> </w:t>
      </w:r>
      <w:r>
        <w:rPr>
          <w:i/>
          <w:iCs/>
        </w:rPr>
        <w:t xml:space="preserve">id.</w:t>
      </w:r>
      <w:r>
        <w:t xml:space="preserve"> </w:t>
      </w:r>
      <w:r>
        <w:t xml:space="preserve">at 59-⁠60 (Ex. A). All of these 54 documents are included in the Sealed Joint Appendix, with the court-ordered redactions shown.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14="http://schemas.microsoft.com/office/word/2010/wordml" xmlns:r="http://schemas.openxmlformats.org/officeDocument/2006/relationships" xmlns:w="http://schemas.openxmlformats.org/wordprocessingml/2006/main" mc:Ignorable="w14">
  <w:docDefaults>
    <w:rPrDefault>
      <w:rPr>
        <w:rFonts w:ascii="TeX Gyre Schola" w:hAnsi="TeX Gyre Schola" w:eastAsia="TeX Gyre Schola" w:cs="TeX Gyre Schola"/>
        <w:sz w:val="24"/>
        <w:szCs w:val="24"/>
        <w:lang w:val="en-US" w:eastAsia="zh-CN" w:bidi="ar-SA"/>
        <w14:ligatures w14:val="none"/>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180" w:line="280" w:lineRule="exact"/>
      <w:ind w:firstLine="432"/>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80" w:lineRule="exact"/>
      <w:ind w:firstLine="0"/>
      <w:jc w:val="center"/>
      <w:outlineLvl w:val="0"/>
    </w:pPr>
    <w:rPr>
      <w:rFonts w:ascii="TeX Gyre Schola" w:hAnsi="TeX Gyre Schola" w:eastAsia="TeX Gyre Schola" w:cs="TeX Gyre Schola"/>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80" w:lineRule="exact"/>
      <w:ind w:firstLine="0"/>
      <w:outlineLvl w:val="1"/>
    </w:pPr>
    <w:rPr>
      <w:rFonts w:ascii="TeX Gyre Schola" w:hAnsi="TeX Gyre Schola" w:eastAsia="TeX Gyre Schola" w:cs="TeX Gyre Schola"/>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80" w:lineRule="exact"/>
      <w:ind w:firstLine="0"/>
      <w:outlineLvl w:val="2"/>
    </w:pPr>
    <w:rPr>
      <w:rFonts w:ascii="TeX Gyre Schola" w:hAnsi="TeX Gyre Schola" w:eastAsia="TeX Gyre Schola" w:cs="TeX Gyre Schola"/>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eX Gyre Schola" w:hAnsi="TeX Gyre Schola" w:eastAsia="TeX Gyre Schola" w:cs="TeX Gyre Schola"/>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eX Gyre Schola" w:hAnsi="TeX Gyre Schola" w:eastAsia="TeX Gyre Schola" w:cs="TeX Gyre Schola"/>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280" w:lineRule="exact"/>
      <w:ind w:left="432" w:hanging="432"/>
    </w:pPr>
  </w:style>
  <w:style w:type="paragraph" w:styleId="BlockText">
    <w:name w:val="Block Text"/>
    <w:basedOn w:val="BodyText"/>
    <w:next w:val="BodyText"/>
    <w:uiPriority w:val="9"/>
    <w:unhideWhenUsed/>
    <w:qFormat/>
    <w:pPr>
      <w:spacing w:before="180" w:after="180" w:line="280" w:lineRule="exact"/>
      <w:ind w:firstLine="0" w:left="432" w:right="432"/>
    </w:pPr>
  </w:style>
  <w:style w:type="paragraph" w:styleId="FootnoteText">
    <w:name w:val="Footnote Text"/>
    <w:basedOn w:val="Normal"/>
    <w:next w:val="FootnoteText"/>
    <w:uiPriority w:val="9"/>
    <w:unhideWhenUsed/>
    <w:qFormat/>
    <w:pPr>
      <w:keepLines/>
      <w:spacing w:before="0" w:after="120" w:line="240" w:lineRule="exact"/>
    </w:pPr>
    <w:rPr>
      <w:sz w:val="20"/>
      <w:szCs w:val="20"/>
    </w:rPr>
  </w:style>
  <w:style w:type="paragraph" w:styleId="FootnoteBlockText">
    <w:name w:val="Footnote Block Text"/>
    <w:basedOn w:val="FootnoteText"/>
    <w:next w:val="FootnoteText"/>
    <w:uiPriority w:val="9"/>
    <w:unhideWhenUsed/>
    <w:qFormat/>
    <w:pPr>
      <w:spacing w:before="180" w:after="180"/>
      <w:ind w:firstLine="0" w:left="432" w:right="432"/>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FirstParagraphNote">
    <w:name w:val="First Paragraph Note"/>
    <w:basedOn w:val="FirstParagrap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