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576" w:after="0" w:line="276" w:lineRule="exact"/>
        <w:ind w:left="0" w:firstLine="0"/>
        <w:jc w:val="center"/>
      </w:pPr>
      <w:r>
        <w:rPr>
          <w:b/>
          <w:bCs/>
        </w:rPr>
        <w:t xml:space="preserve">NO.</w:t>
      </w:r>
      <w:r>
        <w:rPr>
          <w:b/>
          <w:bCs/>
        </w:rPr>
        <w:t xml:space="preserve"> </w:t>
      </w:r>
      <w:r>
        <w:rPr>
          <w:b/>
          <w:bCs/>
        </w:rPr>
        <w:t xml:space="preserve">24</w:t>
        <w:noBreakHyphen/>
        <w:t xml:space="preserve">166</w:t>
      </w:r>
    </w:p>
    <w:p>
      <w:pPr>
        <w:spacing w:before="576" w:after="0" w:line="276" w:lineRule="exact"/>
        <w:ind w:left="0" w:firstLine="0"/>
        <w:jc w:val="center"/>
      </w:pPr>
      <w:r>
        <w:t xml:space="preserve">CITY</w:t>
      </w:r>
      <w:r>
        <w:t xml:space="preserve"> </w:t>
      </w:r>
      <w:r>
        <w:t xml:space="preserve">OF</w:t>
      </w:r>
      <w:r>
        <w:t xml:space="preserve"> </w:t>
      </w:r>
      <w:r>
        <w:t xml:space="preserve">HUNTINGTON,</w:t>
      </w:r>
      <w:r>
        <w:t xml:space="preserve"> </w:t>
      </w:r>
      <w:r>
        <w:t xml:space="preserve">WEST</w:t>
      </w:r>
      <w:r>
        <w:t xml:space="preserve"> </w:t>
      </w:r>
      <w:r>
        <w:t xml:space="preserve">VIRGINIA,</w:t>
      </w:r>
      <w:r>
        <w:t xml:space="preserve"> </w:t>
      </w:r>
      <w:r>
        <w:t xml:space="preserve">and</w:t>
      </w:r>
      <w:r>
        <w:t xml:space="preserve"> </w:t>
      </w:r>
      <w:r>
        <w:t xml:space="preserve">CABELL</w:t>
      </w:r>
      <w:r>
        <w:t xml:space="preserve"> </w:t>
      </w:r>
      <w:r>
        <w:t xml:space="preserve">COUNTY</w:t>
      </w:r>
      <w:r>
        <w:t xml:space="preserve"> </w:t>
      </w:r>
      <w:r>
        <w:t xml:space="preserve">COMMISSION,</w:t>
      </w:r>
    </w:p>
    <w:p>
      <w:pPr>
        <w:spacing w:before="0" w:after="0" w:line="276" w:lineRule="exact"/>
        <w:ind w:left="0" w:firstLine="0"/>
        <w:jc w:val="center"/>
      </w:pPr>
      <w:r>
        <w:rPr>
          <w:i/>
          <w:iCs/>
        </w:rPr>
        <w:t xml:space="preserve">Petitioners</w:t>
      </w:r>
    </w:p>
    <w:p>
      <w:pPr>
        <w:spacing w:before="288" w:after="0" w:line="276" w:lineRule="exact"/>
        <w:ind w:left="0" w:firstLine="0"/>
        <w:jc w:val="center"/>
      </w:pPr>
      <w:r>
        <w:t xml:space="preserve">v.</w:t>
      </w:r>
    </w:p>
    <w:p>
      <w:pPr>
        <w:spacing w:before="0" w:after="0" w:line="276" w:lineRule="exact"/>
        <w:ind w:left="0" w:firstLine="0"/>
        <w:jc w:val="center"/>
      </w:pPr>
    </w:p>
    <w:p>
      <w:pPr>
        <w:spacing w:before="288" w:after="0" w:line="276" w:lineRule="exact"/>
        <w:ind w:left="0" w:firstLine="0"/>
        <w:jc w:val="center"/>
      </w:pPr>
      <w:r>
        <w:t xml:space="preserve">AMERISOURCEBERGEN</w:t>
      </w:r>
      <w:r>
        <w:t xml:space="preserve"> </w:t>
      </w:r>
      <w:r>
        <w:t xml:space="preserve">DRUG</w:t>
      </w:r>
      <w:r>
        <w:t xml:space="preserve"> </w:t>
      </w:r>
      <w:r>
        <w:t xml:space="preserve">CORPORATION,</w:t>
      </w:r>
      <w:r>
        <w:t xml:space="preserve"> </w:t>
      </w:r>
      <w:r>
        <w:t xml:space="preserve">CARDINAL</w:t>
      </w:r>
      <w:r>
        <w:t xml:space="preserve"> </w:t>
      </w:r>
      <w:r>
        <w:t xml:space="preserve">HEALTH,</w:t>
      </w:r>
      <w:r>
        <w:t xml:space="preserve"> </w:t>
      </w:r>
      <w:r>
        <w:t xml:space="preserve">INC.,</w:t>
      </w:r>
      <w:r>
        <w:t xml:space="preserve"> </w:t>
      </w:r>
      <w:r>
        <w:t xml:space="preserve">and</w:t>
      </w:r>
      <w:r>
        <w:t xml:space="preserve"> </w:t>
      </w:r>
      <w:r>
        <w:t xml:space="preserve">MCKESSON</w:t>
      </w:r>
      <w:r>
        <w:t xml:space="preserve"> </w:t>
      </w:r>
      <w:r>
        <w:t xml:space="preserve">CORPORATION,</w:t>
      </w:r>
    </w:p>
    <w:p>
      <w:pPr>
        <w:spacing w:before="0" w:after="0" w:line="276" w:lineRule="exact"/>
        <w:ind w:left="0" w:firstLine="0"/>
        <w:jc w:val="center"/>
      </w:pPr>
      <w:r>
        <w:rPr>
          <w:i/>
          <w:iCs/>
        </w:rPr>
        <w:t xml:space="preserve">Respondents</w:t>
      </w:r>
    </w:p>
    <w:p>
      <w:pPr>
        <w:spacing w:before="1008" w:after="0" w:line="276" w:lineRule="exact"/>
        <w:ind w:left="720" w:right="72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SUBMITTED</w:t>
      </w:r>
      <w:r>
        <w:rPr>
          <w:b/>
          <w:bCs/>
        </w:rPr>
        <w:t xml:space="preserve"> </w:t>
      </w:r>
      <w:r>
        <w:rPr>
          <w:b/>
          <w:bCs/>
        </w:rPr>
        <w:t xml:space="preserve">BY</w:t>
      </w:r>
      <w:r>
        <w:rPr>
          <w:b/>
          <w:bCs/>
        </w:rPr>
        <w:t xml:space="preserve"> </w:t>
      </w:r>
      <w:r>
        <w:rPr>
          <w:b/>
          <w:bCs/>
        </w:rPr>
        <w:t xml:space="preserve">AMERICAN</w:t>
      </w:r>
      <w:r>
        <w:rPr>
          <w:b/>
          <w:bCs/>
        </w:rPr>
        <w:t xml:space="preserve"> </w:t>
      </w:r>
      <w:r>
        <w:rPr>
          <w:b/>
          <w:bCs/>
        </w:rPr>
        <w:t xml:space="preserve">TORT</w:t>
      </w:r>
      <w:r>
        <w:rPr>
          <w:b/>
          <w:bCs/>
        </w:rPr>
        <w:t xml:space="preserve"> </w:t>
      </w:r>
      <w:r>
        <w:rPr>
          <w:b/>
          <w:bCs/>
        </w:rPr>
        <w:t xml:space="preserve">REFORM</w:t>
      </w:r>
      <w:r>
        <w:rPr>
          <w:b/>
          <w:bCs/>
        </w:rPr>
        <w:t xml:space="preserve"> </w:t>
      </w:r>
      <w:r>
        <w:rPr>
          <w:b/>
          <w:bCs/>
        </w:rPr>
        <w:t xml:space="preserve">ASSOCIATION</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RESPONDENTS</w:t>
      </w:r>
      <w:r>
        <w:rPr>
          <w:b/>
          <w:bCs/>
        </w:rPr>
        <w:t xml:space="preserve"> </w:t>
      </w:r>
      <w:r>
        <w:rPr>
          <w:b/>
          <w:bCs/>
        </w:rPr>
        <w:t xml:space="preserve">AMERISOURCEBERGEN</w:t>
      </w:r>
      <w:r>
        <w:rPr>
          <w:b/>
          <w:bCs/>
        </w:rPr>
        <w:t xml:space="preserve"> </w:t>
      </w:r>
      <w:r>
        <w:rPr>
          <w:b/>
          <w:bCs/>
        </w:rPr>
        <w:t xml:space="preserve">DRUG</w:t>
      </w:r>
      <w:r>
        <w:rPr>
          <w:b/>
          <w:bCs/>
        </w:rPr>
        <w:t xml:space="preserve"> </w:t>
      </w:r>
      <w:r>
        <w:rPr>
          <w:b/>
          <w:bCs/>
        </w:rPr>
        <w:t xml:space="preserve">CORPORATION,</w:t>
      </w:r>
      <w:r>
        <w:rPr>
          <w:b/>
          <w:bCs/>
        </w:rPr>
        <w:t xml:space="preserve"> </w:t>
      </w:r>
      <w:r>
        <w:rPr>
          <w:b/>
          <w:bCs/>
        </w:rPr>
        <w:t xml:space="preserve">CARDINAL</w:t>
      </w:r>
      <w:r>
        <w:rPr>
          <w:b/>
          <w:bCs/>
        </w:rPr>
        <w:t xml:space="preserve"> </w:t>
      </w:r>
      <w:r>
        <w:rPr>
          <w:b/>
          <w:bCs/>
        </w:rPr>
        <w:t xml:space="preserve">HEALTH,</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MCKESSON</w:t>
      </w:r>
      <w:r>
        <w:rPr>
          <w:b/>
          <w:bCs/>
        </w:rPr>
        <w:t xml:space="preserve"> </w:t>
      </w:r>
      <w:r>
        <w:rPr>
          <w:b/>
          <w:bCs/>
        </w:rPr>
        <w:t xml:space="preserve">CORPORATION</w:t>
      </w:r>
    </w:p>
    <w:p>
      <w:pPr>
        <w:spacing w:before="1440" w:after="0" w:line="276" w:lineRule="exact"/>
        <w:ind w:left="0" w:firstLine="0"/>
        <w:jc w:val="left"/>
      </w:pPr>
      <w:r>
        <w:t xml:space="preserve">Marc</w:t>
      </w:r>
      <w:r>
        <w:t xml:space="preserve"> </w:t>
      </w:r>
      <w:r>
        <w:t xml:space="preserve">E.</w:t>
      </w:r>
      <w:r>
        <w:t xml:space="preserve"> </w:t>
      </w:r>
      <w:r>
        <w:t xml:space="preserve">Williams</w:t>
      </w:r>
      <w:r>
        <w:t xml:space="preserve"> </w:t>
      </w:r>
      <w:r>
        <w:t xml:space="preserve">(WV</w:t>
      </w:r>
      <w:r>
        <w:t xml:space="preserve"> </w:t>
      </w:r>
      <w:r>
        <w:t xml:space="preserve">Bar</w:t>
      </w:r>
      <w:r>
        <w:t xml:space="preserve"> </w:t>
      </w:r>
      <w:r>
        <w:t xml:space="preserve">No.</w:t>
      </w:r>
      <w:r>
        <w:t xml:space="preserve"> </w:t>
      </w:r>
      <w:r>
        <w:t xml:space="preserve">4062)</w:t>
      </w:r>
    </w:p>
    <w:p>
      <w:pPr>
        <w:spacing w:before="0" w:after="0" w:line="276" w:lineRule="exact"/>
        <w:ind w:left="0" w:firstLine="0"/>
        <w:jc w:val="left"/>
      </w:pPr>
      <w:r>
        <w:t xml:space="preserve">Shaina</w:t>
      </w:r>
      <w:r>
        <w:t xml:space="preserve"> </w:t>
      </w:r>
      <w:r>
        <w:t xml:space="preserve">D.</w:t>
      </w:r>
      <w:r>
        <w:t xml:space="preserve"> </w:t>
      </w:r>
      <w:r>
        <w:t xml:space="preserve">Massie</w:t>
      </w:r>
      <w:r>
        <w:t xml:space="preserve"> </w:t>
      </w:r>
      <w:r>
        <w:t xml:space="preserve">(WV</w:t>
      </w:r>
      <w:r>
        <w:t xml:space="preserve"> </w:t>
      </w:r>
      <w:r>
        <w:t xml:space="preserve">Bar</w:t>
      </w:r>
      <w:r>
        <w:t xml:space="preserve"> </w:t>
      </w:r>
      <w:r>
        <w:t xml:space="preserve">No.</w:t>
      </w:r>
      <w:r>
        <w:t xml:space="preserve"> </w:t>
      </w:r>
      <w:r>
        <w:t xml:space="preserve">13018)</w:t>
      </w:r>
    </w:p>
    <w:p>
      <w:pPr>
        <w:spacing w:before="0" w:after="0" w:line="276" w:lineRule="exact"/>
        <w:ind w:left="0" w:firstLine="0"/>
        <w:jc w:val="left"/>
      </w:pPr>
      <w:r>
        <w:t xml:space="preserve">NELSON</w:t>
      </w:r>
      <w:r>
        <w:t xml:space="preserve"> </w:t>
      </w:r>
      <w:r>
        <w:t xml:space="preserve">MULLINS</w:t>
      </w:r>
      <w:r>
        <w:t xml:space="preserve"> </w:t>
      </w:r>
      <w:r>
        <w:t xml:space="preserve">RILEY</w:t>
      </w:r>
      <w:r>
        <w:t xml:space="preserve"> </w:t>
      </w:r>
      <w:r>
        <w:t xml:space="preserve">&amp;</w:t>
      </w:r>
      <w:r>
        <w:t xml:space="preserve"> </w:t>
      </w:r>
      <w:r>
        <w:t xml:space="preserve">SCARBOROUGH</w:t>
      </w:r>
      <w:r>
        <w:t xml:space="preserve"> </w:t>
      </w:r>
      <w:r>
        <w:t xml:space="preserve">LLP</w:t>
      </w:r>
    </w:p>
    <w:p>
      <w:pPr>
        <w:spacing w:before="0" w:after="0" w:line="276" w:lineRule="exact"/>
        <w:ind w:left="0" w:firstLine="0"/>
        <w:jc w:val="left"/>
      </w:pPr>
      <w:r>
        <w:t xml:space="preserve">949</w:t>
      </w:r>
      <w:r>
        <w:t xml:space="preserve"> </w:t>
      </w:r>
      <w:r>
        <w:t xml:space="preserve">Third</w:t>
      </w:r>
      <w:r>
        <w:t xml:space="preserve"> </w:t>
      </w:r>
      <w:r>
        <w:t xml:space="preserve">Avenue,</w:t>
      </w:r>
      <w:r>
        <w:t xml:space="preserve"> </w:t>
      </w:r>
      <w:r>
        <w:t xml:space="preserve">Suite</w:t>
      </w:r>
      <w:r>
        <w:t xml:space="preserve"> </w:t>
      </w:r>
      <w:r>
        <w:t xml:space="preserve">200</w:t>
      </w:r>
    </w:p>
    <w:p>
      <w:pPr>
        <w:spacing w:before="0" w:after="0" w:line="276" w:lineRule="exact"/>
        <w:ind w:left="0" w:firstLine="0"/>
        <w:jc w:val="left"/>
      </w:pPr>
      <w:r>
        <w:t xml:space="preserve">Huntington,</w:t>
      </w:r>
      <w:r>
        <w:t xml:space="preserve"> </w:t>
      </w:r>
      <w:r>
        <w:t xml:space="preserve">WV</w:t>
      </w:r>
      <w:r>
        <w:t xml:space="preserve"> </w:t>
      </w:r>
      <w:r>
        <w:t xml:space="preserve">25701</w:t>
      </w:r>
    </w:p>
    <w:p>
      <w:pPr>
        <w:spacing w:before="0" w:after="0" w:line="276" w:lineRule="exact"/>
        <w:ind w:left="0" w:firstLine="0"/>
        <w:jc w:val="left"/>
      </w:pPr>
      <w:r>
        <w:t xml:space="preserve">Phone:</w:t>
      </w:r>
      <w:r>
        <w:t xml:space="preserve"> </w:t>
      </w:r>
      <w:r>
        <w:t xml:space="preserve">(304)</w:t>
      </w:r>
      <w:r>
        <w:t xml:space="preserve"> </w:t>
      </w:r>
      <w:r>
        <w:t xml:space="preserve">526</w:t>
        <w:noBreakHyphen/>
        <w:t xml:space="preserve">3500</w:t>
      </w:r>
    </w:p>
    <w:p>
      <w:pPr>
        <w:spacing w:before="0" w:after="0" w:line="276" w:lineRule="exact"/>
        <w:ind w:left="0" w:firstLine="0"/>
        <w:jc w:val="left"/>
      </w:pPr>
      <w:r>
        <w:t xml:space="preserve">Fax:</w:t>
      </w:r>
      <w:r>
        <w:t xml:space="preserve"> </w:t>
      </w:r>
      <w:r>
        <w:t xml:space="preserve">(304)</w:t>
      </w:r>
      <w:r>
        <w:t xml:space="preserve"> </w:t>
      </w:r>
      <w:r>
        <w:t xml:space="preserve">526</w:t>
        <w:noBreakHyphen/>
        <w:t xml:space="preserve">3599</w:t>
      </w:r>
    </w:p>
    <w:p>
      <w:pPr>
        <w:spacing w:before="0" w:after="0" w:line="276" w:lineRule="exact"/>
        <w:ind w:left="0" w:firstLine="0"/>
        <w:jc w:val="left"/>
      </w:pPr>
      <w:r>
        <w:t xml:space="preserve">Email:</w:t>
      </w:r>
      <w:r>
        <w:t xml:space="preserve"> </w:t>
      </w:r>
      <w:r>
        <w:t xml:space="preserve">marc.williams@nelsonmullins.com</w:t>
      </w:r>
    </w:p>
    <w:p>
      <w:pPr>
        <w:spacing w:before="0" w:after="0" w:line="276" w:lineRule="exact"/>
        <w:ind w:left="0" w:firstLine="0"/>
        <w:jc w:val="left"/>
      </w:pPr>
      <w:r>
        <w:t xml:space="preserve">Email:</w:t>
      </w:r>
      <w:r>
        <w:t xml:space="preserve"> </w:t>
      </w:r>
      <w:r>
        <w:t xml:space="preserve">shaina.massie@nelsonmullins.com</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American</w:t>
      </w:r>
      <w:r>
        <w:rPr>
          <w:i/>
          <w:iCs/>
        </w:rPr>
        <w:t xml:space="preserve"> </w:t>
      </w:r>
      <w:r>
        <w:rPr>
          <w:i/>
          <w:iCs/>
        </w:rPr>
        <w:t xml:space="preserve">Tort</w:t>
      </w:r>
      <w:r>
        <w:rPr>
          <w:i/>
          <w:iCs/>
        </w:rPr>
        <w:t xml:space="preserve"> </w:t>
      </w:r>
      <w:r>
        <w:rPr>
          <w:i/>
          <w:iCs/>
        </w:rPr>
        <w:t xml:space="preserve">Reform</w:t>
      </w:r>
      <w:r>
        <w:rPr>
          <w:i/>
          <w:iCs/>
        </w:rPr>
        <w:t xml:space="preserve"> </w:t>
      </w:r>
      <w:r>
        <w:rPr>
          <w:i/>
          <w:iCs/>
        </w:rPr>
        <w:t xml:space="preserve">Association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STATEMENT</w:t>
      </w:r>
      <w:r>
        <w:t xml:space="preserve"> </w:t>
      </w:r>
      <w:r>
        <w:t xml:space="preserve">OF</w:t>
      </w:r>
      <w:r>
        <w:t xml:space="preserve"> </w:t>
      </w:r>
      <w:r>
        <w:t xml:space="preserve">IDENTITY,</w:t>
      </w:r>
      <w:r>
        <w:t xml:space="preserve"> </w:t>
      </w:r>
      <w:r>
        <w:t xml:space="preserve">INTEREST,</w:t>
      </w:r>
      <w:r>
        <w:t xml:space="preserve"> </w:t>
      </w:r>
      <w:r>
        <w:t xml:space="preserve">AND</w:t>
      </w:r>
      <w:r>
        <w:t xml:space="preserve"> </w:t>
      </w:r>
      <w:r>
        <w:t xml:space="preserve">AUTHORITY</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ARGUMENT</w:t>
      </w:r>
      <w:r>
        <w:t xml:space="preserve">   </w:t>
      </w:r>
      <w:r>
        <w:tab/>
      </w:r>
      <w:r>
        <w:t xml:space="preserve">1</w:t>
      </w:r>
    </w:p>
    <w:p>
      <w:pPr>
        <w:keepLines/>
        <w:tabs>
          <w:tab w:val="right" w:leader="dot" w:pos="9360"/>
        </w:tabs>
        <w:spacing w:before="192" w:after="0" w:line="276" w:lineRule="exact"/>
        <w:ind w:left="1080" w:right="720" w:hanging="720"/>
      </w:pPr>
      <w:r>
        <w:t xml:space="preserve">A.</w:t>
      </w:r>
      <w:r>
        <w:t xml:space="preserve"> </w:t>
      </w:r>
      <w:r>
        <w:t xml:space="preserve">Public</w:t>
      </w:r>
      <w:r>
        <w:t xml:space="preserve"> </w:t>
      </w:r>
      <w:r>
        <w:t xml:space="preserve">Nuisance</w:t>
      </w:r>
      <w:r>
        <w:t xml:space="preserve"> </w:t>
      </w:r>
      <w:r>
        <w:t xml:space="preserve">Traditionally</w:t>
      </w:r>
      <w:r>
        <w:t xml:space="preserve"> </w:t>
      </w:r>
      <w:r>
        <w:t xml:space="preserve">Has</w:t>
      </w:r>
      <w:r>
        <w:t xml:space="preserve"> </w:t>
      </w:r>
      <w:r>
        <w:t xml:space="preserve">Been</w:t>
      </w:r>
      <w:r>
        <w:t xml:space="preserve"> </w:t>
      </w:r>
      <w:r>
        <w:t xml:space="preserve">Limited</w:t>
      </w:r>
      <w:r>
        <w:t xml:space="preserve"> </w:t>
      </w:r>
      <w:r>
        <w:t xml:space="preserve">to</w:t>
      </w:r>
      <w:r>
        <w:t xml:space="preserve"> </w:t>
      </w:r>
      <w:r>
        <w:t xml:space="preserve">Conduct</w:t>
      </w:r>
      <w:r>
        <w:t xml:space="preserve"> </w:t>
      </w:r>
      <w:r>
        <w:t xml:space="preserve">that</w:t>
      </w:r>
      <w:r>
        <w:t xml:space="preserve"> </w:t>
      </w:r>
      <w:r>
        <w:t xml:space="preserve">Interferes</w:t>
      </w:r>
      <w:r>
        <w:t xml:space="preserve"> </w:t>
      </w:r>
      <w:r>
        <w:t xml:space="preserve">with</w:t>
      </w:r>
      <w:r>
        <w:t xml:space="preserve"> </w:t>
      </w:r>
      <w:r>
        <w:t xml:space="preserve">the</w:t>
      </w:r>
      <w:r>
        <w:t xml:space="preserve"> </w:t>
      </w:r>
      <w:r>
        <w:t xml:space="preserve">Use</w:t>
      </w:r>
      <w:r>
        <w:t xml:space="preserve"> </w:t>
      </w:r>
      <w:r>
        <w:t xml:space="preserve">of</w:t>
      </w:r>
      <w:r>
        <w:t xml:space="preserve"> </w:t>
      </w:r>
      <w:r>
        <w:t xml:space="preserve">Real</w:t>
      </w:r>
      <w:r>
        <w:t xml:space="preserve"> </w:t>
      </w:r>
      <w:r>
        <w:t xml:space="preserve">Property.</w:t>
      </w:r>
      <w:r>
        <w:t xml:space="preserve">   </w:t>
      </w:r>
      <w:r>
        <w:tab/>
      </w:r>
      <w:r>
        <w:t xml:space="preserve">2</w:t>
      </w:r>
    </w:p>
    <w:p>
      <w:pPr>
        <w:keepLines/>
        <w:tabs>
          <w:tab w:val="right" w:leader="dot" w:pos="9360"/>
        </w:tabs>
        <w:spacing w:before="192" w:after="0" w:line="276" w:lineRule="exact"/>
        <w:ind w:left="1440" w:right="720" w:hanging="720"/>
      </w:pPr>
      <w:r>
        <w:t xml:space="preserve">1.</w:t>
      </w:r>
      <w:r>
        <w:t xml:space="preserve"> </w:t>
      </w:r>
      <w:r>
        <w:t xml:space="preserve">Public</w:t>
      </w:r>
      <w:r>
        <w:t xml:space="preserve"> </w:t>
      </w:r>
      <w:r>
        <w:t xml:space="preserve">Nuisance</w:t>
      </w:r>
      <w:r>
        <w:t xml:space="preserve"> </w:t>
      </w:r>
      <w:r>
        <w:t xml:space="preserve">Is</w:t>
      </w:r>
      <w:r>
        <w:t xml:space="preserve"> </w:t>
      </w:r>
      <w:r>
        <w:t xml:space="preserve">About</w:t>
      </w:r>
      <w:r>
        <w:t xml:space="preserve"> </w:t>
      </w:r>
      <w:r>
        <w:t xml:space="preserve">Land,</w:t>
      </w:r>
      <w:r>
        <w:t xml:space="preserve"> </w:t>
      </w:r>
      <w:r>
        <w:t xml:space="preserve">Not</w:t>
      </w:r>
      <w:r>
        <w:t xml:space="preserve"> </w:t>
      </w:r>
      <w:r>
        <w:t xml:space="preserve">Products.</w:t>
      </w:r>
      <w:r>
        <w:t xml:space="preserve">   </w:t>
      </w:r>
      <w:r>
        <w:tab/>
      </w:r>
      <w:r>
        <w:t xml:space="preserve">2</w:t>
      </w:r>
    </w:p>
    <w:p>
      <w:pPr>
        <w:keepLines/>
        <w:tabs>
          <w:tab w:val="right" w:leader="dot" w:pos="9360"/>
        </w:tabs>
        <w:spacing w:before="192" w:after="0" w:line="276" w:lineRule="exact"/>
        <w:ind w:left="1440" w:right="720" w:hanging="720"/>
      </w:pPr>
      <w:r>
        <w:t xml:space="preserve">2.</w:t>
      </w:r>
      <w:r>
        <w:t xml:space="preserve"> </w:t>
      </w:r>
      <w:r>
        <w:t xml:space="preserve">This</w:t>
      </w:r>
      <w:r>
        <w:t xml:space="preserve"> </w:t>
      </w:r>
      <w:r>
        <w:t xml:space="preserve">Court</w:t>
      </w:r>
      <w:r>
        <w:t xml:space="preserve"> </w:t>
      </w:r>
      <w:r>
        <w:t xml:space="preserve">Never</w:t>
      </w:r>
      <w:r>
        <w:t xml:space="preserve"> </w:t>
      </w:r>
      <w:r>
        <w:t xml:space="preserve">Has</w:t>
      </w:r>
      <w:r>
        <w:t xml:space="preserve"> </w:t>
      </w:r>
      <w:r>
        <w:t xml:space="preserve">Applied</w:t>
      </w:r>
      <w:r>
        <w:t xml:space="preserve"> </w:t>
      </w:r>
      <w:r>
        <w:t xml:space="preserve">Public</w:t>
      </w:r>
      <w:r>
        <w:t xml:space="preserve"> </w:t>
      </w:r>
      <w:r>
        <w:t xml:space="preserve">Nuisance</w:t>
      </w:r>
      <w:r>
        <w:t xml:space="preserve"> </w:t>
      </w:r>
      <w:r>
        <w:t xml:space="preserve">Law</w:t>
      </w:r>
      <w:r>
        <w:t xml:space="preserve"> </w:t>
      </w:r>
      <w:r>
        <w:t xml:space="preserve">to</w:t>
      </w:r>
      <w:r>
        <w:t xml:space="preserve"> </w:t>
      </w:r>
      <w:r>
        <w:t xml:space="preserve">the</w:t>
      </w:r>
      <w:r>
        <w:t xml:space="preserve"> </w:t>
      </w:r>
      <w:r>
        <w:t xml:space="preserve">Manufacturing,</w:t>
      </w:r>
      <w:r>
        <w:t xml:space="preserve"> </w:t>
      </w:r>
      <w:r>
        <w:t xml:space="preserve">Distributing,</w:t>
      </w:r>
      <w:r>
        <w:t xml:space="preserve"> </w:t>
      </w:r>
      <w:r>
        <w:t xml:space="preserve">or</w:t>
      </w:r>
      <w:r>
        <w:t xml:space="preserve"> </w:t>
      </w:r>
      <w:r>
        <w:t xml:space="preserve">Selling</w:t>
      </w:r>
      <w:r>
        <w:t xml:space="preserve"> </w:t>
      </w:r>
      <w:r>
        <w:t xml:space="preserve">of</w:t>
      </w:r>
      <w:r>
        <w:t xml:space="preserve"> </w:t>
      </w:r>
      <w:r>
        <w:t xml:space="preserve">Lawful</w:t>
      </w:r>
      <w:r>
        <w:t xml:space="preserve"> </w:t>
      </w:r>
      <w:r>
        <w:t xml:space="preserve">Products.</w:t>
      </w:r>
      <w:r>
        <w:t xml:space="preserve">   </w:t>
      </w:r>
      <w:r>
        <w:tab/>
      </w:r>
      <w:r>
        <w:t xml:space="preserve">5</w:t>
      </w:r>
    </w:p>
    <w:p>
      <w:pPr>
        <w:keepLines/>
        <w:tabs>
          <w:tab w:val="right" w:leader="dot" w:pos="9360"/>
        </w:tabs>
        <w:spacing w:before="192" w:after="0" w:line="276" w:lineRule="exact"/>
        <w:ind w:left="1080" w:right="720" w:hanging="720"/>
      </w:pPr>
      <w:r>
        <w:t xml:space="preserve">B.</w:t>
      </w:r>
      <w:r>
        <w:t xml:space="preserve"> </w:t>
      </w:r>
      <w:r>
        <w:t xml:space="preserve">The</w:t>
      </w:r>
      <w:r>
        <w:t xml:space="preserve"> </w:t>
      </w:r>
      <w:r>
        <w:t xml:space="preserve">Attempted</w:t>
      </w:r>
      <w:r>
        <w:t xml:space="preserve"> </w:t>
      </w:r>
      <w:r>
        <w:t xml:space="preserve">Expansion</w:t>
      </w:r>
      <w:r>
        <w:t xml:space="preserve"> </w:t>
      </w:r>
      <w:r>
        <w:t xml:space="preserve">of</w:t>
      </w:r>
      <w:r>
        <w:t xml:space="preserve"> </w:t>
      </w:r>
      <w:r>
        <w:t xml:space="preserve">Public</w:t>
      </w:r>
      <w:r>
        <w:t xml:space="preserve"> </w:t>
      </w:r>
      <w:r>
        <w:t xml:space="preserve">Nuisance</w:t>
      </w:r>
      <w:r>
        <w:t xml:space="preserve"> </w:t>
      </w:r>
      <w:r>
        <w:t xml:space="preserve">to</w:t>
      </w:r>
      <w:r>
        <w:t xml:space="preserve"> </w:t>
      </w:r>
      <w:r>
        <w:t xml:space="preserve">Claims</w:t>
      </w:r>
      <w:r>
        <w:t xml:space="preserve"> </w:t>
      </w:r>
      <w:r>
        <w:t xml:space="preserve">Against</w:t>
      </w:r>
      <w:r>
        <w:t xml:space="preserve"> </w:t>
      </w:r>
      <w:r>
        <w:t xml:space="preserve">Product</w:t>
      </w:r>
      <w:r>
        <w:t xml:space="preserve"> </w:t>
      </w:r>
      <w:r>
        <w:t xml:space="preserve">Manufacturers</w:t>
      </w:r>
      <w:r>
        <w:t xml:space="preserve"> </w:t>
      </w:r>
      <w:r>
        <w:t xml:space="preserve">Is</w:t>
      </w:r>
      <w:r>
        <w:t xml:space="preserve"> </w:t>
      </w:r>
      <w:r>
        <w:t xml:space="preserve">Designed</w:t>
      </w:r>
      <w:r>
        <w:t xml:space="preserve"> </w:t>
      </w:r>
      <w:r>
        <w:t xml:space="preserve">to</w:t>
      </w:r>
      <w:r>
        <w:t xml:space="preserve"> </w:t>
      </w:r>
      <w:r>
        <w:t xml:space="preserve">Evade</w:t>
      </w:r>
      <w:r>
        <w:t xml:space="preserve"> </w:t>
      </w:r>
      <w:r>
        <w:t xml:space="preserve">Product</w:t>
      </w:r>
      <w:r>
        <w:t xml:space="preserve"> </w:t>
      </w:r>
      <w:r>
        <w:t xml:space="preserve">Liability</w:t>
      </w:r>
      <w:r>
        <w:t xml:space="preserve"> </w:t>
      </w:r>
      <w:r>
        <w:t xml:space="preserve">and</w:t>
      </w:r>
      <w:r>
        <w:t xml:space="preserve"> </w:t>
      </w:r>
      <w:r>
        <w:t xml:space="preserve">Regulatory</w:t>
      </w:r>
      <w:r>
        <w:t xml:space="preserve"> </w:t>
      </w:r>
      <w:r>
        <w:t xml:space="preserve">Law.</w:t>
      </w:r>
      <w:r>
        <w:t xml:space="preserve">   </w:t>
      </w:r>
      <w:r>
        <w:tab/>
      </w:r>
      <w:r>
        <w:t xml:space="preserve">8</w:t>
      </w:r>
    </w:p>
    <w:p>
      <w:pPr>
        <w:keepLines/>
        <w:tabs>
          <w:tab w:val="right" w:leader="dot" w:pos="9360"/>
        </w:tabs>
        <w:spacing w:before="192" w:after="0" w:line="276" w:lineRule="exact"/>
        <w:ind w:left="1440" w:right="720" w:hanging="720"/>
      </w:pPr>
      <w:r>
        <w:t xml:space="preserve">1.</w:t>
      </w:r>
      <w:r>
        <w:t xml:space="preserve"> </w:t>
      </w:r>
      <w:r>
        <w:t xml:space="preserve">This</w:t>
      </w:r>
      <w:r>
        <w:t xml:space="preserve"> </w:t>
      </w:r>
      <w:r>
        <w:t xml:space="preserve">Court</w:t>
      </w:r>
      <w:r>
        <w:t xml:space="preserve"> </w:t>
      </w:r>
      <w:r>
        <w:t xml:space="preserve">Has</w:t>
      </w:r>
      <w:r>
        <w:t xml:space="preserve"> </w:t>
      </w:r>
      <w:r>
        <w:t xml:space="preserve">Adopted</w:t>
      </w:r>
      <w:r>
        <w:t xml:space="preserve"> </w:t>
      </w:r>
      <w:r>
        <w:t xml:space="preserve">the</w:t>
      </w:r>
      <w:r>
        <w:t xml:space="preserve"> </w:t>
      </w:r>
      <w:r>
        <w:t xml:space="preserve">Law</w:t>
      </w:r>
      <w:r>
        <w:t xml:space="preserve"> </w:t>
      </w:r>
      <w:r>
        <w:t xml:space="preserve">of</w:t>
      </w:r>
      <w:r>
        <w:t xml:space="preserve"> </w:t>
      </w:r>
      <w:r>
        <w:t xml:space="preserve">Products</w:t>
      </w:r>
      <w:r>
        <w:t xml:space="preserve"> </w:t>
      </w:r>
      <w:r>
        <w:t xml:space="preserve">Liability.</w:t>
      </w:r>
      <w:r>
        <w:t xml:space="preserve">   </w:t>
      </w:r>
      <w:r>
        <w:tab/>
      </w:r>
      <w:r>
        <w:t xml:space="preserve">8</w:t>
      </w:r>
    </w:p>
    <w:p>
      <w:pPr>
        <w:keepLines/>
        <w:tabs>
          <w:tab w:val="right" w:leader="dot" w:pos="9360"/>
        </w:tabs>
        <w:spacing w:before="192" w:after="0" w:line="276" w:lineRule="exact"/>
        <w:ind w:left="1440" w:right="720" w:hanging="720"/>
      </w:pPr>
      <w:r>
        <w:t xml:space="preserve">2.</w:t>
      </w:r>
      <w:r>
        <w:t xml:space="preserve"> </w:t>
      </w:r>
      <w:r>
        <w:t xml:space="preserve">Prescription</w:t>
      </w:r>
      <w:r>
        <w:t xml:space="preserve"> </w:t>
      </w:r>
      <w:r>
        <w:t xml:space="preserve">Drugs</w:t>
      </w:r>
      <w:r>
        <w:t xml:space="preserve"> </w:t>
      </w:r>
      <w:r>
        <w:t xml:space="preserve">Are</w:t>
      </w:r>
      <w:r>
        <w:t xml:space="preserve"> </w:t>
      </w:r>
      <w:r>
        <w:t xml:space="preserve">Regulated</w:t>
      </w:r>
      <w:r>
        <w:t xml:space="preserve"> </w:t>
      </w:r>
      <w:r>
        <w:t xml:space="preserve">Heavily.</w:t>
      </w:r>
      <w:r>
        <w:t xml:space="preserve">   </w:t>
      </w:r>
      <w:r>
        <w:tab/>
      </w:r>
      <w:r>
        <w:t xml:space="preserve">9</w:t>
      </w:r>
    </w:p>
    <w:p>
      <w:pPr>
        <w:keepLines/>
        <w:tabs>
          <w:tab w:val="right" w:leader="dot" w:pos="9360"/>
        </w:tabs>
        <w:spacing w:before="192" w:after="0" w:line="276" w:lineRule="exact"/>
        <w:ind w:left="1440" w:right="720" w:hanging="720"/>
      </w:pPr>
      <w:r>
        <w:t xml:space="preserve">3.</w:t>
      </w:r>
      <w:r>
        <w:t xml:space="preserve"> </w:t>
      </w:r>
      <w:r>
        <w:t xml:space="preserve">Products</w:t>
      </w:r>
      <w:r>
        <w:t xml:space="preserve"> </w:t>
      </w:r>
      <w:r>
        <w:t xml:space="preserve">Liability</w:t>
      </w:r>
      <w:r>
        <w:t xml:space="preserve"> </w:t>
      </w:r>
      <w:r>
        <w:t xml:space="preserve">and</w:t>
      </w:r>
      <w:r>
        <w:t xml:space="preserve"> </w:t>
      </w:r>
      <w:r>
        <w:t xml:space="preserve">Regulatory</w:t>
      </w:r>
      <w:r>
        <w:t xml:space="preserve"> </w:t>
      </w:r>
      <w:r>
        <w:t xml:space="preserve">Law—Not</w:t>
      </w:r>
      <w:r>
        <w:t xml:space="preserve"> </w:t>
      </w:r>
      <w:r>
        <w:t xml:space="preserve">Public</w:t>
      </w:r>
      <w:r>
        <w:t xml:space="preserve"> </w:t>
      </w:r>
      <w:r>
        <w:t xml:space="preserve">Nuisance</w:t>
      </w:r>
      <w:r>
        <w:t xml:space="preserve"> </w:t>
      </w:r>
      <w:r>
        <w:t xml:space="preserve">Law—Should</w:t>
      </w:r>
      <w:r>
        <w:t xml:space="preserve"> </w:t>
      </w:r>
      <w:r>
        <w:t xml:space="preserve">Govern</w:t>
      </w:r>
      <w:r>
        <w:t xml:space="preserve"> </w:t>
      </w:r>
      <w:r>
        <w:t xml:space="preserve">Liability</w:t>
      </w:r>
      <w:r>
        <w:t xml:space="preserve"> </w:t>
      </w:r>
      <w:r>
        <w:t xml:space="preserve">Claims</w:t>
      </w:r>
      <w:r>
        <w:t xml:space="preserve"> </w:t>
      </w:r>
      <w:r>
        <w:t xml:space="preserve">Based</w:t>
      </w:r>
      <w:r>
        <w:t xml:space="preserve"> </w:t>
      </w:r>
      <w:r>
        <w:t xml:space="preserve">on</w:t>
      </w:r>
      <w:r>
        <w:t xml:space="preserve"> </w:t>
      </w:r>
      <w:r>
        <w:t xml:space="preserve">the</w:t>
      </w:r>
      <w:r>
        <w:t xml:space="preserve"> </w:t>
      </w:r>
      <w:r>
        <w:t xml:space="preserve">Manufacturing,</w:t>
      </w:r>
      <w:r>
        <w:t xml:space="preserve"> </w:t>
      </w:r>
      <w:r>
        <w:t xml:space="preserve">Distributing,</w:t>
      </w:r>
      <w:r>
        <w:t xml:space="preserve"> </w:t>
      </w:r>
      <w:r>
        <w:t xml:space="preserve">and</w:t>
      </w:r>
      <w:r>
        <w:t xml:space="preserve"> </w:t>
      </w:r>
      <w:r>
        <w:t xml:space="preserve">Selling</w:t>
      </w:r>
      <w:r>
        <w:t xml:space="preserve"> </w:t>
      </w:r>
      <w:r>
        <w:t xml:space="preserve">of</w:t>
      </w:r>
      <w:r>
        <w:t xml:space="preserve"> </w:t>
      </w:r>
      <w:r>
        <w:t xml:space="preserve">Prescription</w:t>
      </w:r>
      <w:r>
        <w:t xml:space="preserve"> </w:t>
      </w:r>
      <w:r>
        <w:t xml:space="preserve">Opioids.</w:t>
      </w:r>
      <w:r>
        <w:t xml:space="preserve">   </w:t>
      </w:r>
      <w:r>
        <w:tab/>
      </w:r>
      <w:r>
        <w:t xml:space="preserve">10</w:t>
      </w:r>
    </w:p>
    <w:p>
      <w:pPr>
        <w:keepLines/>
        <w:tabs>
          <w:tab w:val="right" w:leader="dot" w:pos="9360"/>
        </w:tabs>
        <w:spacing w:before="192" w:after="0" w:line="276" w:lineRule="exact"/>
        <w:ind w:left="1080" w:right="720" w:hanging="720"/>
      </w:pPr>
      <w:r>
        <w:t xml:space="preserve">C.</w:t>
      </w:r>
      <w:r>
        <w:t xml:space="preserve"> </w:t>
      </w:r>
      <w:r>
        <w:t xml:space="preserve">The</w:t>
      </w:r>
      <w:r>
        <w:t xml:space="preserve"> </w:t>
      </w:r>
      <w:r>
        <w:t xml:space="preserve">Manufacturing,</w:t>
      </w:r>
      <w:r>
        <w:t xml:space="preserve"> </w:t>
      </w:r>
      <w:r>
        <w:t xml:space="preserve">Distributing,</w:t>
      </w:r>
      <w:r>
        <w:t xml:space="preserve"> </w:t>
      </w:r>
      <w:r>
        <w:t xml:space="preserve">and</w:t>
      </w:r>
      <w:r>
        <w:t xml:space="preserve"> </w:t>
      </w:r>
      <w:r>
        <w:t xml:space="preserve">Selling</w:t>
      </w:r>
      <w:r>
        <w:t xml:space="preserve"> </w:t>
      </w:r>
      <w:r>
        <w:t xml:space="preserve">of</w:t>
      </w:r>
      <w:r>
        <w:t xml:space="preserve"> </w:t>
      </w:r>
      <w:r>
        <w:t xml:space="preserve">Prescription</w:t>
      </w:r>
      <w:r>
        <w:t xml:space="preserve"> </w:t>
      </w:r>
      <w:r>
        <w:t xml:space="preserve">Opioids</w:t>
      </w:r>
      <w:r>
        <w:t xml:space="preserve"> </w:t>
      </w:r>
      <w:r>
        <w:t xml:space="preserve">Is</w:t>
      </w:r>
      <w:r>
        <w:t xml:space="preserve"> </w:t>
      </w:r>
      <w:r>
        <w:t xml:space="preserve">Not</w:t>
      </w:r>
      <w:r>
        <w:t xml:space="preserve"> </w:t>
      </w:r>
      <w:r>
        <w:t xml:space="preserve">a</w:t>
      </w:r>
      <w:r>
        <w:t xml:space="preserve"> </w:t>
      </w:r>
      <w:r>
        <w:t xml:space="preserve">Nuisance</w:t>
      </w:r>
      <w:r>
        <w:t xml:space="preserve"> </w:t>
      </w:r>
      <w:r>
        <w:t xml:space="preserve">Per</w:t>
      </w:r>
      <w:r>
        <w:t xml:space="preserve"> </w:t>
      </w:r>
      <w:r>
        <w:t xml:space="preserve">Se.</w:t>
      </w:r>
      <w:r>
        <w:t xml:space="preserve">   </w:t>
      </w:r>
      <w:r>
        <w:tab/>
      </w:r>
      <w:r>
        <w:t xml:space="preserve">13</w:t>
      </w:r>
    </w:p>
    <w:p>
      <w:pPr>
        <w:keepLines/>
        <w:tabs>
          <w:tab w:val="right" w:leader="dot" w:pos="9360"/>
        </w:tabs>
        <w:spacing w:before="192" w:after="0" w:line="276" w:lineRule="exact"/>
        <w:ind w:left="1080" w:right="720" w:hanging="720"/>
      </w:pPr>
      <w:r>
        <w:t xml:space="preserve">D.</w:t>
      </w:r>
      <w:r>
        <w:t xml:space="preserve"> </w:t>
      </w:r>
      <w:r>
        <w:t xml:space="preserve">Petitioners’</w:t>
      </w:r>
      <w:r>
        <w:t xml:space="preserve"> </w:t>
      </w:r>
      <w:r>
        <w:t xml:space="preserve">Proposed</w:t>
      </w:r>
      <w:r>
        <w:t xml:space="preserve"> </w:t>
      </w:r>
      <w:r>
        <w:t xml:space="preserve">Expansion</w:t>
      </w:r>
      <w:r>
        <w:t xml:space="preserve"> </w:t>
      </w:r>
      <w:r>
        <w:t xml:space="preserve">of</w:t>
      </w:r>
      <w:r>
        <w:t xml:space="preserve"> </w:t>
      </w:r>
      <w:r>
        <w:t xml:space="preserve">Public</w:t>
      </w:r>
      <w:r>
        <w:t xml:space="preserve"> </w:t>
      </w:r>
      <w:r>
        <w:t xml:space="preserve">Nuisance</w:t>
      </w:r>
      <w:r>
        <w:t xml:space="preserve"> </w:t>
      </w:r>
      <w:r>
        <w:t xml:space="preserve">Law</w:t>
      </w:r>
      <w:r>
        <w:t xml:space="preserve"> </w:t>
      </w:r>
      <w:r>
        <w:t xml:space="preserve">Is</w:t>
      </w:r>
      <w:r>
        <w:t xml:space="preserve"> </w:t>
      </w:r>
      <w:r>
        <w:t xml:space="preserve">Void</w:t>
      </w:r>
      <w:r>
        <w:t xml:space="preserve"> </w:t>
      </w:r>
      <w:r>
        <w:t xml:space="preserve">for</w:t>
      </w:r>
      <w:r>
        <w:t xml:space="preserve"> </w:t>
      </w:r>
      <w:r>
        <w:t xml:space="preserve">Vagueness</w:t>
      </w:r>
      <w:r>
        <w:t xml:space="preserve"> </w:t>
      </w:r>
      <w:r>
        <w:t xml:space="preserve">Under</w:t>
      </w:r>
      <w:r>
        <w:t xml:space="preserve"> </w:t>
      </w:r>
      <w:r>
        <w:t xml:space="preserve">Due</w:t>
      </w:r>
      <w:r>
        <w:t xml:space="preserve"> </w:t>
      </w:r>
      <w:r>
        <w:t xml:space="preserve">Process</w:t>
      </w:r>
      <w:r>
        <w:t xml:space="preserve"> </w:t>
      </w:r>
      <w:r>
        <w:t xml:space="preserve">Principles.</w:t>
      </w:r>
      <w:r>
        <w:t xml:space="preserve">   </w:t>
      </w:r>
      <w:r>
        <w:tab/>
      </w:r>
      <w:r>
        <w:t xml:space="preserve">15</w:t>
      </w:r>
    </w:p>
    <w:p>
      <w:pPr>
        <w:keepLines/>
        <w:tabs>
          <w:tab w:val="right" w:leader="dot" w:pos="9360"/>
        </w:tabs>
        <w:spacing w:before="192" w:after="0" w:line="276" w:lineRule="exact"/>
        <w:ind w:left="1080" w:right="720" w:hanging="720"/>
      </w:pPr>
      <w:r>
        <w:t xml:space="preserve">E.</w:t>
      </w:r>
      <w:r>
        <w:t xml:space="preserve"> </w:t>
      </w:r>
      <w:r>
        <w:t xml:space="preserve">To</w:t>
      </w:r>
      <w:r>
        <w:t xml:space="preserve"> </w:t>
      </w:r>
      <w:r>
        <w:t xml:space="preserve">Be</w:t>
      </w:r>
      <w:r>
        <w:t xml:space="preserve"> </w:t>
      </w:r>
      <w:r>
        <w:t xml:space="preserve">Liable</w:t>
      </w:r>
      <w:r>
        <w:t xml:space="preserve"> </w:t>
      </w:r>
      <w:r>
        <w:t xml:space="preserve">for</w:t>
      </w:r>
      <w:r>
        <w:t xml:space="preserve"> </w:t>
      </w:r>
      <w:r>
        <w:t xml:space="preserve">Public</w:t>
      </w:r>
      <w:r>
        <w:t xml:space="preserve"> </w:t>
      </w:r>
      <w:r>
        <w:t xml:space="preserve">Nuisance,</w:t>
      </w:r>
      <w:r>
        <w:t xml:space="preserve"> </w:t>
      </w:r>
      <w:r>
        <w:t xml:space="preserve">a</w:t>
      </w:r>
      <w:r>
        <w:t xml:space="preserve"> </w:t>
      </w:r>
      <w:r>
        <w:t xml:space="preserve">Defendant</w:t>
      </w:r>
      <w:r>
        <w:t xml:space="preserve"> </w:t>
      </w:r>
      <w:r>
        <w:t xml:space="preserve">Must</w:t>
      </w:r>
      <w:r>
        <w:t xml:space="preserve"> </w:t>
      </w:r>
      <w:r>
        <w:t xml:space="preserve">Exercise</w:t>
      </w:r>
      <w:r>
        <w:t xml:space="preserve"> </w:t>
      </w:r>
      <w:r>
        <w:t xml:space="preserve">Sufficient</w:t>
      </w:r>
      <w:r>
        <w:t xml:space="preserve"> </w:t>
      </w:r>
      <w:r>
        <w:t xml:space="preserve">Control</w:t>
      </w:r>
      <w:r>
        <w:t xml:space="preserve"> </w:t>
      </w:r>
      <w:r>
        <w:t xml:space="preserve">Over</w:t>
      </w:r>
      <w:r>
        <w:t xml:space="preserve"> </w:t>
      </w:r>
      <w:r>
        <w:t xml:space="preserve">the</w:t>
      </w:r>
      <w:r>
        <w:t xml:space="preserve"> </w:t>
      </w:r>
      <w:r>
        <w:t xml:space="preserve">Source</w:t>
      </w:r>
      <w:r>
        <w:t xml:space="preserve"> </w:t>
      </w:r>
      <w:r>
        <w:t xml:space="preserve">of</w:t>
      </w:r>
      <w:r>
        <w:t xml:space="preserve"> </w:t>
      </w:r>
      <w:r>
        <w:t xml:space="preserve">the</w:t>
      </w:r>
      <w:r>
        <w:t xml:space="preserve"> </w:t>
      </w:r>
      <w:r>
        <w:t xml:space="preserve">Interference</w:t>
      </w:r>
      <w:r>
        <w:t xml:space="preserve"> </w:t>
      </w:r>
      <w:r>
        <w:t xml:space="preserve">with</w:t>
      </w:r>
      <w:r>
        <w:t xml:space="preserve"> </w:t>
      </w:r>
      <w:r>
        <w:t xml:space="preserve">the</w:t>
      </w:r>
      <w:r>
        <w:t xml:space="preserve"> </w:t>
      </w:r>
      <w:r>
        <w:t xml:space="preserve">Public</w:t>
      </w:r>
      <w:r>
        <w:t xml:space="preserve"> </w:t>
      </w:r>
      <w:r>
        <w:t xml:space="preserve">Right.</w:t>
      </w:r>
      <w:r>
        <w:t xml:space="preserve">   </w:t>
      </w:r>
      <w:r>
        <w:tab/>
      </w:r>
      <w:r>
        <w:t xml:space="preserve">20</w:t>
      </w:r>
    </w:p>
    <w:p>
      <w:pPr>
        <w:keepLines/>
        <w:tabs>
          <w:tab w:val="right" w:leader="dot" w:pos="9360"/>
        </w:tabs>
        <w:spacing w:before="192" w:after="0" w:line="276" w:lineRule="exact"/>
        <w:ind w:left="720" w:right="720" w:hanging="720"/>
      </w:pPr>
      <w:r>
        <w:t xml:space="preserve">III.</w:t>
      </w:r>
      <w:r>
        <w:t xml:space="preserve"> </w:t>
      </w:r>
      <w:r>
        <w:t xml:space="preserve">CONCLUSION</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92" w:after="0" w:line="276" w:lineRule="exact"/>
        <w:ind w:left="720" w:right="1120" w:hanging="720"/>
      </w:pPr>
      <w:r>
        <w:rPr>
          <w:i/>
          <w:iCs/>
        </w:rPr>
        <w:t xml:space="preserve">Aikens</w:t>
      </w:r>
      <w:r>
        <w:rPr>
          <w:i/>
          <w:iCs/>
        </w:rPr>
        <w:t xml:space="preserve"> </w:t>
      </w:r>
      <w:r>
        <w:rPr>
          <w:i/>
          <w:iCs/>
        </w:rPr>
        <w:t xml:space="preserve">v.</w:t>
      </w:r>
      <w:r>
        <w:rPr>
          <w:i/>
          <w:iCs/>
        </w:rPr>
        <w:t xml:space="preserve"> </w:t>
      </w:r>
      <w:r>
        <w:rPr>
          <w:i/>
          <w:iCs/>
        </w:rPr>
        <w:t xml:space="preserve">Debow</w:t>
      </w:r>
      <w:r>
        <w:t xml:space="preserve">,</w:t>
      </w:r>
      <w:r>
        <w:t xml:space="preserve"> </w:t>
      </w:r>
      <w:r>
        <w:t xml:space="preserve">208</w:t>
      </w:r>
      <w:r>
        <w:t xml:space="preserve"> </w:t>
      </w:r>
      <w:r>
        <w:t xml:space="preserve">W.</w:t>
      </w:r>
      <w:r>
        <w:t xml:space="preserve"> </w:t>
      </w:r>
      <w:r>
        <w:t xml:space="preserve">Va.</w:t>
      </w:r>
      <w:r>
        <w:t xml:space="preserve"> </w:t>
      </w:r>
      <w:r>
        <w:t xml:space="preserve">486,</w:t>
      </w:r>
      <w:r>
        <w:t xml:space="preserve"> </w:t>
      </w:r>
      <w:r>
        <w:t xml:space="preserve">541</w:t>
      </w:r>
      <w:r>
        <w:t xml:space="preserve"> </w:t>
      </w:r>
      <w:r>
        <w:t xml:space="preserve">S.E.2d</w:t>
      </w:r>
      <w:r>
        <w:t xml:space="preserve"> </w:t>
      </w:r>
      <w:r>
        <w:t xml:space="preserve">576</w:t>
      </w:r>
      <w:r>
        <w:t xml:space="preserve"> </w:t>
      </w:r>
      <w:r>
        <w:t xml:space="preserve">(2000)</w:t>
      </w:r>
      <w:r>
        <w:t xml:space="preserve">   </w:t>
      </w:r>
      <w:r>
        <w:tab/>
      </w:r>
      <w:r>
        <w:t xml:space="preserve">11, 19, 22</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AmerisourceBergen</w:t>
      </w:r>
      <w:r>
        <w:rPr>
          <w:i/>
          <w:iCs/>
        </w:rPr>
        <w:t xml:space="preserve"> </w:t>
      </w:r>
      <w:r>
        <w:rPr>
          <w:i/>
          <w:iCs/>
        </w:rPr>
        <w:t xml:space="preserve">Drug</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Moats</w:t>
      </w:r>
      <w:r>
        <w:t xml:space="preserve">,</w:t>
      </w:r>
      <w:r>
        <w:t xml:space="preserve"> </w:t>
      </w:r>
      <w:r>
        <w:t xml:space="preserve">245</w:t>
      </w:r>
      <w:r>
        <w:t xml:space="preserve"> </w:t>
      </w:r>
      <w:r>
        <w:t xml:space="preserve">W.</w:t>
      </w:r>
      <w:r>
        <w:t xml:space="preserve"> </w:t>
      </w:r>
      <w:r>
        <w:t xml:space="preserve">Va.</w:t>
      </w:r>
      <w:r>
        <w:t xml:space="preserve"> </w:t>
      </w:r>
      <w:r>
        <w:t xml:space="preserve">431,</w:t>
      </w:r>
      <w:r>
        <w:t xml:space="preserve"> </w:t>
      </w:r>
      <w:r>
        <w:t xml:space="preserve">859</w:t>
      </w:r>
      <w:r>
        <w:t xml:space="preserve"> </w:t>
      </w:r>
      <w:r>
        <w:t xml:space="preserve">S.E.2d</w:t>
      </w:r>
      <w:r>
        <w:t xml:space="preserve"> </w:t>
      </w:r>
      <w:r>
        <w:t xml:space="preserve">374</w:t>
      </w:r>
      <w:r>
        <w:t xml:space="preserve"> </w:t>
      </w:r>
      <w:r>
        <w:t xml:space="preserve">(2021)</w:t>
      </w:r>
      <w:r>
        <w:t xml:space="preserve">   </w:t>
      </w:r>
      <w:r>
        <w:tab/>
      </w:r>
      <w:r>
        <w:t xml:space="preserve">2, 21</w:t>
      </w:r>
    </w:p>
    <w:p>
      <w:pPr>
        <w:keepLines/>
        <w:tabs>
          <w:tab w:val="right" w:leader="dot" w:pos="9360"/>
        </w:tabs>
        <w:spacing w:before="192" w:after="0" w:line="276" w:lineRule="exact"/>
        <w:ind w:left="720" w:right="1120" w:hanging="720"/>
      </w:pPr>
      <w:r>
        <w:rPr>
          <w:i/>
          <w:iCs/>
        </w:rPr>
        <w:t xml:space="preserve">Blanda</w:t>
      </w:r>
      <w:r>
        <w:rPr>
          <w:i/>
          <w:iCs/>
        </w:rPr>
        <w:t xml:space="preserve"> </w:t>
      </w:r>
      <w:r>
        <w:rPr>
          <w:i/>
          <w:iCs/>
        </w:rPr>
        <w:t xml:space="preserve">v.</w:t>
      </w:r>
      <w:r>
        <w:rPr>
          <w:i/>
          <w:iCs/>
        </w:rPr>
        <w:t xml:space="preserve"> </w:t>
      </w:r>
      <w:r>
        <w:rPr>
          <w:i/>
          <w:iCs/>
        </w:rPr>
        <w:t xml:space="preserve">Martin</w:t>
      </w:r>
      <w:r>
        <w:rPr>
          <w:i/>
          <w:iCs/>
        </w:rPr>
        <w:t xml:space="preserve"> </w:t>
      </w:r>
      <w:r>
        <w:rPr>
          <w:i/>
          <w:iCs/>
        </w:rPr>
        <w:t xml:space="preserve">&amp;</w:t>
      </w:r>
      <w:r>
        <w:rPr>
          <w:i/>
          <w:iCs/>
        </w:rPr>
        <w:t xml:space="preserve"> </w:t>
      </w:r>
      <w:r>
        <w:rPr>
          <w:i/>
          <w:iCs/>
        </w:rPr>
        <w:t xml:space="preserve">Seibert,</w:t>
      </w:r>
      <w:r>
        <w:rPr>
          <w:i/>
          <w:iCs/>
        </w:rPr>
        <w:t xml:space="preserve"> </w:t>
      </w:r>
      <w:r>
        <w:rPr>
          <w:i/>
          <w:iCs/>
        </w:rPr>
        <w:t xml:space="preserve">L.C.</w:t>
      </w:r>
      <w:r>
        <w:t xml:space="preserve">,</w:t>
      </w:r>
      <w:r>
        <w:t xml:space="preserve"> </w:t>
      </w:r>
      <w:r>
        <w:t xml:space="preserve">242</w:t>
      </w:r>
      <w:r>
        <w:t xml:space="preserve"> </w:t>
      </w:r>
      <w:r>
        <w:t xml:space="preserve">W.</w:t>
      </w:r>
      <w:r>
        <w:t xml:space="preserve"> </w:t>
      </w:r>
      <w:r>
        <w:t xml:space="preserve">Va.</w:t>
      </w:r>
      <w:r>
        <w:t xml:space="preserve"> </w:t>
      </w:r>
      <w:r>
        <w:t xml:space="preserve">552,</w:t>
      </w:r>
      <w:r>
        <w:t xml:space="preserve"> </w:t>
      </w:r>
      <w:r>
        <w:t xml:space="preserve">836</w:t>
      </w:r>
      <w:r>
        <w:t xml:space="preserve"> </w:t>
      </w:r>
      <w:r>
        <w:t xml:space="preserve">S.E.2d</w:t>
      </w:r>
      <w:r>
        <w:t xml:space="preserve"> </w:t>
      </w:r>
      <w:r>
        <w:t xml:space="preserve">519</w:t>
      </w:r>
      <w:r>
        <w:t xml:space="preserve"> </w:t>
      </w:r>
      <w:r>
        <w:t xml:space="preserve">(2019)</w:t>
      </w:r>
      <w:r>
        <w:t xml:space="preserve">   </w:t>
      </w:r>
      <w:r>
        <w:tab/>
      </w:r>
      <w:r>
        <w:t xml:space="preserve">11</w:t>
      </w:r>
    </w:p>
    <w:p>
      <w:pPr>
        <w:keepLines/>
        <w:tabs>
          <w:tab w:val="right" w:leader="dot" w:pos="9360"/>
        </w:tabs>
        <w:spacing w:before="192" w:after="0" w:line="276" w:lineRule="exact"/>
        <w:ind w:left="720" w:right="1120" w:hanging="720"/>
      </w:pPr>
      <w:r>
        <w:rPr>
          <w:i/>
          <w:iCs/>
        </w:rPr>
        <w:t xml:space="preserve">Bouie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378</w:t>
      </w:r>
      <w:r>
        <w:t xml:space="preserve"> </w:t>
      </w:r>
      <w:r>
        <w:t xml:space="preserve">U.S.</w:t>
      </w:r>
      <w:r>
        <w:t xml:space="preserve"> </w:t>
      </w:r>
      <w:r>
        <w:t xml:space="preserve">347</w:t>
      </w:r>
      <w:r>
        <w:t xml:space="preserve"> </w:t>
      </w:r>
      <w:r>
        <w:t xml:space="preserve">(1964)</w:t>
      </w:r>
      <w:r>
        <w:t xml:space="preserve">   </w:t>
      </w:r>
      <w:r>
        <w:tab/>
      </w:r>
      <w:r>
        <w:t xml:space="preserve">16</w:t>
      </w:r>
    </w:p>
    <w:p>
      <w:pPr>
        <w:keepLines/>
        <w:tabs>
          <w:tab w:val="right" w:leader="dot" w:pos="9360"/>
        </w:tabs>
        <w:spacing w:before="192" w:after="0" w:line="276" w:lineRule="exact"/>
        <w:ind w:left="720" w:right="1120" w:hanging="720"/>
      </w:pPr>
      <w:r>
        <w:rPr>
          <w:i/>
          <w:iCs/>
        </w:rPr>
        <w:t xml:space="preserve">Burch</w:t>
      </w:r>
      <w:r>
        <w:rPr>
          <w:i/>
          <w:iCs/>
        </w:rPr>
        <w:t xml:space="preserve"> </w:t>
      </w:r>
      <w:r>
        <w:rPr>
          <w:i/>
          <w:iCs/>
        </w:rPr>
        <w:t xml:space="preserve">v.</w:t>
      </w:r>
      <w:r>
        <w:rPr>
          <w:i/>
          <w:iCs/>
        </w:rPr>
        <w:t xml:space="preserve"> </w:t>
      </w:r>
      <w:r>
        <w:rPr>
          <w:i/>
          <w:iCs/>
        </w:rPr>
        <w:t xml:space="preserve">Nedpower</w:t>
      </w:r>
      <w:r>
        <w:rPr>
          <w:i/>
          <w:iCs/>
        </w:rPr>
        <w:t xml:space="preserve"> </w:t>
      </w:r>
      <w:r>
        <w:rPr>
          <w:i/>
          <w:iCs/>
        </w:rPr>
        <w:t xml:space="preserve">Mount</w:t>
      </w:r>
      <w:r>
        <w:rPr>
          <w:i/>
          <w:iCs/>
        </w:rPr>
        <w:t xml:space="preserve"> </w:t>
      </w:r>
      <w:r>
        <w:rPr>
          <w:i/>
          <w:iCs/>
        </w:rPr>
        <w:t xml:space="preserve">Storm,</w:t>
      </w:r>
      <w:r>
        <w:rPr>
          <w:i/>
          <w:iCs/>
        </w:rPr>
        <w:t xml:space="preserve"> </w:t>
      </w:r>
      <w:r>
        <w:rPr>
          <w:i/>
          <w:iCs/>
        </w:rPr>
        <w:t xml:space="preserve">LLC</w:t>
      </w:r>
      <w:r>
        <w:t xml:space="preserve">,</w:t>
      </w:r>
      <w:r>
        <w:t xml:space="preserve"> </w:t>
      </w:r>
      <w:r>
        <w:t xml:space="preserve">220</w:t>
      </w:r>
      <w:r>
        <w:t xml:space="preserve"> </w:t>
      </w:r>
      <w:r>
        <w:t xml:space="preserve">W.</w:t>
      </w:r>
      <w:r>
        <w:t xml:space="preserve"> </w:t>
      </w:r>
      <w:r>
        <w:t xml:space="preserve">Va.</w:t>
      </w:r>
      <w:r>
        <w:t xml:space="preserve"> </w:t>
      </w:r>
      <w:r>
        <w:t xml:space="preserve">443,</w:t>
      </w:r>
      <w:r>
        <w:t xml:space="preserve"> </w:t>
      </w:r>
      <w:r>
        <w:t xml:space="preserve">647</w:t>
      </w:r>
      <w:r>
        <w:t xml:space="preserve"> </w:t>
      </w:r>
      <w:r>
        <w:t xml:space="preserve">S.E.2d</w:t>
      </w:r>
      <w:r>
        <w:t xml:space="preserve"> </w:t>
      </w:r>
      <w:r>
        <w:t xml:space="preserve">879</w:t>
      </w:r>
      <w:r>
        <w:t xml:space="preserve"> </w:t>
      </w:r>
      <w:r>
        <w:t xml:space="preserve">(2007)</w:t>
      </w:r>
      <w:r>
        <w:t xml:space="preserve">   </w:t>
      </w:r>
      <w:r>
        <w:tab/>
      </w:r>
      <w:r>
        <w:t xml:space="preserve">15</w:t>
      </w:r>
    </w:p>
    <w:p>
      <w:pPr>
        <w:keepLines/>
        <w:tabs>
          <w:tab w:val="right" w:leader="dot" w:pos="9360"/>
        </w:tabs>
        <w:spacing w:before="192" w:after="0" w:line="276" w:lineRule="exact"/>
        <w:ind w:left="720" w:right="1120" w:hanging="720"/>
      </w:pPr>
      <w:r>
        <w:rPr>
          <w:i/>
          <w:iCs/>
        </w:rPr>
        <w:t xml:space="preserve">Camden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Chosen</w:t>
      </w:r>
      <w:r>
        <w:rPr>
          <w:i/>
          <w:iCs/>
        </w:rPr>
        <w:t xml:space="preserve"> </w:t>
      </w:r>
      <w:r>
        <w:rPr>
          <w:i/>
          <w:iCs/>
        </w:rPr>
        <w:t xml:space="preserve">Freeholders</w:t>
      </w:r>
      <w:r>
        <w:rPr>
          <w:i/>
          <w:iCs/>
        </w:rPr>
        <w:t xml:space="preserve"> </w:t>
      </w:r>
      <w:r>
        <w:rPr>
          <w:i/>
          <w:iCs/>
        </w:rPr>
        <w:t xml:space="preserve">v.</w:t>
      </w:r>
      <w:r>
        <w:rPr>
          <w:i/>
          <w:iCs/>
        </w:rPr>
        <w:t xml:space="preserve"> </w:t>
      </w:r>
      <w:r>
        <w:rPr>
          <w:i/>
          <w:iCs/>
        </w:rPr>
        <w:t xml:space="preserve">Beretta,</w:t>
      </w:r>
      <w:r>
        <w:rPr>
          <w:i/>
          <w:iCs/>
        </w:rPr>
        <w:t xml:space="preserve"> </w:t>
      </w:r>
      <w:r>
        <w:rPr>
          <w:i/>
          <w:iCs/>
        </w:rPr>
        <w:t xml:space="preserve">U.S.A.</w:t>
      </w:r>
      <w:r>
        <w:rPr>
          <w:i/>
          <w:iCs/>
        </w:rPr>
        <w:t xml:space="preserve"> </w:t>
      </w:r>
      <w:r>
        <w:rPr>
          <w:i/>
          <w:iCs/>
        </w:rPr>
        <w:t xml:space="preserve">Corp.</w:t>
      </w:r>
      <w:r>
        <w:t xml:space="preserve">,</w:t>
      </w:r>
      <w:r>
        <w:t xml:space="preserve"> </w:t>
      </w:r>
      <w:r>
        <w:t xml:space="preserve">273</w:t>
      </w:r>
      <w:r>
        <w:t xml:space="preserve"> </w:t>
      </w:r>
      <w:r>
        <w:t xml:space="preserve">F.3d</w:t>
      </w:r>
      <w:r>
        <w:t xml:space="preserve"> </w:t>
      </w:r>
      <w:r>
        <w:t xml:space="preserve">536</w:t>
      </w:r>
      <w:r>
        <w:t xml:space="preserve"> </w:t>
      </w:r>
      <w:r>
        <w:t xml:space="preserve">(3d</w:t>
      </w:r>
      <w:r>
        <w:t xml:space="preserve"> </w:t>
      </w:r>
      <w:r>
        <w:t xml:space="preserve">Cir.</w:t>
      </w:r>
      <w:r>
        <w:t xml:space="preserve"> </w:t>
      </w:r>
      <w:r>
        <w:t xml:space="preserve">2001)</w:t>
      </w:r>
      <w:r>
        <w:t xml:space="preserve">   </w:t>
      </w:r>
      <w:r>
        <w:tab/>
      </w:r>
      <w:r>
        <w:t xml:space="preserve">4, 20</w:t>
      </w:r>
    </w:p>
    <w:p>
      <w:pPr>
        <w:keepLines/>
        <w:tabs>
          <w:tab w:val="right" w:leader="dot" w:pos="9360"/>
        </w:tabs>
        <w:spacing w:before="192"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Chi.</w:t>
      </w:r>
      <w:r>
        <w:rPr>
          <w:i/>
          <w:iCs/>
        </w:rPr>
        <w:t xml:space="preserve"> </w:t>
      </w:r>
      <w:r>
        <w:rPr>
          <w:i/>
          <w:iCs/>
        </w:rPr>
        <w:t xml:space="preserve">v.</w:t>
      </w:r>
      <w:r>
        <w:rPr>
          <w:i/>
          <w:iCs/>
        </w:rPr>
        <w:t xml:space="preserve"> </w:t>
      </w:r>
      <w:r>
        <w:rPr>
          <w:i/>
          <w:iCs/>
        </w:rPr>
        <w:t xml:space="preserve">Beretta</w:t>
      </w:r>
      <w:r>
        <w:rPr>
          <w:i/>
          <w:iCs/>
        </w:rPr>
        <w:t xml:space="preserve"> </w:t>
      </w:r>
      <w:r>
        <w:rPr>
          <w:i/>
          <w:iCs/>
        </w:rPr>
        <w:t xml:space="preserve">U.S.A.</w:t>
      </w:r>
      <w:r>
        <w:rPr>
          <w:i/>
          <w:iCs/>
        </w:rPr>
        <w:t xml:space="preserve"> </w:t>
      </w:r>
      <w:r>
        <w:rPr>
          <w:i/>
          <w:iCs/>
        </w:rPr>
        <w:t xml:space="preserve">Corp.</w:t>
      </w:r>
      <w:r>
        <w:t xml:space="preserve">,</w:t>
      </w:r>
      <w:r>
        <w:t xml:space="preserve"> </w:t>
      </w:r>
      <w:r>
        <w:t xml:space="preserve">821</w:t>
      </w:r>
      <w:r>
        <w:t xml:space="preserve"> </w:t>
      </w:r>
      <w:r>
        <w:t xml:space="preserve">N.E.2d</w:t>
      </w:r>
      <w:r>
        <w:t xml:space="preserve"> </w:t>
      </w:r>
      <w:r>
        <w:t xml:space="preserve">1099</w:t>
      </w:r>
      <w:r>
        <w:t xml:space="preserve"> </w:t>
      </w:r>
      <w:r>
        <w:t xml:space="preserve">(Ill.</w:t>
      </w:r>
      <w:r>
        <w:t xml:space="preserve"> </w:t>
      </w:r>
      <w:r>
        <w:t xml:space="preserve">2004)</w:t>
      </w:r>
      <w:r>
        <w:t xml:space="preserve">   </w:t>
      </w:r>
      <w:r>
        <w:tab/>
      </w:r>
      <w:r>
        <w:t xml:space="preserve">4, 19, 22</w:t>
      </w:r>
    </w:p>
    <w:p>
      <w:pPr>
        <w:keepLines/>
        <w:tabs>
          <w:tab w:val="right" w:leader="dot" w:pos="9360"/>
        </w:tabs>
        <w:spacing w:before="192"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Cincinnati</w:t>
      </w:r>
      <w:r>
        <w:rPr>
          <w:i/>
          <w:iCs/>
        </w:rPr>
        <w:t xml:space="preserve"> </w:t>
      </w:r>
      <w:r>
        <w:rPr>
          <w:i/>
          <w:iCs/>
        </w:rPr>
        <w:t xml:space="preserve">v.</w:t>
      </w:r>
      <w:r>
        <w:rPr>
          <w:i/>
          <w:iCs/>
        </w:rPr>
        <w:t xml:space="preserve"> </w:t>
      </w:r>
      <w:r>
        <w:rPr>
          <w:i/>
          <w:iCs/>
        </w:rPr>
        <w:t xml:space="preserve">Beretta</w:t>
      </w:r>
      <w:r>
        <w:rPr>
          <w:i/>
          <w:iCs/>
        </w:rPr>
        <w:t xml:space="preserve"> </w:t>
      </w:r>
      <w:r>
        <w:rPr>
          <w:i/>
          <w:iCs/>
        </w:rPr>
        <w:t xml:space="preserve">U.S.A.</w:t>
      </w:r>
      <w:r>
        <w:rPr>
          <w:i/>
          <w:iCs/>
        </w:rPr>
        <w:t xml:space="preserve"> </w:t>
      </w:r>
      <w:r>
        <w:rPr>
          <w:i/>
          <w:iCs/>
        </w:rPr>
        <w:t xml:space="preserve">Corp.</w:t>
      </w:r>
      <w:r>
        <w:t xml:space="preserve">,</w:t>
      </w:r>
      <w:r>
        <w:t xml:space="preserve"> </w:t>
      </w:r>
      <w:r>
        <w:t xml:space="preserve">768</w:t>
      </w:r>
      <w:r>
        <w:t xml:space="preserve"> </w:t>
      </w:r>
      <w:r>
        <w:t xml:space="preserve">N.E.2d</w:t>
      </w:r>
      <w:r>
        <w:t xml:space="preserve"> </w:t>
      </w:r>
      <w:r>
        <w:t xml:space="preserve">1136</w:t>
      </w:r>
      <w:r>
        <w:t xml:space="preserve"> </w:t>
      </w:r>
      <w:r>
        <w:t xml:space="preserve">(Ohio</w:t>
      </w:r>
      <w:r>
        <w:t xml:space="preserve"> </w:t>
      </w:r>
      <w:r>
        <w:t xml:space="preserve">2002)</w:t>
      </w:r>
      <w:r>
        <w:t xml:space="preserve">   </w:t>
      </w:r>
      <w:r>
        <w:tab/>
      </w:r>
      <w:r>
        <w:t xml:space="preserve">3</w:t>
      </w:r>
    </w:p>
    <w:p>
      <w:pPr>
        <w:keepLines/>
        <w:tabs>
          <w:tab w:val="right" w:leader="dot" w:pos="9360"/>
        </w:tabs>
        <w:spacing w:before="192"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Fairmont</w:t>
      </w:r>
      <w:r>
        <w:rPr>
          <w:i/>
          <w:iCs/>
        </w:rPr>
        <w:t xml:space="preserve"> </w:t>
      </w:r>
      <w:r>
        <w:rPr>
          <w:i/>
          <w:iCs/>
        </w:rPr>
        <w:t xml:space="preserve">v.</w:t>
      </w:r>
      <w:r>
        <w:rPr>
          <w:i/>
          <w:iCs/>
        </w:rPr>
        <w:t xml:space="preserve"> </w:t>
      </w:r>
      <w:r>
        <w:rPr>
          <w:i/>
          <w:iCs/>
        </w:rPr>
        <w:t xml:space="preserve">Retail,</w:t>
      </w:r>
      <w:r>
        <w:rPr>
          <w:i/>
          <w:iCs/>
        </w:rPr>
        <w:t xml:space="preserve"> </w:t>
      </w:r>
      <w:r>
        <w:rPr>
          <w:i/>
          <w:iCs/>
        </w:rPr>
        <w:t xml:space="preserve">Wholesale,</w:t>
      </w:r>
      <w:r>
        <w:rPr>
          <w:i/>
          <w:iCs/>
        </w:rPr>
        <w:t xml:space="preserve"> </w:t>
      </w:r>
      <w:r>
        <w:rPr>
          <w:i/>
          <w:iCs/>
        </w:rPr>
        <w:t xml:space="preserve">&amp;</w:t>
      </w:r>
      <w:r>
        <w:rPr>
          <w:i/>
          <w:iCs/>
        </w:rPr>
        <w:t xml:space="preserve"> </w:t>
      </w:r>
      <w:r>
        <w:rPr>
          <w:i/>
          <w:iCs/>
        </w:rPr>
        <w:t xml:space="preserve">Dep’t</w:t>
      </w:r>
      <w:r>
        <w:rPr>
          <w:i/>
          <w:iCs/>
        </w:rPr>
        <w:t xml:space="preserve"> </w:t>
      </w:r>
      <w:r>
        <w:rPr>
          <w:i/>
          <w:iCs/>
        </w:rPr>
        <w:t xml:space="preserve">Store</w:t>
      </w:r>
      <w:r>
        <w:rPr>
          <w:i/>
          <w:iCs/>
        </w:rPr>
        <w:t xml:space="preserve"> </w:t>
      </w:r>
      <w:r>
        <w:rPr>
          <w:i/>
          <w:iCs/>
        </w:rPr>
        <w:t xml:space="preserve">Union,</w:t>
      </w:r>
      <w:r>
        <w:rPr>
          <w:i/>
          <w:iCs/>
        </w:rPr>
        <w:t xml:space="preserve"> </w:t>
      </w:r>
      <w:r>
        <w:rPr>
          <w:i/>
          <w:iCs/>
        </w:rPr>
        <w:t xml:space="preserve">AFL-CIO</w:t>
      </w:r>
      <w:r>
        <w:t xml:space="preserve">,</w:t>
      </w:r>
      <w:r>
        <w:t xml:space="preserve"> </w:t>
      </w:r>
      <w:r>
        <w:t xml:space="preserve">166</w:t>
      </w:r>
      <w:r>
        <w:t xml:space="preserve"> </w:t>
      </w:r>
      <w:r>
        <w:t xml:space="preserve">W.</w:t>
      </w:r>
      <w:r>
        <w:t xml:space="preserve"> </w:t>
      </w:r>
      <w:r>
        <w:t xml:space="preserve">Va.</w:t>
      </w:r>
      <w:r>
        <w:t xml:space="preserve"> </w:t>
      </w:r>
      <w:r>
        <w:t xml:space="preserve">1,</w:t>
      </w:r>
      <w:r>
        <w:t xml:space="preserve"> </w:t>
      </w:r>
      <w:r>
        <w:t xml:space="preserve">283</w:t>
      </w:r>
      <w:r>
        <w:t xml:space="preserve"> </w:t>
      </w:r>
      <w:r>
        <w:t xml:space="preserve">S.E.2d</w:t>
      </w:r>
      <w:r>
        <w:t xml:space="preserve"> </w:t>
      </w:r>
      <w:r>
        <w:t xml:space="preserve">589</w:t>
      </w:r>
      <w:r>
        <w:t xml:space="preserve"> </w:t>
      </w:r>
      <w:r>
        <w:t xml:space="preserve">(1980)</w:t>
      </w:r>
      <w:r>
        <w:t xml:space="preserve">   </w:t>
      </w:r>
      <w:r>
        <w:tab/>
      </w:r>
      <w:r>
        <w:t xml:space="preserve">11</w:t>
      </w:r>
    </w:p>
    <w:p>
      <w:pPr>
        <w:keepLines/>
        <w:tabs>
          <w:tab w:val="right" w:leader="dot" w:pos="9360"/>
        </w:tabs>
        <w:spacing w:before="192" w:after="0" w:line="276" w:lineRule="exact"/>
        <w:ind w:left="720" w:right="1200" w:hanging="720"/>
      </w:pPr>
      <w:r>
        <w:rPr>
          <w:i/>
          <w:iCs/>
        </w:rPr>
        <w:t xml:space="preserve">City</w:t>
      </w:r>
      <w:r>
        <w:rPr>
          <w:i/>
          <w:iCs/>
        </w:rPr>
        <w:t xml:space="preserve"> </w:t>
      </w:r>
      <w:r>
        <w:rPr>
          <w:i/>
          <w:iCs/>
        </w:rPr>
        <w:t xml:space="preserve">of</w:t>
      </w:r>
      <w:r>
        <w:rPr>
          <w:i/>
          <w:iCs/>
        </w:rPr>
        <w:t xml:space="preserve"> </w:t>
      </w:r>
      <w:r>
        <w:rPr>
          <w:i/>
          <w:iCs/>
        </w:rPr>
        <w:t xml:space="preserve">Huntington</w:t>
      </w:r>
      <w:r>
        <w:rPr>
          <w:i/>
          <w:iCs/>
        </w:rPr>
        <w:t xml:space="preserve"> </w:t>
      </w:r>
      <w:r>
        <w:rPr>
          <w:i/>
          <w:iCs/>
        </w:rPr>
        <w:t xml:space="preserve">v.</w:t>
      </w:r>
      <w:r>
        <w:rPr>
          <w:i/>
          <w:iCs/>
        </w:rPr>
        <w:t xml:space="preserve"> </w:t>
      </w:r>
      <w:r>
        <w:rPr>
          <w:i/>
          <w:iCs/>
        </w:rPr>
        <w:t xml:space="preserve">AmerisourceBergen</w:t>
      </w:r>
      <w:r>
        <w:rPr>
          <w:i/>
          <w:iCs/>
        </w:rPr>
        <w:t xml:space="preserve"> </w:t>
      </w:r>
      <w:r>
        <w:rPr>
          <w:i/>
          <w:iCs/>
        </w:rPr>
        <w:t xml:space="preserve">Drug</w:t>
      </w:r>
      <w:r>
        <w:rPr>
          <w:i/>
          <w:iCs/>
        </w:rPr>
        <w:t xml:space="preserve"> </w:t>
      </w:r>
      <w:r>
        <w:rPr>
          <w:i/>
          <w:iCs/>
        </w:rPr>
        <w:t xml:space="preserve">Corp.</w:t>
      </w:r>
      <w:r>
        <w:t xml:space="preserve">,</w:t>
      </w:r>
      <w:r>
        <w:t xml:space="preserve"> </w:t>
      </w:r>
      <w:r>
        <w:t xml:space="preserve">609</w:t>
      </w:r>
      <w:r>
        <w:t xml:space="preserve"> </w:t>
      </w:r>
      <w:r>
        <w:t xml:space="preserve">F.</w:t>
      </w:r>
      <w:r>
        <w:t xml:space="preserve"> </w:t>
      </w:r>
      <w:r>
        <w:t xml:space="preserve">Supp.</w:t>
      </w:r>
      <w:r>
        <w:t xml:space="preserve"> </w:t>
      </w:r>
      <w:r>
        <w:t xml:space="preserve">3d</w:t>
      </w:r>
      <w:r>
        <w:t xml:space="preserve"> </w:t>
      </w:r>
      <w:r>
        <w:t xml:space="preserve">408</w:t>
      </w:r>
      <w:r>
        <w:t xml:space="preserve"> </w:t>
      </w:r>
      <w:r>
        <w:t xml:space="preserve">(S.D.</w:t>
      </w:r>
      <w:r>
        <w:t xml:space="preserve"> </w:t>
      </w:r>
      <w:r>
        <w:t xml:space="preserve">W.</w:t>
      </w:r>
      <w:r>
        <w:t xml:space="preserve"> </w:t>
      </w:r>
      <w:r>
        <w:t xml:space="preserve">Va.</w:t>
      </w:r>
      <w:r>
        <w:t xml:space="preserve"> </w:t>
      </w:r>
      <w:r>
        <w:t xml:space="preserve">2022)</w:t>
      </w:r>
      <w:r>
        <w:t xml:space="preserve">   </w:t>
      </w:r>
      <w:r>
        <w:tab/>
      </w:r>
      <w:r>
        <w:t xml:space="preserve">9, 13, 15, 22</w:t>
      </w:r>
    </w:p>
    <w:p>
      <w:pPr>
        <w:keepLines/>
        <w:tabs>
          <w:tab w:val="right" w:leader="dot" w:pos="9360"/>
        </w:tabs>
        <w:spacing w:before="192"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Philadelphia</w:t>
      </w:r>
      <w:r>
        <w:rPr>
          <w:i/>
          <w:iCs/>
        </w:rPr>
        <w:t xml:space="preserve"> </w:t>
      </w:r>
      <w:r>
        <w:rPr>
          <w:i/>
          <w:iCs/>
        </w:rPr>
        <w:t xml:space="preserve">v.</w:t>
      </w:r>
      <w:r>
        <w:rPr>
          <w:i/>
          <w:iCs/>
        </w:rPr>
        <w:t xml:space="preserve"> </w:t>
      </w:r>
      <w:r>
        <w:rPr>
          <w:i/>
          <w:iCs/>
        </w:rPr>
        <w:t xml:space="preserve">Beretta</w:t>
      </w:r>
      <w:r>
        <w:rPr>
          <w:i/>
          <w:iCs/>
        </w:rPr>
        <w:t xml:space="preserve"> </w:t>
      </w:r>
      <w:r>
        <w:rPr>
          <w:i/>
          <w:iCs/>
        </w:rPr>
        <w:t xml:space="preserve">U.S.A.</w:t>
      </w:r>
      <w:r>
        <w:rPr>
          <w:i/>
          <w:iCs/>
        </w:rPr>
        <w:t xml:space="preserve"> </w:t>
      </w:r>
      <w:r>
        <w:rPr>
          <w:i/>
          <w:iCs/>
        </w:rPr>
        <w:t xml:space="preserve">Corp.</w:t>
      </w:r>
      <w:r>
        <w:t xml:space="preserve">,</w:t>
      </w:r>
      <w:r>
        <w:t xml:space="preserve"> </w:t>
      </w:r>
      <w:r>
        <w:t xml:space="preserve">277</w:t>
      </w:r>
      <w:r>
        <w:t xml:space="preserve"> </w:t>
      </w:r>
      <w:r>
        <w:t xml:space="preserve">F.3d</w:t>
      </w:r>
      <w:r>
        <w:t xml:space="preserve"> </w:t>
      </w:r>
      <w:r>
        <w:t xml:space="preserve">415</w:t>
      </w:r>
      <w:r>
        <w:t xml:space="preserve"> </w:t>
      </w:r>
      <w:r>
        <w:t xml:space="preserve">(3d</w:t>
      </w:r>
      <w:r>
        <w:t xml:space="preserve"> </w:t>
      </w:r>
      <w:r>
        <w:t xml:space="preserve">Cir.</w:t>
      </w:r>
      <w:r>
        <w:t xml:space="preserve"> </w:t>
      </w:r>
      <w:r>
        <w:t xml:space="preserve">2002)</w:t>
      </w:r>
      <w:r>
        <w:t xml:space="preserve">   </w:t>
      </w:r>
      <w:r>
        <w:tab/>
      </w:r>
      <w:r>
        <w:t xml:space="preserve">20</w:t>
      </w:r>
    </w:p>
    <w:p>
      <w:pPr>
        <w:keepLines/>
        <w:tabs>
          <w:tab w:val="right" w:leader="dot" w:pos="9360"/>
        </w:tabs>
        <w:spacing w:before="192"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v.</w:t>
      </w:r>
      <w:r>
        <w:rPr>
          <w:i/>
          <w:iCs/>
        </w:rPr>
        <w:t xml:space="preserve"> </w:t>
      </w:r>
      <w:r>
        <w:rPr>
          <w:i/>
          <w:iCs/>
        </w:rPr>
        <w:t xml:space="preserve">Benjamin</w:t>
      </w:r>
      <w:r>
        <w:rPr>
          <w:i/>
          <w:iCs/>
        </w:rPr>
        <w:t xml:space="preserve"> </w:t>
      </w:r>
      <w:r>
        <w:rPr>
          <w:i/>
          <w:iCs/>
        </w:rPr>
        <w:t xml:space="preserve">Moore</w:t>
      </w:r>
      <w:r>
        <w:rPr>
          <w:i/>
          <w:iCs/>
        </w:rPr>
        <w:t xml:space="preserve"> </w:t>
      </w:r>
      <w:r>
        <w:rPr>
          <w:i/>
          <w:iCs/>
        </w:rPr>
        <w:t xml:space="preserve">&amp;</w:t>
      </w:r>
      <w:r>
        <w:rPr>
          <w:i/>
          <w:iCs/>
        </w:rPr>
        <w:t xml:space="preserve"> </w:t>
      </w:r>
      <w:r>
        <w:rPr>
          <w:i/>
          <w:iCs/>
        </w:rPr>
        <w:t xml:space="preserve">Co.</w:t>
      </w:r>
      <w:r>
        <w:t xml:space="preserve">,</w:t>
      </w:r>
      <w:r>
        <w:t xml:space="preserve"> </w:t>
      </w:r>
      <w:r>
        <w:t xml:space="preserve">226</w:t>
      </w:r>
      <w:r>
        <w:t xml:space="preserve"> </w:t>
      </w:r>
      <w:r>
        <w:t xml:space="preserve">S.W.3d</w:t>
      </w:r>
      <w:r>
        <w:t xml:space="preserve"> </w:t>
      </w:r>
      <w:r>
        <w:t xml:space="preserve">110</w:t>
      </w:r>
      <w:r>
        <w:t xml:space="preserve"> </w:t>
      </w:r>
      <w:r>
        <w:t xml:space="preserve">(Mo.</w:t>
      </w:r>
      <w:r>
        <w:t xml:space="preserve"> </w:t>
      </w:r>
      <w:r>
        <w:t xml:space="preserve">2007)</w:t>
      </w:r>
      <w:r>
        <w:t xml:space="preserve">   </w:t>
      </w:r>
      <w:r>
        <w:tab/>
      </w:r>
      <w:r>
        <w:t xml:space="preserve">3</w:t>
      </w:r>
    </w:p>
    <w:p>
      <w:pPr>
        <w:keepLines/>
        <w:tabs>
          <w:tab w:val="right" w:leader="dot" w:pos="9360"/>
        </w:tabs>
        <w:spacing w:before="192" w:after="0" w:line="276" w:lineRule="exact"/>
        <w:ind w:left="720" w:right="1120" w:hanging="720"/>
      </w:pPr>
      <w:r>
        <w:rPr>
          <w:i/>
          <w:iCs/>
        </w:rPr>
        <w:t xml:space="preserve">Connecticut</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Elec.</w:t>
      </w:r>
      <w:r>
        <w:rPr>
          <w:i/>
          <w:iCs/>
        </w:rPr>
        <w:t xml:space="preserve"> </w:t>
      </w:r>
      <w:r>
        <w:rPr>
          <w:i/>
          <w:iCs/>
        </w:rPr>
        <w:t xml:space="preserve">Power</w:t>
      </w:r>
      <w:r>
        <w:rPr>
          <w:i/>
          <w:iCs/>
        </w:rPr>
        <w:t xml:space="preserve"> </w:t>
      </w:r>
      <w:r>
        <w:rPr>
          <w:i/>
          <w:iCs/>
        </w:rPr>
        <w:t xml:space="preserve">Co.</w:t>
      </w:r>
      <w:r>
        <w:t xml:space="preserve">,</w:t>
      </w:r>
      <w:r>
        <w:t xml:space="preserve"> </w:t>
      </w:r>
      <w:r>
        <w:t xml:space="preserve">582</w:t>
      </w:r>
      <w:r>
        <w:t xml:space="preserve"> </w:t>
      </w:r>
      <w:r>
        <w:t xml:space="preserve">F.3d</w:t>
      </w:r>
      <w:r>
        <w:t xml:space="preserve"> </w:t>
      </w:r>
      <w:r>
        <w:t xml:space="preserve">309</w:t>
      </w:r>
      <w:r>
        <w:t xml:space="preserve"> </w:t>
      </w:r>
      <w:r>
        <w:t xml:space="preserve">(2d</w:t>
      </w:r>
      <w:r>
        <w:t xml:space="preserve"> </w:t>
      </w:r>
      <w:r>
        <w:t xml:space="preserve">Cir.</w:t>
      </w:r>
      <w:r>
        <w:t xml:space="preserve"> </w:t>
      </w:r>
      <w:r>
        <w:t xml:space="preserve">2009)</w:t>
      </w:r>
      <w:r>
        <w:t xml:space="preserve">   </w:t>
      </w:r>
      <w:r>
        <w:tab/>
      </w:r>
      <w:r>
        <w:t xml:space="preserve">3</w:t>
      </w:r>
    </w:p>
    <w:p>
      <w:pPr>
        <w:keepLines/>
        <w:tabs>
          <w:tab w:val="right" w:leader="dot" w:pos="9360"/>
        </w:tabs>
        <w:spacing w:before="192" w:after="0" w:line="276" w:lineRule="exact"/>
        <w:ind w:left="720" w:right="1120" w:hanging="720"/>
      </w:pPr>
      <w:r>
        <w:rPr>
          <w:i/>
          <w:iCs/>
        </w:rPr>
        <w:t xml:space="preserve">Detroit</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Celotex</w:t>
      </w:r>
      <w:r>
        <w:rPr>
          <w:i/>
          <w:iCs/>
        </w:rPr>
        <w:t xml:space="preserve"> </w:t>
      </w:r>
      <w:r>
        <w:rPr>
          <w:i/>
          <w:iCs/>
        </w:rPr>
        <w:t xml:space="preserve">Corp.</w:t>
      </w:r>
      <w:r>
        <w:t xml:space="preserve">,</w:t>
      </w:r>
      <w:r>
        <w:t xml:space="preserve"> </w:t>
      </w:r>
      <w:r>
        <w:t xml:space="preserve">493</w:t>
      </w:r>
      <w:r>
        <w:t xml:space="preserve"> </w:t>
      </w:r>
      <w:r>
        <w:t xml:space="preserve">N.W.2d</w:t>
      </w:r>
      <w:r>
        <w:t xml:space="preserve"> </w:t>
      </w:r>
      <w:r>
        <w:t xml:space="preserve">513</w:t>
      </w:r>
      <w:r>
        <w:t xml:space="preserve"> </w:t>
      </w:r>
      <w:r>
        <w:t xml:space="preserve">(Mich.</w:t>
      </w:r>
      <w:r>
        <w:t xml:space="preserve"> </w:t>
      </w:r>
      <w:r>
        <w:t xml:space="preserve">Ct.</w:t>
      </w:r>
      <w:r>
        <w:t xml:space="preserve"> </w:t>
      </w:r>
      <w:r>
        <w:t xml:space="preserve">App.</w:t>
      </w:r>
      <w:r>
        <w:t xml:space="preserve"> </w:t>
      </w:r>
      <w:r>
        <w:t xml:space="preserve">1992)</w:t>
      </w:r>
      <w:r>
        <w:t xml:space="preserve">   </w:t>
      </w:r>
      <w:r>
        <w:tab/>
      </w:r>
      <w:r>
        <w:t xml:space="preserve">3</w:t>
      </w:r>
    </w:p>
    <w:p>
      <w:pPr>
        <w:keepLines/>
        <w:tabs>
          <w:tab w:val="right" w:leader="dot" w:pos="9360"/>
        </w:tabs>
        <w:spacing w:before="192" w:after="0" w:line="276" w:lineRule="exact"/>
        <w:ind w:left="720" w:right="1120" w:hanging="720"/>
      </w:pPr>
      <w:r>
        <w:rPr>
          <w:i/>
          <w:iCs/>
        </w:rPr>
        <w:t xml:space="preserve">Duff</w:t>
      </w:r>
      <w:r>
        <w:rPr>
          <w:i/>
          <w:iCs/>
        </w:rPr>
        <w:t xml:space="preserve"> </w:t>
      </w:r>
      <w:r>
        <w:rPr>
          <w:i/>
          <w:iCs/>
        </w:rPr>
        <w:t xml:space="preserve">v.</w:t>
      </w:r>
      <w:r>
        <w:rPr>
          <w:i/>
          <w:iCs/>
        </w:rPr>
        <w:t xml:space="preserve"> </w:t>
      </w:r>
      <w:r>
        <w:rPr>
          <w:i/>
          <w:iCs/>
        </w:rPr>
        <w:t xml:space="preserve">Morgantown</w:t>
      </w:r>
      <w:r>
        <w:rPr>
          <w:i/>
          <w:iCs/>
        </w:rPr>
        <w:t xml:space="preserve"> </w:t>
      </w:r>
      <w:r>
        <w:rPr>
          <w:i/>
          <w:iCs/>
        </w:rPr>
        <w:t xml:space="preserve">Energy</w:t>
      </w:r>
      <w:r>
        <w:rPr>
          <w:i/>
          <w:iCs/>
        </w:rPr>
        <w:t xml:space="preserve"> </w:t>
      </w:r>
      <w:r>
        <w:rPr>
          <w:i/>
          <w:iCs/>
        </w:rPr>
        <w:t xml:space="preserve">Assocs.</w:t>
      </w:r>
      <w:r>
        <w:rPr>
          <w:i/>
          <w:iCs/>
        </w:rPr>
        <w:t xml:space="preserve"> </w:t>
      </w:r>
      <w:r>
        <w:rPr>
          <w:i/>
          <w:iCs/>
        </w:rPr>
        <w:t xml:space="preserve">(M.E.A.)</w:t>
      </w:r>
      <w:r>
        <w:t xml:space="preserve">,</w:t>
      </w:r>
      <w:r>
        <w:t xml:space="preserve"> </w:t>
      </w:r>
      <w:r>
        <w:t xml:space="preserve">187</w:t>
      </w:r>
      <w:r>
        <w:t xml:space="preserve"> </w:t>
      </w:r>
      <w:r>
        <w:t xml:space="preserve">W.</w:t>
      </w:r>
      <w:r>
        <w:t xml:space="preserve"> </w:t>
      </w:r>
      <w:r>
        <w:t xml:space="preserve">Va.</w:t>
      </w:r>
      <w:r>
        <w:t xml:space="preserve"> </w:t>
      </w:r>
      <w:r>
        <w:t xml:space="preserve">712,</w:t>
      </w:r>
      <w:r>
        <w:t xml:space="preserve"> </w:t>
      </w:r>
      <w:r>
        <w:t xml:space="preserve">421</w:t>
      </w:r>
      <w:r>
        <w:t xml:space="preserve"> </w:t>
      </w:r>
      <w:r>
        <w:t xml:space="preserve">S.E.2d</w:t>
      </w:r>
      <w:r>
        <w:t xml:space="preserve"> </w:t>
      </w:r>
      <w:r>
        <w:t xml:space="preserve">253</w:t>
      </w:r>
      <w:r>
        <w:t xml:space="preserve"> </w:t>
      </w:r>
      <w:r>
        <w:t xml:space="preserve">(1992)</w:t>
      </w:r>
      <w:r>
        <w:t xml:space="preserve">   </w:t>
      </w:r>
      <w:r>
        <w:tab/>
      </w:r>
      <w:r>
        <w:t xml:space="preserve">5</w:t>
      </w:r>
    </w:p>
    <w:p>
      <w:pPr>
        <w:keepLines/>
        <w:tabs>
          <w:tab w:val="right" w:leader="dot" w:pos="9360"/>
        </w:tabs>
        <w:spacing w:before="192" w:after="0" w:line="276" w:lineRule="exact"/>
        <w:ind w:left="720" w:right="1120" w:hanging="720"/>
      </w:pPr>
      <w:r>
        <w:rPr>
          <w:i/>
          <w:iCs/>
        </w:rPr>
        <w:t xml:space="preserve">Elmore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rPr>
          <w:i/>
          <w:iCs/>
        </w:rPr>
        <w:t xml:space="preserve"> </w:t>
      </w:r>
      <w:r>
        <w:rPr>
          <w:i/>
          <w:iCs/>
        </w:rPr>
        <w:t xml:space="preserve">Co.</w:t>
      </w:r>
      <w:r>
        <w:t xml:space="preserve">,</w:t>
      </w:r>
      <w:r>
        <w:t xml:space="preserve"> </w:t>
      </w:r>
      <w:r>
        <w:t xml:space="preserve">202</w:t>
      </w:r>
      <w:r>
        <w:t xml:space="preserve"> </w:t>
      </w:r>
      <w:r>
        <w:t xml:space="preserve">W.</w:t>
      </w:r>
      <w:r>
        <w:t xml:space="preserve"> </w:t>
      </w:r>
      <w:r>
        <w:t xml:space="preserve">Va.</w:t>
      </w:r>
      <w:r>
        <w:t xml:space="preserve"> </w:t>
      </w:r>
      <w:r>
        <w:t xml:space="preserve">430,</w:t>
      </w:r>
      <w:r>
        <w:t xml:space="preserve"> </w:t>
      </w:r>
      <w:r>
        <w:t xml:space="preserve">504</w:t>
      </w:r>
      <w:r>
        <w:t xml:space="preserve"> </w:t>
      </w:r>
      <w:r>
        <w:t xml:space="preserve">S.E.2d</w:t>
      </w:r>
      <w:r>
        <w:t xml:space="preserve"> </w:t>
      </w:r>
      <w:r>
        <w:t xml:space="preserve">893</w:t>
      </w:r>
      <w:r>
        <w:t xml:space="preserve"> </w:t>
      </w:r>
      <w:r>
        <w:t xml:space="preserve">(1998)</w:t>
      </w:r>
      <w:r>
        <w:t xml:space="preserve">   </w:t>
      </w:r>
      <w:r>
        <w:tab/>
      </w:r>
      <w:r>
        <w:t xml:space="preserve">11</w:t>
      </w:r>
    </w:p>
    <w:p>
      <w:pPr>
        <w:keepLines/>
        <w:tabs>
          <w:tab w:val="right" w:leader="dot" w:pos="9360"/>
        </w:tabs>
        <w:spacing w:before="192" w:after="0" w:line="276" w:lineRule="exact"/>
        <w:ind w:left="720" w:right="1120" w:hanging="720"/>
      </w:pPr>
      <w:r>
        <w:rPr>
          <w:i/>
          <w:iCs/>
        </w:rPr>
        <w:t xml:space="preserve">Foley</w:t>
      </w:r>
      <w:r>
        <w:rPr>
          <w:i/>
          <w:iCs/>
        </w:rPr>
        <w:t xml:space="preserve"> </w:t>
      </w:r>
      <w:r>
        <w:rPr>
          <w:i/>
          <w:iCs/>
        </w:rPr>
        <w:t xml:space="preserve">v.</w:t>
      </w:r>
      <w:r>
        <w:rPr>
          <w:i/>
          <w:iCs/>
        </w:rPr>
        <w:t xml:space="preserve"> </w:t>
      </w:r>
      <w:r>
        <w:rPr>
          <w:i/>
          <w:iCs/>
        </w:rPr>
        <w:t xml:space="preserve">Doddridge</w:t>
      </w:r>
      <w:r>
        <w:rPr>
          <w:i/>
          <w:iCs/>
        </w:rPr>
        <w:t xml:space="preserve"> </w:t>
      </w:r>
      <w:r>
        <w:rPr>
          <w:i/>
          <w:iCs/>
        </w:rPr>
        <w:t xml:space="preserve">Cnty.</w:t>
      </w:r>
      <w:r>
        <w:rPr>
          <w:i/>
          <w:iCs/>
        </w:rPr>
        <w:t xml:space="preserve"> </w:t>
      </w:r>
      <w:r>
        <w:rPr>
          <w:i/>
          <w:iCs/>
        </w:rPr>
        <w:t xml:space="preserve">Ct.</w:t>
      </w:r>
      <w:r>
        <w:t xml:space="preserve">,</w:t>
      </w:r>
      <w:r>
        <w:t xml:space="preserve"> </w:t>
      </w:r>
      <w:r>
        <w:t xml:space="preserve">54</w:t>
      </w:r>
      <w:r>
        <w:t xml:space="preserve"> </w:t>
      </w:r>
      <w:r>
        <w:t xml:space="preserve">W.</w:t>
      </w:r>
      <w:r>
        <w:t xml:space="preserve"> </w:t>
      </w:r>
      <w:r>
        <w:t xml:space="preserve">Va.</w:t>
      </w:r>
      <w:r>
        <w:t xml:space="preserve"> </w:t>
      </w:r>
      <w:r>
        <w:t xml:space="preserve">16,</w:t>
      </w:r>
      <w:r>
        <w:t xml:space="preserve"> </w:t>
      </w:r>
      <w:r>
        <w:t xml:space="preserve">46</w:t>
      </w:r>
      <w:r>
        <w:t xml:space="preserve"> </w:t>
      </w:r>
      <w:r>
        <w:t xml:space="preserve">S.E.</w:t>
      </w:r>
      <w:r>
        <w:t xml:space="preserve"> </w:t>
      </w:r>
      <w:r>
        <w:t xml:space="preserve">246</w:t>
      </w:r>
      <w:r>
        <w:t xml:space="preserve"> </w:t>
      </w:r>
      <w:r>
        <w:t xml:space="preserve">(1903)</w:t>
      </w:r>
      <w:r>
        <w:t xml:space="preserve">   </w:t>
      </w:r>
      <w:r>
        <w:tab/>
      </w:r>
      <w:r>
        <w:t xml:space="preserve">17</w:t>
      </w:r>
    </w:p>
    <w:p>
      <w:pPr>
        <w:keepLines/>
        <w:tabs>
          <w:tab w:val="right" w:leader="dot" w:pos="9360"/>
        </w:tabs>
        <w:spacing w:before="192" w:after="0" w:line="276" w:lineRule="exact"/>
        <w:ind w:left="720" w:right="1120" w:hanging="720"/>
      </w:pPr>
      <w:r>
        <w:rPr>
          <w:i/>
          <w:iCs/>
        </w:rPr>
        <w:t xml:space="preserve">Frye</w:t>
      </w:r>
      <w:r>
        <w:rPr>
          <w:i/>
          <w:iCs/>
        </w:rPr>
        <w:t xml:space="preserve"> </w:t>
      </w:r>
      <w:r>
        <w:rPr>
          <w:i/>
          <w:iCs/>
        </w:rPr>
        <w:t xml:space="preserve">v.</w:t>
      </w:r>
      <w:r>
        <w:rPr>
          <w:i/>
          <w:iCs/>
        </w:rPr>
        <w:t xml:space="preserve"> </w:t>
      </w:r>
      <w:r>
        <w:rPr>
          <w:i/>
          <w:iCs/>
        </w:rPr>
        <w:t xml:space="preserve">McCrory</w:t>
      </w:r>
      <w:r>
        <w:rPr>
          <w:i/>
          <w:iCs/>
        </w:rPr>
        <w:t xml:space="preserve"> </w:t>
      </w:r>
      <w:r>
        <w:rPr>
          <w:i/>
          <w:iCs/>
        </w:rPr>
        <w:t xml:space="preserve">Stores</w:t>
      </w:r>
      <w:r>
        <w:rPr>
          <w:i/>
          <w:iCs/>
        </w:rPr>
        <w:t xml:space="preserve"> </w:t>
      </w:r>
      <w:r>
        <w:rPr>
          <w:i/>
          <w:iCs/>
        </w:rPr>
        <w:t xml:space="preserve">Corp.</w:t>
      </w:r>
      <w:r>
        <w:t xml:space="preserve">,</w:t>
      </w:r>
      <w:r>
        <w:t xml:space="preserve"> </w:t>
      </w:r>
      <w:r>
        <w:t xml:space="preserve">144</w:t>
      </w:r>
      <w:r>
        <w:t xml:space="preserve"> </w:t>
      </w:r>
      <w:r>
        <w:t xml:space="preserve">W.</w:t>
      </w:r>
      <w:r>
        <w:t xml:space="preserve"> </w:t>
      </w:r>
      <w:r>
        <w:t xml:space="preserve">Va.</w:t>
      </w:r>
      <w:r>
        <w:t xml:space="preserve"> </w:t>
      </w:r>
      <w:r>
        <w:t xml:space="preserve">123,</w:t>
      </w:r>
      <w:r>
        <w:t xml:space="preserve"> </w:t>
      </w:r>
      <w:r>
        <w:t xml:space="preserve">107</w:t>
      </w:r>
      <w:r>
        <w:t xml:space="preserve"> </w:t>
      </w:r>
      <w:r>
        <w:t xml:space="preserve">S.E.2d</w:t>
      </w:r>
      <w:r>
        <w:t xml:space="preserve"> </w:t>
      </w:r>
      <w:r>
        <w:t xml:space="preserve">378</w:t>
      </w:r>
      <w:r>
        <w:t xml:space="preserve"> </w:t>
      </w:r>
      <w:r>
        <w:t xml:space="preserve">(1959)</w:t>
      </w:r>
      <w:r>
        <w:t xml:space="preserve">   </w:t>
      </w:r>
      <w:r>
        <w:tab/>
      </w:r>
      <w:r>
        <w:t xml:space="preserve">15</w:t>
      </w:r>
    </w:p>
    <w:p>
      <w:pPr>
        <w:keepLines/>
        <w:tabs>
          <w:tab w:val="right" w:leader="dot" w:pos="9360"/>
        </w:tabs>
        <w:spacing w:before="192" w:after="0" w:line="276" w:lineRule="exact"/>
        <w:ind w:left="720" w:right="1120" w:hanging="720"/>
      </w:pPr>
      <w:r>
        <w:rPr>
          <w:i/>
          <w:iCs/>
        </w:rPr>
        <w:t xml:space="preserve">Garcelon</w:t>
      </w:r>
      <w:r>
        <w:rPr>
          <w:i/>
          <w:iCs/>
        </w:rPr>
        <w:t xml:space="preserve"> </w:t>
      </w:r>
      <w:r>
        <w:rPr>
          <w:i/>
          <w:iCs/>
        </w:rPr>
        <w:t xml:space="preserve">v.</w:t>
      </w:r>
      <w:r>
        <w:rPr>
          <w:i/>
          <w:iCs/>
        </w:rPr>
        <w:t xml:space="preserve"> </w:t>
      </w:r>
      <w:r>
        <w:rPr>
          <w:i/>
          <w:iCs/>
        </w:rPr>
        <w:t xml:space="preserve">Rutledge</w:t>
      </w:r>
      <w:r>
        <w:t xml:space="preserve">,</w:t>
      </w:r>
      <w:r>
        <w:t xml:space="preserve"> </w:t>
      </w:r>
      <w:r>
        <w:t xml:space="preserve">173</w:t>
      </w:r>
      <w:r>
        <w:t xml:space="preserve"> </w:t>
      </w:r>
      <w:r>
        <w:t xml:space="preserve">W.</w:t>
      </w:r>
      <w:r>
        <w:t xml:space="preserve"> </w:t>
      </w:r>
      <w:r>
        <w:t xml:space="preserve">Va.</w:t>
      </w:r>
      <w:r>
        <w:t xml:space="preserve"> </w:t>
      </w:r>
      <w:r>
        <w:t xml:space="preserve">572,</w:t>
      </w:r>
      <w:r>
        <w:t xml:space="preserve"> </w:t>
      </w:r>
      <w:r>
        <w:t xml:space="preserve">318</w:t>
      </w:r>
      <w:r>
        <w:t xml:space="preserve"> </w:t>
      </w:r>
      <w:r>
        <w:t xml:space="preserve">S.E.2d</w:t>
      </w:r>
      <w:r>
        <w:t xml:space="preserve"> </w:t>
      </w:r>
      <w:r>
        <w:t xml:space="preserve">622</w:t>
      </w:r>
      <w:r>
        <w:t xml:space="preserve"> </w:t>
      </w:r>
      <w:r>
        <w:t xml:space="preserve">(1984)</w:t>
      </w:r>
      <w:r>
        <w:t xml:space="preserve">   </w:t>
      </w:r>
      <w:r>
        <w:tab/>
      </w:r>
      <w:r>
        <w:t xml:space="preserve">20</w:t>
      </w:r>
    </w:p>
    <w:p>
      <w:pPr>
        <w:keepLines/>
        <w:tabs>
          <w:tab w:val="right" w:leader="dot" w:pos="9360"/>
        </w:tabs>
        <w:spacing w:before="192" w:after="0" w:line="276" w:lineRule="exact"/>
        <w:ind w:left="720" w:right="1120" w:hanging="720"/>
      </w:pPr>
      <w:r>
        <w:rPr>
          <w:i/>
          <w:iCs/>
        </w:rPr>
        <w:t xml:space="preserve">Gibson</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Highways</w:t>
      </w:r>
      <w:r>
        <w:t xml:space="preserve">,</w:t>
      </w:r>
      <w:r>
        <w:t xml:space="preserve"> </w:t>
      </w:r>
      <w:r>
        <w:t xml:space="preserve">185</w:t>
      </w:r>
      <w:r>
        <w:t xml:space="preserve"> </w:t>
      </w:r>
      <w:r>
        <w:t xml:space="preserve">W.</w:t>
      </w:r>
      <w:r>
        <w:t xml:space="preserve"> </w:t>
      </w:r>
      <w:r>
        <w:t xml:space="preserve">Va.</w:t>
      </w:r>
      <w:r>
        <w:t xml:space="preserve"> </w:t>
      </w:r>
      <w:r>
        <w:t xml:space="preserve">214,</w:t>
      </w:r>
      <w:r>
        <w:t xml:space="preserve"> </w:t>
      </w:r>
      <w:r>
        <w:t xml:space="preserve">406</w:t>
      </w:r>
      <w:r>
        <w:t xml:space="preserve"> </w:t>
      </w:r>
      <w:r>
        <w:t xml:space="preserve">S.E.2d</w:t>
      </w:r>
      <w:r>
        <w:t xml:space="preserve"> </w:t>
      </w:r>
      <w:r>
        <w:t xml:space="preserve">440</w:t>
      </w:r>
      <w:r>
        <w:t xml:space="preserve"> </w:t>
      </w:r>
      <w:r>
        <w:t xml:space="preserve">(1991)</w:t>
      </w:r>
      <w:r>
        <w:t xml:space="preserve">   </w:t>
      </w:r>
      <w:r>
        <w:tab/>
      </w:r>
      <w:r>
        <w:t xml:space="preserve">17</w:t>
      </w:r>
    </w:p>
    <w:p>
      <w:pPr>
        <w:keepLines/>
        <w:tabs>
          <w:tab w:val="right" w:leader="dot" w:pos="9360"/>
        </w:tabs>
        <w:spacing w:before="192" w:after="0" w:line="276" w:lineRule="exact"/>
        <w:ind w:left="720" w:right="1120" w:hanging="720"/>
      </w:pPr>
      <w:r>
        <w:rPr>
          <w:i/>
          <w:iCs/>
        </w:rPr>
        <w:t xml:space="preserve">Harless</w:t>
      </w:r>
      <w:r>
        <w:rPr>
          <w:i/>
          <w:iCs/>
        </w:rPr>
        <w:t xml:space="preserve"> </w:t>
      </w:r>
      <w:r>
        <w:rPr>
          <w:i/>
          <w:iCs/>
        </w:rPr>
        <w:t xml:space="preserve">v.</w:t>
      </w:r>
      <w:r>
        <w:rPr>
          <w:i/>
          <w:iCs/>
        </w:rPr>
        <w:t xml:space="preserve"> </w:t>
      </w:r>
      <w:r>
        <w:rPr>
          <w:i/>
          <w:iCs/>
        </w:rPr>
        <w:t xml:space="preserve">Workman</w:t>
      </w:r>
      <w:r>
        <w:t xml:space="preserve">,</w:t>
      </w:r>
      <w:r>
        <w:t xml:space="preserve"> </w:t>
      </w:r>
      <w:r>
        <w:t xml:space="preserve">145</w:t>
      </w:r>
      <w:r>
        <w:t xml:space="preserve"> </w:t>
      </w:r>
      <w:r>
        <w:t xml:space="preserve">W.</w:t>
      </w:r>
      <w:r>
        <w:t xml:space="preserve"> </w:t>
      </w:r>
      <w:r>
        <w:t xml:space="preserve">Va.</w:t>
      </w:r>
      <w:r>
        <w:t xml:space="preserve"> </w:t>
      </w:r>
      <w:r>
        <w:t xml:space="preserve">266,</w:t>
      </w:r>
      <w:r>
        <w:t xml:space="preserve"> </w:t>
      </w:r>
      <w:r>
        <w:t xml:space="preserve">114</w:t>
      </w:r>
      <w:r>
        <w:t xml:space="preserve"> </w:t>
      </w:r>
      <w:r>
        <w:t xml:space="preserve">S.E.2d</w:t>
      </w:r>
      <w:r>
        <w:t xml:space="preserve"> </w:t>
      </w:r>
      <w:r>
        <w:t xml:space="preserve">548</w:t>
      </w:r>
      <w:r>
        <w:t xml:space="preserve"> </w:t>
      </w:r>
      <w:r>
        <w:t xml:space="preserve">(1960)</w:t>
      </w:r>
      <w:r>
        <w:t xml:space="preserve">   </w:t>
      </w:r>
      <w:r>
        <w:tab/>
      </w:r>
      <w:r>
        <w:t xml:space="preserve">15</w:t>
      </w:r>
    </w:p>
    <w:p>
      <w:pPr>
        <w:keepLines/>
        <w:tabs>
          <w:tab w:val="right" w:leader="dot" w:pos="9360"/>
        </w:tabs>
        <w:spacing w:before="192" w:after="0" w:line="276" w:lineRule="exact"/>
        <w:ind w:left="720" w:right="1120" w:hanging="720"/>
      </w:pPr>
      <w:r>
        <w:rPr>
          <w:i/>
          <w:iCs/>
        </w:rPr>
        <w:t xml:space="preserve">Hartsock-Flesher</w:t>
      </w:r>
      <w:r>
        <w:rPr>
          <w:i/>
          <w:iCs/>
        </w:rPr>
        <w:t xml:space="preserve"> </w:t>
      </w:r>
      <w:r>
        <w:rPr>
          <w:i/>
          <w:iCs/>
        </w:rPr>
        <w:t xml:space="preserve">Candy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Wheeling</w:t>
      </w:r>
      <w:r>
        <w:rPr>
          <w:i/>
          <w:iCs/>
        </w:rPr>
        <w:t xml:space="preserve"> </w:t>
      </w:r>
      <w:r>
        <w:rPr>
          <w:i/>
          <w:iCs/>
        </w:rPr>
        <w:t xml:space="preserve">Wholesale</w:t>
      </w:r>
      <w:r>
        <w:rPr>
          <w:i/>
          <w:iCs/>
        </w:rPr>
        <w:t xml:space="preserve"> </w:t>
      </w:r>
      <w:r>
        <w:rPr>
          <w:i/>
          <w:iCs/>
        </w:rPr>
        <w:t xml:space="preserve">Grocery</w:t>
      </w:r>
      <w:r>
        <w:rPr>
          <w:i/>
          <w:iCs/>
        </w:rPr>
        <w:t xml:space="preserve"> </w:t>
      </w:r>
      <w:r>
        <w:rPr>
          <w:i/>
          <w:iCs/>
        </w:rPr>
        <w:t xml:space="preserve">Co.</w:t>
      </w:r>
      <w:r>
        <w:t xml:space="preserve">,</w:t>
      </w:r>
      <w:r>
        <w:t xml:space="preserve"> </w:t>
      </w:r>
      <w:r>
        <w:t xml:space="preserve">174</w:t>
      </w:r>
      <w:r>
        <w:t xml:space="preserve"> </w:t>
      </w:r>
      <w:r>
        <w:t xml:space="preserve">W.</w:t>
      </w:r>
      <w:r>
        <w:t xml:space="preserve"> </w:t>
      </w:r>
      <w:r>
        <w:t xml:space="preserve">Va.</w:t>
      </w:r>
      <w:r>
        <w:t xml:space="preserve"> </w:t>
      </w:r>
      <w:r>
        <w:t xml:space="preserve">538,</w:t>
      </w:r>
      <w:r>
        <w:t xml:space="preserve"> </w:t>
      </w:r>
      <w:r>
        <w:t xml:space="preserve">328</w:t>
      </w:r>
      <w:r>
        <w:t xml:space="preserve"> </w:t>
      </w:r>
      <w:r>
        <w:t xml:space="preserve">S.E.2d</w:t>
      </w:r>
      <w:r>
        <w:t xml:space="preserve"> </w:t>
      </w:r>
      <w:r>
        <w:t xml:space="preserve">144</w:t>
      </w:r>
      <w:r>
        <w:t xml:space="preserve"> </w:t>
      </w:r>
      <w:r>
        <w:t xml:space="preserve">(1984)</w:t>
      </w:r>
      <w:r>
        <w:t xml:space="preserve">   </w:t>
      </w:r>
      <w:r>
        <w:tab/>
      </w:r>
      <w:r>
        <w:t xml:space="preserve">16</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Hunter</w:t>
      </w:r>
      <w:r>
        <w:rPr>
          <w:i/>
          <w:iCs/>
        </w:rPr>
        <w:t xml:space="preserve"> </w:t>
      </w:r>
      <w:r>
        <w:rPr>
          <w:i/>
          <w:iCs/>
        </w:rPr>
        <w:t xml:space="preserve">v.</w:t>
      </w:r>
      <w:r>
        <w:rPr>
          <w:i/>
          <w:iCs/>
        </w:rPr>
        <w:t xml:space="preserve"> </w:t>
      </w:r>
      <w:r>
        <w:rPr>
          <w:i/>
          <w:iCs/>
        </w:rPr>
        <w:t xml:space="preserve">Johnson</w:t>
      </w:r>
      <w:r>
        <w:rPr>
          <w:i/>
          <w:iCs/>
        </w:rPr>
        <w:t xml:space="preserve"> </w:t>
      </w:r>
      <w:r>
        <w:rPr>
          <w:i/>
          <w:iCs/>
        </w:rPr>
        <w:t xml:space="preserve">&amp;</w:t>
      </w:r>
      <w:r>
        <w:rPr>
          <w:i/>
          <w:iCs/>
        </w:rPr>
        <w:t xml:space="preserve"> </w:t>
      </w:r>
      <w:r>
        <w:rPr>
          <w:i/>
          <w:iCs/>
        </w:rPr>
        <w:t xml:space="preserve">Johnson</w:t>
      </w:r>
      <w:r>
        <w:t xml:space="preserve">,</w:t>
      </w:r>
      <w:r>
        <w:t xml:space="preserve"> </w:t>
      </w:r>
      <w:r>
        <w:t xml:space="preserve">499</w:t>
      </w:r>
      <w:r>
        <w:t xml:space="preserve"> </w:t>
      </w:r>
      <w:r>
        <w:t xml:space="preserve">P.3d</w:t>
      </w:r>
      <w:r>
        <w:t xml:space="preserve"> </w:t>
      </w:r>
      <w:r>
        <w:t xml:space="preserve">719</w:t>
      </w:r>
      <w:r>
        <w:t xml:space="preserve"> </w:t>
      </w:r>
      <w:r>
        <w:t xml:space="preserve">(Okla.</w:t>
      </w:r>
      <w:r>
        <w:t xml:space="preserve"> </w:t>
      </w:r>
      <w:r>
        <w:t xml:space="preserve">2021)</w:t>
      </w:r>
      <w:r>
        <w:t xml:space="preserve">   </w:t>
      </w:r>
      <w:r>
        <w:tab/>
      </w:r>
      <w:r>
        <w:t xml:space="preserve">1</w:t>
      </w:r>
    </w:p>
    <w:p>
      <w:pPr>
        <w:keepLines/>
        <w:tabs>
          <w:tab w:val="right" w:leader="dot" w:pos="9360"/>
        </w:tabs>
        <w:spacing w:before="192" w:after="0" w:line="276" w:lineRule="exact"/>
        <w:ind w:left="720" w:right="1120" w:hanging="720"/>
      </w:pPr>
      <w:r>
        <w:rPr>
          <w:i/>
          <w:iCs/>
        </w:rPr>
        <w:t xml:space="preserve">Johnson</w:t>
      </w:r>
      <w:r>
        <w:rPr>
          <w:i/>
          <w:iCs/>
        </w:rPr>
        <w:t xml:space="preserve"> </w:t>
      </w:r>
      <w:r>
        <w:rPr>
          <w:i/>
          <w:iCs/>
        </w:rPr>
        <w:t xml:space="preserve">&amp;</w:t>
      </w:r>
      <w:r>
        <w:rPr>
          <w:i/>
          <w:iCs/>
        </w:rPr>
        <w:t xml:space="preserve"> </w:t>
      </w:r>
      <w:r>
        <w:rPr>
          <w:i/>
          <w:iCs/>
        </w:rPr>
        <w:t xml:space="preserve">Johnson</w:t>
      </w:r>
      <w:r>
        <w:t xml:space="preserve">,</w:t>
      </w:r>
      <w:r>
        <w:t xml:space="preserve"> </w:t>
      </w:r>
      <w:r>
        <w:t xml:space="preserve">499</w:t>
      </w:r>
      <w:r>
        <w:t xml:space="preserve"> </w:t>
      </w:r>
      <w:r>
        <w:t xml:space="preserve">P.3d</w:t>
      </w:r>
      <w:r>
        <w:t xml:space="preserve"> </w:t>
      </w:r>
      <w:r>
        <w:t xml:space="preserve">at</w:t>
      </w:r>
      <w:r>
        <w:t xml:space="preserve"> </w:t>
      </w:r>
      <w:r>
        <w:t xml:space="preserve">724–24</w:t>
      </w:r>
      <w:r>
        <w:t xml:space="preserve">   </w:t>
      </w:r>
      <w:r>
        <w:tab/>
      </w:r>
      <w:r>
        <w:t xml:space="preserve">--</w:t>
      </w:r>
    </w:p>
    <w:p>
      <w:pPr>
        <w:keepLines/>
        <w:tabs>
          <w:tab w:val="right" w:leader="dot" w:pos="9360"/>
        </w:tabs>
        <w:spacing w:before="192"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Lead</w:t>
      </w:r>
      <w:r>
        <w:rPr>
          <w:i/>
          <w:iCs/>
        </w:rPr>
        <w:t xml:space="preserve"> </w:t>
      </w:r>
      <w:r>
        <w:rPr>
          <w:i/>
          <w:iCs/>
        </w:rPr>
        <w:t xml:space="preserve">Paint</w:t>
      </w:r>
      <w:r>
        <w:rPr>
          <w:i/>
          <w:iCs/>
        </w:rPr>
        <w:t xml:space="preserve"> </w:t>
      </w:r>
      <w:r>
        <w:rPr>
          <w:i/>
          <w:iCs/>
        </w:rPr>
        <w:t xml:space="preserve">Litig.</w:t>
      </w:r>
      <w:r>
        <w:t xml:space="preserve">,</w:t>
      </w:r>
      <w:r>
        <w:t xml:space="preserve"> </w:t>
      </w:r>
      <w:r>
        <w:t xml:space="preserve">924</w:t>
      </w:r>
      <w:r>
        <w:t xml:space="preserve"> </w:t>
      </w:r>
      <w:r>
        <w:t xml:space="preserve">A.2d</w:t>
      </w:r>
      <w:r>
        <w:t xml:space="preserve"> </w:t>
      </w:r>
      <w:r>
        <w:t xml:space="preserve">at</w:t>
      </w:r>
      <w:r>
        <w:t xml:space="preserve"> </w:t>
      </w:r>
      <w:r>
        <w:t xml:space="preserve">499</w:t>
      </w:r>
      <w:r>
        <w:t xml:space="preserve">   </w:t>
      </w:r>
      <w:r>
        <w:tab/>
      </w:r>
      <w:r>
        <w:t xml:space="preserve">21</w:t>
      </w:r>
    </w:p>
    <w:p>
      <w:pPr>
        <w:keepLines/>
        <w:tabs>
          <w:tab w:val="right" w:leader="dot" w:pos="9360"/>
        </w:tabs>
        <w:spacing w:before="192"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Lead</w:t>
      </w:r>
      <w:r>
        <w:rPr>
          <w:i/>
          <w:iCs/>
        </w:rPr>
        <w:t xml:space="preserve"> </w:t>
      </w:r>
      <w:r>
        <w:rPr>
          <w:i/>
          <w:iCs/>
        </w:rPr>
        <w:t xml:space="preserve">Paint</w:t>
      </w:r>
      <w:r>
        <w:rPr>
          <w:i/>
          <w:iCs/>
        </w:rPr>
        <w:t xml:space="preserve"> </w:t>
      </w:r>
      <w:r>
        <w:rPr>
          <w:i/>
          <w:iCs/>
        </w:rPr>
        <w:t xml:space="preserve">Litig.</w:t>
      </w:r>
      <w:r>
        <w:t xml:space="preserve">,</w:t>
      </w:r>
      <w:r>
        <w:t xml:space="preserve"> </w:t>
      </w:r>
      <w:r>
        <w:t xml:space="preserve">924</w:t>
      </w:r>
      <w:r>
        <w:t xml:space="preserve"> </w:t>
      </w:r>
      <w:r>
        <w:t xml:space="preserve">A2d</w:t>
      </w:r>
      <w:r>
        <w:t xml:space="preserve"> </w:t>
      </w:r>
      <w:r>
        <w:t xml:space="preserve">484</w:t>
      </w:r>
      <w:r>
        <w:t xml:space="preserve"> </w:t>
      </w:r>
      <w:r>
        <w:t xml:space="preserve">(N.J.</w:t>
      </w:r>
      <w:r>
        <w:t xml:space="preserve"> </w:t>
      </w:r>
      <w:r>
        <w:t xml:space="preserve">2007)</w:t>
      </w:r>
      <w:r>
        <w:t xml:space="preserve">   </w:t>
      </w:r>
      <w:r>
        <w:tab/>
      </w:r>
      <w:r>
        <w:t xml:space="preserve">3</w:t>
      </w:r>
    </w:p>
    <w:p>
      <w:pPr>
        <w:keepLines/>
        <w:tabs>
          <w:tab w:val="right" w:leader="dot" w:pos="9360"/>
        </w:tabs>
        <w:spacing w:before="192" w:after="0" w:line="276" w:lineRule="exact"/>
        <w:ind w:left="720" w:right="1120" w:hanging="720"/>
      </w:pPr>
      <w:r>
        <w:rPr>
          <w:i/>
          <w:iCs/>
        </w:rPr>
        <w:t xml:space="preserve">Martin</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141</w:t>
      </w:r>
      <w:r>
        <w:t xml:space="preserve"> </w:t>
      </w:r>
      <w:r>
        <w:t xml:space="preserve">W.</w:t>
      </w:r>
      <w:r>
        <w:t xml:space="preserve"> </w:t>
      </w:r>
      <w:r>
        <w:t xml:space="preserve">Va.</w:t>
      </w:r>
      <w:r>
        <w:t xml:space="preserve"> </w:t>
      </w:r>
      <w:r>
        <w:t xml:space="preserve">595,</w:t>
      </w:r>
      <w:r>
        <w:t xml:space="preserve"> </w:t>
      </w:r>
      <w:r>
        <w:t xml:space="preserve">93</w:t>
      </w:r>
      <w:r>
        <w:t xml:space="preserve"> </w:t>
      </w:r>
      <w:r>
        <w:t xml:space="preserve">S.E.2d</w:t>
      </w:r>
      <w:r>
        <w:t xml:space="preserve"> </w:t>
      </w:r>
      <w:r>
        <w:t xml:space="preserve">835</w:t>
      </w:r>
      <w:r>
        <w:t xml:space="preserve"> </w:t>
      </w:r>
      <w:r>
        <w:t xml:space="preserve">(1956)</w:t>
      </w:r>
      <w:r>
        <w:t xml:space="preserve">   </w:t>
      </w:r>
      <w:r>
        <w:tab/>
      </w:r>
      <w:r>
        <w:t xml:space="preserve">5, 15</w:t>
      </w:r>
    </w:p>
    <w:p>
      <w:pPr>
        <w:keepLines/>
        <w:tabs>
          <w:tab w:val="right" w:leader="dot" w:pos="9360"/>
        </w:tabs>
        <w:spacing w:before="192" w:after="0" w:line="276" w:lineRule="exact"/>
        <w:ind w:left="720" w:right="1120" w:hanging="720"/>
      </w:pPr>
      <w:r>
        <w:rPr>
          <w:i/>
          <w:iCs/>
        </w:rPr>
        <w:t xml:space="preserve">McGregor</w:t>
      </w:r>
      <w:r>
        <w:rPr>
          <w:i/>
          <w:iCs/>
        </w:rPr>
        <w:t xml:space="preserve"> </w:t>
      </w:r>
      <w:r>
        <w:rPr>
          <w:i/>
          <w:iCs/>
        </w:rPr>
        <w:t xml:space="preserve">v.</w:t>
      </w:r>
      <w:r>
        <w:rPr>
          <w:i/>
          <w:iCs/>
        </w:rPr>
        <w:t xml:space="preserve"> </w:t>
      </w:r>
      <w:r>
        <w:rPr>
          <w:i/>
          <w:iCs/>
        </w:rPr>
        <w:t xml:space="preserve">Camden</w:t>
      </w:r>
      <w:r>
        <w:t xml:space="preserve">,</w:t>
      </w:r>
      <w:r>
        <w:t xml:space="preserve"> </w:t>
      </w:r>
      <w:r>
        <w:t xml:space="preserve">47</w:t>
      </w:r>
      <w:r>
        <w:t xml:space="preserve"> </w:t>
      </w:r>
      <w:r>
        <w:t xml:space="preserve">W.</w:t>
      </w:r>
      <w:r>
        <w:t xml:space="preserve"> </w:t>
      </w:r>
      <w:r>
        <w:t xml:space="preserve">Va.</w:t>
      </w:r>
      <w:r>
        <w:t xml:space="preserve"> </w:t>
      </w:r>
      <w:r>
        <w:t xml:space="preserve">193,</w:t>
      </w:r>
      <w:r>
        <w:t xml:space="preserve"> </w:t>
      </w:r>
      <w:r>
        <w:t xml:space="preserve">34</w:t>
      </w:r>
      <w:r>
        <w:t xml:space="preserve"> </w:t>
      </w:r>
      <w:r>
        <w:t xml:space="preserve">S.E.</w:t>
      </w:r>
      <w:r>
        <w:t xml:space="preserve"> </w:t>
      </w:r>
      <w:r>
        <w:t xml:space="preserve">936</w:t>
      </w:r>
      <w:r>
        <w:t xml:space="preserve"> </w:t>
      </w:r>
      <w:r>
        <w:t xml:space="preserve">(1899)</w:t>
      </w:r>
      <w:r>
        <w:t xml:space="preserve">   </w:t>
      </w:r>
      <w:r>
        <w:tab/>
      </w:r>
      <w:r>
        <w:t xml:space="preserve">14</w:t>
      </w:r>
    </w:p>
    <w:p>
      <w:pPr>
        <w:keepLines/>
        <w:tabs>
          <w:tab w:val="right" w:leader="dot" w:pos="9360"/>
        </w:tabs>
        <w:spacing w:before="192" w:after="0" w:line="276" w:lineRule="exact"/>
        <w:ind w:left="720" w:right="1440" w:hanging="720"/>
      </w:pPr>
      <w:r>
        <w:rPr>
          <w:i/>
          <w:iCs/>
        </w:rPr>
        <w:t xml:space="preserve">McNair</w:t>
      </w:r>
      <w:r>
        <w:rPr>
          <w:i/>
          <w:iCs/>
        </w:rPr>
        <w:t xml:space="preserve"> </w:t>
      </w:r>
      <w:r>
        <w:rPr>
          <w:i/>
          <w:iCs/>
        </w:rPr>
        <w:t xml:space="preserve">v.</w:t>
      </w:r>
      <w:r>
        <w:rPr>
          <w:i/>
          <w:iCs/>
        </w:rPr>
        <w:t xml:space="preserve"> </w:t>
      </w:r>
      <w:r>
        <w:rPr>
          <w:i/>
          <w:iCs/>
        </w:rPr>
        <w:t xml:space="preserve">Johnson</w:t>
      </w:r>
      <w:r>
        <w:rPr>
          <w:i/>
          <w:iCs/>
        </w:rPr>
        <w:t xml:space="preserve"> </w:t>
      </w:r>
      <w:r>
        <w:rPr>
          <w:i/>
          <w:iCs/>
        </w:rPr>
        <w:t xml:space="preserve">&amp;</w:t>
      </w:r>
      <w:r>
        <w:rPr>
          <w:i/>
          <w:iCs/>
        </w:rPr>
        <w:t xml:space="preserve"> </w:t>
      </w:r>
      <w:r>
        <w:rPr>
          <w:i/>
          <w:iCs/>
        </w:rPr>
        <w:t xml:space="preserve">Johnson</w:t>
      </w:r>
      <w:r>
        <w:t xml:space="preserve">,</w:t>
      </w:r>
      <w:r>
        <w:t xml:space="preserve"> </w:t>
      </w:r>
      <w:r>
        <w:t xml:space="preserve">241</w:t>
      </w:r>
      <w:r>
        <w:t xml:space="preserve"> </w:t>
      </w:r>
      <w:r>
        <w:t xml:space="preserve">W.</w:t>
      </w:r>
      <w:r>
        <w:t xml:space="preserve"> </w:t>
      </w:r>
      <w:r>
        <w:t xml:space="preserve">Va.</w:t>
      </w:r>
      <w:r>
        <w:t xml:space="preserve"> </w:t>
      </w:r>
      <w:r>
        <w:t xml:space="preserve">26,</w:t>
      </w:r>
      <w:r>
        <w:t xml:space="preserve"> </w:t>
      </w:r>
      <w:r>
        <w:t xml:space="preserve">818</w:t>
      </w:r>
      <w:r>
        <w:t xml:space="preserve"> </w:t>
      </w:r>
      <w:r>
        <w:t xml:space="preserve">S.E.2d</w:t>
      </w:r>
      <w:r>
        <w:t xml:space="preserve"> </w:t>
      </w:r>
      <w:r>
        <w:t xml:space="preserve">852</w:t>
      </w:r>
      <w:r>
        <w:t xml:space="preserve"> </w:t>
      </w:r>
      <w:r>
        <w:t xml:space="preserve">(2018)</w:t>
      </w:r>
      <w:r>
        <w:t xml:space="preserve">   </w:t>
      </w:r>
      <w:r>
        <w:tab/>
      </w:r>
      <w:r>
        <w:t xml:space="preserve">8, 9, 11, 12, 13</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Morrisey</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Off.</w:t>
      </w:r>
      <w:r>
        <w:rPr>
          <w:i/>
          <w:iCs/>
        </w:rPr>
        <w:t xml:space="preserve"> </w:t>
      </w:r>
      <w:r>
        <w:rPr>
          <w:i/>
          <w:iCs/>
        </w:rPr>
        <w:t xml:space="preserve">of</w:t>
      </w:r>
      <w:r>
        <w:rPr>
          <w:i/>
          <w:iCs/>
        </w:rPr>
        <w:t xml:space="preserve"> </w:t>
      </w:r>
      <w:r>
        <w:rPr>
          <w:i/>
          <w:iCs/>
        </w:rPr>
        <w:t xml:space="preserve">Disciplinary</w:t>
      </w:r>
      <w:r>
        <w:rPr>
          <w:i/>
          <w:iCs/>
        </w:rPr>
        <w:t xml:space="preserve"> </w:t>
      </w:r>
      <w:r>
        <w:rPr>
          <w:i/>
          <w:iCs/>
        </w:rPr>
        <w:t xml:space="preserve">Couns.</w:t>
      </w:r>
      <w:r>
        <w:t xml:space="preserve">,</w:t>
      </w:r>
      <w:r>
        <w:t xml:space="preserve"> </w:t>
      </w:r>
      <w:r>
        <w:t xml:space="preserve">234</w:t>
      </w:r>
      <w:r>
        <w:t xml:space="preserve"> </w:t>
      </w:r>
      <w:r>
        <w:t xml:space="preserve">W.</w:t>
      </w:r>
      <w:r>
        <w:t xml:space="preserve"> </w:t>
      </w:r>
      <w:r>
        <w:t xml:space="preserve">Va.</w:t>
      </w:r>
      <w:r>
        <w:t xml:space="preserve"> </w:t>
      </w:r>
      <w:r>
        <w:t xml:space="preserve">238,</w:t>
      </w:r>
      <w:r>
        <w:t xml:space="preserve"> </w:t>
      </w:r>
      <w:r>
        <w:t xml:space="preserve">764</w:t>
      </w:r>
      <w:r>
        <w:t xml:space="preserve"> </w:t>
      </w:r>
      <w:r>
        <w:t xml:space="preserve">S.E.2d</w:t>
      </w:r>
      <w:r>
        <w:t xml:space="preserve"> </w:t>
      </w:r>
      <w:r>
        <w:t xml:space="preserve">769</w:t>
      </w:r>
      <w:r>
        <w:t xml:space="preserve"> </w:t>
      </w:r>
      <w:r>
        <w:t xml:space="preserve">(2014)</w:t>
      </w:r>
      <w:r>
        <w:t xml:space="preserve">   </w:t>
      </w:r>
      <w:r>
        <w:tab/>
      </w:r>
      <w:r>
        <w:t xml:space="preserve">6</w:t>
      </w:r>
    </w:p>
    <w:p>
      <w:pPr>
        <w:keepLines/>
        <w:tabs>
          <w:tab w:val="right" w:leader="dot" w:pos="9360"/>
        </w:tabs>
        <w:spacing w:before="192" w:after="0" w:line="276" w:lineRule="exact"/>
        <w:ind w:left="720" w:right="1120" w:hanging="720"/>
      </w:pPr>
      <w:r>
        <w:rPr>
          <w:i/>
          <w:iCs/>
        </w:rPr>
        <w:t xml:space="preserve">Nat’l</w:t>
      </w:r>
      <w:r>
        <w:rPr>
          <w:i/>
          <w:iCs/>
        </w:rPr>
        <w:t xml:space="preserve"> </w:t>
      </w:r>
      <w:r>
        <w:rPr>
          <w:i/>
          <w:iCs/>
        </w:rPr>
        <w:t xml:space="preserve">Prescription</w:t>
      </w:r>
      <w:r>
        <w:rPr>
          <w:i/>
          <w:iCs/>
        </w:rPr>
        <w:t xml:space="preserve"> </w:t>
      </w:r>
      <w:r>
        <w:rPr>
          <w:i/>
          <w:iCs/>
        </w:rPr>
        <w:t xml:space="preserve">Opiate</w:t>
      </w:r>
      <w:r>
        <w:rPr>
          <w:i/>
          <w:iCs/>
        </w:rPr>
        <w:t xml:space="preserve"> </w:t>
      </w:r>
      <w:r>
        <w:rPr>
          <w:i/>
          <w:iCs/>
        </w:rPr>
        <w:t xml:space="preserve">Litig.</w:t>
      </w:r>
      <w:r>
        <w:rPr>
          <w:i/>
          <w:iCs/>
        </w:rPr>
        <w:t xml:space="preserve"> </w:t>
      </w:r>
      <w:r>
        <w:rPr>
          <w:i/>
          <w:iCs/>
        </w:rPr>
        <w:t xml:space="preserve">v.</w:t>
      </w:r>
      <w:r>
        <w:rPr>
          <w:i/>
          <w:iCs/>
        </w:rPr>
        <w:t xml:space="preserve"> </w:t>
      </w:r>
      <w:r>
        <w:rPr>
          <w:i/>
          <w:iCs/>
        </w:rPr>
        <w:t xml:space="preserve">Purdue</w:t>
      </w:r>
      <w:r>
        <w:rPr>
          <w:i/>
          <w:iCs/>
        </w:rPr>
        <w:t xml:space="preserve"> </w:t>
      </w:r>
      <w:r>
        <w:rPr>
          <w:i/>
          <w:iCs/>
        </w:rPr>
        <w:t xml:space="preserve">Pharma,</w:t>
      </w:r>
      <w:r>
        <w:rPr>
          <w:i/>
          <w:iCs/>
        </w:rPr>
        <w:t xml:space="preserve"> </w:t>
      </w:r>
      <w:r>
        <w:rPr>
          <w:i/>
          <w:iCs/>
        </w:rPr>
        <w:t xml:space="preserve">L.P.</w:t>
      </w:r>
      <w:r>
        <w:t xml:space="preserve">,</w:t>
      </w:r>
      <w:r>
        <w:t xml:space="preserve"> </w:t>
      </w:r>
      <w:r>
        <w:t xml:space="preserve">222</w:t>
      </w:r>
      <w:r>
        <w:t xml:space="preserve"> </w:t>
      </w:r>
      <w:r>
        <w:t xml:space="preserve">N.E.3d</w:t>
      </w:r>
      <w:r>
        <w:t xml:space="preserve"> </w:t>
      </w:r>
      <w:r>
        <w:t xml:space="preserve">661</w:t>
      </w:r>
      <w:r>
        <w:t xml:space="preserve"> </w:t>
      </w:r>
      <w:r>
        <w:t xml:space="preserve">(Ohio</w:t>
      </w:r>
      <w:r>
        <w:t xml:space="preserve"> </w:t>
      </w:r>
      <w:r>
        <w:t xml:space="preserve">2023)</w:t>
      </w:r>
      <w:r>
        <w:t xml:space="preserve">   </w:t>
      </w:r>
      <w:r>
        <w:tab/>
      </w:r>
      <w:r>
        <w:t xml:space="preserve">5</w:t>
      </w:r>
    </w:p>
    <w:p>
      <w:pPr>
        <w:keepLines/>
        <w:tabs>
          <w:tab w:val="right" w:leader="dot" w:pos="9360"/>
        </w:tabs>
        <w:spacing w:before="192" w:after="0" w:line="276" w:lineRule="exact"/>
        <w:ind w:left="720" w:right="1120" w:hanging="720"/>
      </w:pPr>
      <w:r>
        <w:rPr>
          <w:i/>
          <w:iCs/>
        </w:rPr>
        <w:t xml:space="preserve">Phillips</w:t>
      </w:r>
      <w:r>
        <w:rPr>
          <w:i/>
          <w:iCs/>
        </w:rPr>
        <w:t xml:space="preserve"> </w:t>
      </w:r>
      <w:r>
        <w:rPr>
          <w:i/>
          <w:iCs/>
        </w:rPr>
        <w:t xml:space="preserve">v.</w:t>
      </w:r>
      <w:r>
        <w:rPr>
          <w:i/>
          <w:iCs/>
        </w:rPr>
        <w:t xml:space="preserve"> </w:t>
      </w:r>
      <w:r>
        <w:rPr>
          <w:i/>
          <w:iCs/>
        </w:rPr>
        <w:t xml:space="preserve">Ritchie</w:t>
      </w:r>
      <w:r>
        <w:rPr>
          <w:i/>
          <w:iCs/>
        </w:rPr>
        <w:t xml:space="preserve"> </w:t>
      </w:r>
      <w:r>
        <w:rPr>
          <w:i/>
          <w:iCs/>
        </w:rPr>
        <w:t xml:space="preserve">Cnty.</w:t>
      </w:r>
      <w:r>
        <w:t xml:space="preserve">,</w:t>
      </w:r>
      <w:r>
        <w:t xml:space="preserve"> </w:t>
      </w:r>
      <w:r>
        <w:t xml:space="preserve">31</w:t>
      </w:r>
      <w:r>
        <w:t xml:space="preserve"> </w:t>
      </w:r>
      <w:r>
        <w:t xml:space="preserve">W.</w:t>
      </w:r>
      <w:r>
        <w:t xml:space="preserve"> </w:t>
      </w:r>
      <w:r>
        <w:t xml:space="preserve">Va.</w:t>
      </w:r>
      <w:r>
        <w:t xml:space="preserve"> </w:t>
      </w:r>
      <w:r>
        <w:t xml:space="preserve">477,</w:t>
      </w:r>
      <w:r>
        <w:t xml:space="preserve"> </w:t>
      </w:r>
      <w:r>
        <w:t xml:space="preserve">7</w:t>
      </w:r>
      <w:r>
        <w:t xml:space="preserve"> </w:t>
      </w:r>
      <w:r>
        <w:t xml:space="preserve">S.E.</w:t>
      </w:r>
      <w:r>
        <w:t xml:space="preserve"> </w:t>
      </w:r>
      <w:r>
        <w:t xml:space="preserve">427</w:t>
      </w:r>
      <w:r>
        <w:t xml:space="preserve"> </w:t>
      </w:r>
      <w:r>
        <w:t xml:space="preserve">(1888)</w:t>
      </w:r>
      <w:r>
        <w:t xml:space="preserve">   </w:t>
      </w:r>
      <w:r>
        <w:tab/>
      </w:r>
      <w:r>
        <w:t xml:space="preserve">21</w:t>
      </w:r>
    </w:p>
    <w:p>
      <w:pPr>
        <w:keepLines/>
        <w:tabs>
          <w:tab w:val="right" w:leader="dot" w:pos="9360"/>
        </w:tabs>
        <w:spacing w:before="192" w:after="0" w:line="276" w:lineRule="exact"/>
        <w:ind w:left="720" w:right="1120" w:hanging="720"/>
      </w:pPr>
      <w:r>
        <w:rPr>
          <w:i/>
          <w:iCs/>
        </w:rPr>
        <w:t xml:space="preserve">Rogers</w:t>
      </w:r>
      <w:r>
        <w:rPr>
          <w:i/>
          <w:iCs/>
        </w:rPr>
        <w:t xml:space="preserve"> </w:t>
      </w:r>
      <w:r>
        <w:rPr>
          <w:i/>
          <w:iCs/>
        </w:rPr>
        <w:t xml:space="preserve">v.</w:t>
      </w:r>
      <w:r>
        <w:rPr>
          <w:i/>
          <w:iCs/>
        </w:rPr>
        <w:t xml:space="preserve"> </w:t>
      </w:r>
      <w:r>
        <w:rPr>
          <w:i/>
          <w:iCs/>
        </w:rPr>
        <w:t xml:space="preserve">Tennessee</w:t>
      </w:r>
      <w:r>
        <w:t xml:space="preserve">,</w:t>
      </w:r>
      <w:r>
        <w:t xml:space="preserve"> </w:t>
      </w:r>
      <w:r>
        <w:t xml:space="preserve">532</w:t>
      </w:r>
      <w:r>
        <w:t xml:space="preserve"> </w:t>
      </w:r>
      <w:r>
        <w:t xml:space="preserve">U.S.</w:t>
      </w:r>
      <w:r>
        <w:t xml:space="preserve"> </w:t>
      </w:r>
      <w:r>
        <w:t xml:space="preserve">451</w:t>
      </w:r>
      <w:r>
        <w:t xml:space="preserve"> </w:t>
      </w:r>
      <w:r>
        <w:t xml:space="preserve">(2001)</w:t>
      </w:r>
      <w:r>
        <w:t xml:space="preserve">   </w:t>
      </w:r>
      <w:r>
        <w:tab/>
      </w:r>
      <w:r>
        <w:t xml:space="preserve">16</w:t>
      </w:r>
    </w:p>
    <w:p>
      <w:pPr>
        <w:keepLines/>
        <w:tabs>
          <w:tab w:val="right" w:leader="dot" w:pos="9360"/>
        </w:tabs>
        <w:spacing w:before="192" w:after="0" w:line="276" w:lineRule="exact"/>
        <w:ind w:left="720" w:right="1120" w:hanging="720"/>
      </w:pPr>
      <w:r>
        <w:rPr>
          <w:i/>
          <w:iCs/>
        </w:rPr>
        <w:t xml:space="preserve">Rubin</w:t>
      </w:r>
      <w:r>
        <w:rPr>
          <w:i/>
          <w:iCs/>
        </w:rPr>
        <w:t xml:space="preserve"> </w:t>
      </w:r>
      <w:r>
        <w:rPr>
          <w:i/>
          <w:iCs/>
        </w:rPr>
        <w:t xml:space="preserve">Res.,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Morris</w:t>
      </w:r>
      <w:r>
        <w:t xml:space="preserve">,</w:t>
      </w:r>
      <w:r>
        <w:t xml:space="preserve"> </w:t>
      </w:r>
      <w:r>
        <w:t xml:space="preserve">237</w:t>
      </w:r>
      <w:r>
        <w:t xml:space="preserve"> </w:t>
      </w:r>
      <w:r>
        <w:t xml:space="preserve">W.</w:t>
      </w:r>
      <w:r>
        <w:t xml:space="preserve"> </w:t>
      </w:r>
      <w:r>
        <w:t xml:space="preserve">Va.</w:t>
      </w:r>
      <w:r>
        <w:t xml:space="preserve"> </w:t>
      </w:r>
      <w:r>
        <w:t xml:space="preserve">370,</w:t>
      </w:r>
      <w:r>
        <w:t xml:space="preserve"> </w:t>
      </w:r>
      <w:r>
        <w:t xml:space="preserve">787</w:t>
      </w:r>
      <w:r>
        <w:t xml:space="preserve"> </w:t>
      </w:r>
      <w:r>
        <w:t xml:space="preserve">S.E.2d</w:t>
      </w:r>
      <w:r>
        <w:t xml:space="preserve"> </w:t>
      </w:r>
      <w:r>
        <w:t xml:space="preserve">641</w:t>
      </w:r>
      <w:r>
        <w:t xml:space="preserve"> </w:t>
      </w:r>
      <w:r>
        <w:t xml:space="preserve">(2016)</w:t>
      </w:r>
      <w:r>
        <w:t xml:space="preserve">   </w:t>
      </w:r>
      <w:r>
        <w:tab/>
      </w:r>
      <w:r>
        <w:t xml:space="preserve">21</w:t>
      </w:r>
    </w:p>
    <w:p>
      <w:pPr>
        <w:keepLines/>
        <w:tabs>
          <w:tab w:val="right" w:leader="dot" w:pos="9360"/>
        </w:tabs>
        <w:spacing w:before="192" w:after="0" w:line="276" w:lineRule="exact"/>
        <w:ind w:left="720" w:right="1120" w:hanging="720"/>
      </w:pPr>
      <w:r>
        <w:rPr>
          <w:i/>
          <w:iCs/>
        </w:rPr>
        <w:t xml:space="preserve">Rylands</w:t>
      </w:r>
      <w:r>
        <w:rPr>
          <w:i/>
          <w:iCs/>
        </w:rPr>
        <w:t xml:space="preserve"> </w:t>
      </w:r>
      <w:r>
        <w:rPr>
          <w:i/>
          <w:iCs/>
        </w:rPr>
        <w:t xml:space="preserve">v.</w:t>
      </w:r>
      <w:r>
        <w:rPr>
          <w:i/>
          <w:iCs/>
        </w:rPr>
        <w:t xml:space="preserve"> </w:t>
      </w:r>
      <w:r>
        <w:rPr>
          <w:i/>
          <w:iCs/>
        </w:rPr>
        <w:t xml:space="preserve">Fletcher</w:t>
      </w:r>
      <w:r>
        <w:t xml:space="preserve">,</w:t>
      </w:r>
      <w:r>
        <w:t xml:space="preserve"> </w:t>
      </w:r>
      <w:r>
        <w:t xml:space="preserve">L.R.</w:t>
      </w:r>
      <w:r>
        <w:t xml:space="preserve"> </w:t>
      </w:r>
      <w:r>
        <w:t xml:space="preserve">3</w:t>
      </w:r>
      <w:r>
        <w:t xml:space="preserve"> </w:t>
      </w:r>
      <w:r>
        <w:t xml:space="preserve">H.L.</w:t>
      </w:r>
      <w:r>
        <w:t xml:space="preserve"> </w:t>
      </w:r>
      <w:r>
        <w:t xml:space="preserve">330</w:t>
      </w:r>
      <w:r>
        <w:t xml:space="preserve"> </w:t>
      </w:r>
      <w:r>
        <w:t xml:space="preserve">(1868)</w:t>
      </w:r>
      <w:r>
        <w:t xml:space="preserve">   </w:t>
      </w:r>
      <w:r>
        <w:tab/>
      </w:r>
      <w:r>
        <w:t xml:space="preserve">11</w:t>
      </w:r>
    </w:p>
    <w:p>
      <w:pPr>
        <w:keepLines/>
        <w:tabs>
          <w:tab w:val="right" w:leader="dot" w:pos="9360"/>
        </w:tabs>
        <w:spacing w:before="192" w:after="0" w:line="276" w:lineRule="exact"/>
        <w:ind w:left="720" w:right="1120" w:hanging="720"/>
      </w:pPr>
      <w:r>
        <w:rPr>
          <w:i/>
          <w:iCs/>
        </w:rPr>
        <w:t xml:space="preserve">Sessions</w:t>
      </w:r>
      <w:r>
        <w:rPr>
          <w:i/>
          <w:iCs/>
        </w:rPr>
        <w:t xml:space="preserve"> </w:t>
      </w:r>
      <w:r>
        <w:rPr>
          <w:i/>
          <w:iCs/>
        </w:rPr>
        <w:t xml:space="preserve">v.</w:t>
      </w:r>
      <w:r>
        <w:rPr>
          <w:i/>
          <w:iCs/>
        </w:rPr>
        <w:t xml:space="preserve"> </w:t>
      </w:r>
      <w:r>
        <w:rPr>
          <w:i/>
          <w:iCs/>
        </w:rPr>
        <w:t xml:space="preserve">Dimaya</w:t>
      </w:r>
      <w:r>
        <w:t xml:space="preserve">,</w:t>
      </w:r>
      <w:r>
        <w:t xml:space="preserve"> </w:t>
      </w:r>
      <w:r>
        <w:t xml:space="preserve">584</w:t>
      </w:r>
      <w:r>
        <w:t xml:space="preserve"> </w:t>
      </w:r>
      <w:r>
        <w:t xml:space="preserve">U.S.</w:t>
      </w:r>
      <w:r>
        <w:t xml:space="preserve"> </w:t>
      </w:r>
      <w:r>
        <w:t xml:space="preserve">148</w:t>
      </w:r>
      <w:r>
        <w:t xml:space="preserve"> </w:t>
      </w:r>
      <w:r>
        <w:t xml:space="preserve">(2018)</w:t>
      </w:r>
      <w:r>
        <w:t xml:space="preserve"> </w:t>
      </w:r>
      <w:r>
        <w:t xml:space="preserve">(Gorsuch,</w:t>
      </w:r>
      <w:r>
        <w:t xml:space="preserve"> </w:t>
      </w:r>
      <w:r>
        <w:t xml:space="preserve">J.,</w:t>
      </w:r>
      <w:r>
        <w:t xml:space="preserve"> </w:t>
      </w:r>
      <w:r>
        <w:t xml:space="preserve">concurring)</w:t>
      </w:r>
      <w:r>
        <w:t xml:space="preserve">   </w:t>
      </w:r>
      <w:r>
        <w:tab/>
      </w:r>
      <w:r>
        <w:t xml:space="preserve">15</w:t>
      </w:r>
    </w:p>
    <w:p>
      <w:pPr>
        <w:keepLines/>
        <w:tabs>
          <w:tab w:val="right" w:leader="dot" w:pos="9360"/>
        </w:tabs>
        <w:spacing w:before="192" w:after="0" w:line="276" w:lineRule="exact"/>
        <w:ind w:left="720" w:right="1120" w:hanging="720"/>
      </w:pPr>
      <w:r>
        <w:rPr>
          <w:i/>
          <w:iCs/>
        </w:rPr>
        <w:t xml:space="preserve">Sharon</w:t>
      </w:r>
      <w:r>
        <w:rPr>
          <w:i/>
          <w:iCs/>
        </w:rPr>
        <w:t xml:space="preserve"> </w:t>
      </w:r>
      <w:r>
        <w:rPr>
          <w:i/>
          <w:iCs/>
        </w:rPr>
        <w:t xml:space="preserve">Steel</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Fairmont</w:t>
      </w:r>
      <w:r>
        <w:t xml:space="preserve">,</w:t>
      </w:r>
      <w:r>
        <w:t xml:space="preserve"> </w:t>
      </w:r>
      <w:r>
        <w:t xml:space="preserve">175</w:t>
      </w:r>
      <w:r>
        <w:t xml:space="preserve"> </w:t>
      </w:r>
      <w:r>
        <w:t xml:space="preserve">W.</w:t>
      </w:r>
      <w:r>
        <w:t xml:space="preserve"> </w:t>
      </w:r>
      <w:r>
        <w:t xml:space="preserve">Va.</w:t>
      </w:r>
      <w:r>
        <w:t xml:space="preserve"> </w:t>
      </w:r>
      <w:r>
        <w:t xml:space="preserve">479,</w:t>
      </w:r>
      <w:r>
        <w:t xml:space="preserve"> </w:t>
      </w:r>
      <w:r>
        <w:t xml:space="preserve">334</w:t>
      </w:r>
      <w:r>
        <w:t xml:space="preserve"> </w:t>
      </w:r>
      <w:r>
        <w:t xml:space="preserve">S.E.2d</w:t>
      </w:r>
      <w:r>
        <w:t xml:space="preserve"> </w:t>
      </w:r>
      <w:r>
        <w:t xml:space="preserve">616</w:t>
      </w:r>
      <w:r>
        <w:t xml:space="preserve"> </w:t>
      </w:r>
      <w:r>
        <w:t xml:space="preserve">(1985)</w:t>
      </w:r>
      <w:r>
        <w:t xml:space="preserve">   </w:t>
      </w:r>
      <w:r>
        <w:tab/>
      </w:r>
      <w:r>
        <w:t xml:space="preserve">5, 6</w:t>
      </w:r>
    </w:p>
    <w:p>
      <w:pPr>
        <w:keepLines/>
        <w:tabs>
          <w:tab w:val="right" w:leader="dot" w:pos="9360"/>
        </w:tabs>
        <w:spacing w:before="192" w:after="0" w:line="276" w:lineRule="exact"/>
        <w:ind w:left="720" w:right="1120" w:hanging="720"/>
      </w:pPr>
      <w:r>
        <w:rPr>
          <w:i/>
          <w:iCs/>
        </w:rPr>
        <w:t xml:space="preserve">St.</w:t>
      </w:r>
      <w:r>
        <w:rPr>
          <w:i/>
          <w:iCs/>
        </w:rPr>
        <w:t xml:space="preserve"> </w:t>
      </w:r>
      <w:r>
        <w:rPr>
          <w:i/>
          <w:iCs/>
        </w:rPr>
        <w:t xml:space="preserve">Paul</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Marine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AmerisourceBergen</w:t>
      </w:r>
      <w:r>
        <w:rPr>
          <w:i/>
          <w:iCs/>
        </w:rPr>
        <w:t xml:space="preserve"> </w:t>
      </w:r>
      <w:r>
        <w:rPr>
          <w:i/>
          <w:iCs/>
        </w:rPr>
        <w:t xml:space="preserve">Drug</w:t>
      </w:r>
      <w:r>
        <w:rPr>
          <w:i/>
          <w:iCs/>
        </w:rPr>
        <w:t xml:space="preserve"> </w:t>
      </w:r>
      <w:r>
        <w:rPr>
          <w:i/>
          <w:iCs/>
        </w:rPr>
        <w:t xml:space="preserve">Corp.</w:t>
      </w:r>
      <w:r>
        <w:t xml:space="preserve">,</w:t>
      </w:r>
      <w:r>
        <w:t xml:space="preserve"> </w:t>
      </w:r>
      <w:r>
        <w:t xml:space="preserve">246</w:t>
      </w:r>
      <w:r>
        <w:t xml:space="preserve"> </w:t>
      </w:r>
      <w:r>
        <w:t xml:space="preserve">W.</w:t>
      </w:r>
      <w:r>
        <w:t xml:space="preserve"> </w:t>
      </w:r>
      <w:r>
        <w:t xml:space="preserve">Va.</w:t>
      </w:r>
      <w:r>
        <w:t xml:space="preserve"> </w:t>
      </w:r>
      <w:r>
        <w:t xml:space="preserve">245,</w:t>
      </w:r>
      <w:r>
        <w:t xml:space="preserve"> </w:t>
      </w:r>
      <w:r>
        <w:t xml:space="preserve">868</w:t>
      </w:r>
      <w:r>
        <w:t xml:space="preserve"> </w:t>
      </w:r>
      <w:r>
        <w:t xml:space="preserve">S.E.2d</w:t>
      </w:r>
      <w:r>
        <w:t xml:space="preserve"> </w:t>
      </w:r>
      <w:r>
        <w:t xml:space="preserve">724</w:t>
      </w:r>
      <w:r>
        <w:t xml:space="preserve"> </w:t>
      </w:r>
      <w:r>
        <w:t xml:space="preserve">(2021)</w:t>
      </w:r>
      <w:r>
        <w:t xml:space="preserve">   </w:t>
      </w:r>
      <w:r>
        <w:tab/>
      </w:r>
      <w:r>
        <w:t xml:space="preserve">22</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Smith</w:t>
      </w:r>
      <w:r>
        <w:rPr>
          <w:i/>
          <w:iCs/>
        </w:rPr>
        <w:t xml:space="preserve"> </w:t>
      </w:r>
      <w:r>
        <w:rPr>
          <w:i/>
          <w:iCs/>
        </w:rPr>
        <w:t xml:space="preserve">v.</w:t>
      </w:r>
      <w:r>
        <w:rPr>
          <w:i/>
          <w:iCs/>
        </w:rPr>
        <w:t xml:space="preserve"> </w:t>
      </w:r>
      <w:r>
        <w:rPr>
          <w:i/>
          <w:iCs/>
        </w:rPr>
        <w:t xml:space="preserve">Kermit</w:t>
      </w:r>
      <w:r>
        <w:rPr>
          <w:i/>
          <w:iCs/>
        </w:rPr>
        <w:t xml:space="preserve"> </w:t>
      </w:r>
      <w:r>
        <w:rPr>
          <w:i/>
          <w:iCs/>
        </w:rPr>
        <w:t xml:space="preserve">Lumber</w:t>
      </w:r>
      <w:r>
        <w:rPr>
          <w:i/>
          <w:iCs/>
        </w:rPr>
        <w:t xml:space="preserve"> </w:t>
      </w:r>
      <w:r>
        <w:rPr>
          <w:i/>
          <w:iCs/>
        </w:rPr>
        <w:t xml:space="preserve">&amp;</w:t>
      </w:r>
      <w:r>
        <w:rPr>
          <w:i/>
          <w:iCs/>
        </w:rPr>
        <w:t xml:space="preserve"> </w:t>
      </w:r>
      <w:r>
        <w:rPr>
          <w:i/>
          <w:iCs/>
        </w:rPr>
        <w:t xml:space="preserve">Pressure</w:t>
      </w:r>
      <w:r>
        <w:rPr>
          <w:i/>
          <w:iCs/>
        </w:rPr>
        <w:t xml:space="preserve"> </w:t>
      </w:r>
      <w:r>
        <w:rPr>
          <w:i/>
          <w:iCs/>
        </w:rPr>
        <w:t xml:space="preserve">Treating</w:t>
      </w:r>
      <w:r>
        <w:rPr>
          <w:i/>
          <w:iCs/>
        </w:rPr>
        <w:t xml:space="preserve"> </w:t>
      </w:r>
      <w:r>
        <w:rPr>
          <w:i/>
          <w:iCs/>
        </w:rPr>
        <w:t xml:space="preserve">Co.</w:t>
      </w:r>
      <w:r>
        <w:t xml:space="preserve">,</w:t>
      </w:r>
      <w:r>
        <w:t xml:space="preserve"> </w:t>
      </w:r>
      <w:r>
        <w:t xml:space="preserve">200</w:t>
      </w:r>
      <w:r>
        <w:t xml:space="preserve"> </w:t>
      </w:r>
      <w:r>
        <w:t xml:space="preserve">W.</w:t>
      </w:r>
      <w:r>
        <w:t xml:space="preserve"> </w:t>
      </w:r>
      <w:r>
        <w:t xml:space="preserve">Va.</w:t>
      </w:r>
      <w:r>
        <w:t xml:space="preserve"> </w:t>
      </w:r>
      <w:r>
        <w:t xml:space="preserve">221,</w:t>
      </w:r>
      <w:r>
        <w:t xml:space="preserve"> </w:t>
      </w:r>
      <w:r>
        <w:t xml:space="preserve">488</w:t>
      </w:r>
      <w:r>
        <w:t xml:space="preserve"> </w:t>
      </w:r>
      <w:r>
        <w:t xml:space="preserve">S.E.2d</w:t>
      </w:r>
      <w:r>
        <w:t xml:space="preserve"> </w:t>
      </w:r>
      <w:r>
        <w:t xml:space="preserve">901</w:t>
      </w:r>
      <w:r>
        <w:t xml:space="preserve"> </w:t>
      </w:r>
      <w:r>
        <w:t xml:space="preserve">(1997)</w:t>
      </w:r>
      <w:r>
        <w:t xml:space="preserve">   </w:t>
      </w:r>
      <w:r>
        <w:tab/>
      </w:r>
      <w:r>
        <w:t xml:space="preserve">5, 17</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Baltimore</w:t>
      </w:r>
      <w:r>
        <w:rPr>
          <w:i/>
          <w:iCs/>
        </w:rPr>
        <w:t xml:space="preserve"> </w:t>
      </w:r>
      <w:r>
        <w:rPr>
          <w:i/>
          <w:iCs/>
        </w:rPr>
        <w:t xml:space="preserve">&amp;</w:t>
      </w:r>
      <w:r>
        <w:rPr>
          <w:i/>
          <w:iCs/>
        </w:rPr>
        <w:t xml:space="preserve"> </w:t>
      </w:r>
      <w:r>
        <w:rPr>
          <w:i/>
          <w:iCs/>
        </w:rPr>
        <w:t xml:space="preserve">O.R.</w:t>
      </w:r>
      <w:r>
        <w:rPr>
          <w:i/>
          <w:iCs/>
        </w:rPr>
        <w:t xml:space="preserve"> </w:t>
      </w:r>
      <w:r>
        <w:rPr>
          <w:i/>
          <w:iCs/>
        </w:rPr>
        <w:t xml:space="preserve">Co.</w:t>
      </w:r>
      <w:r>
        <w:t xml:space="preserve">,</w:t>
      </w:r>
      <w:r>
        <w:t xml:space="preserve"> </w:t>
      </w:r>
      <w:r>
        <w:t xml:space="preserve">78</w:t>
      </w:r>
      <w:r>
        <w:t xml:space="preserve"> </w:t>
      </w:r>
      <w:r>
        <w:t xml:space="preserve">W.</w:t>
      </w:r>
      <w:r>
        <w:t xml:space="preserve"> </w:t>
      </w:r>
      <w:r>
        <w:t xml:space="preserve">Va.</w:t>
      </w:r>
      <w:r>
        <w:t xml:space="preserve"> </w:t>
      </w:r>
      <w:r>
        <w:t xml:space="preserve">526,</w:t>
      </w:r>
      <w:r>
        <w:t xml:space="preserve"> </w:t>
      </w:r>
      <w:r>
        <w:t xml:space="preserve">89</w:t>
      </w:r>
      <w:r>
        <w:t xml:space="preserve"> </w:t>
      </w:r>
      <w:r>
        <w:t xml:space="preserve">S.E.</w:t>
      </w:r>
      <w:r>
        <w:t xml:space="preserve"> </w:t>
      </w:r>
      <w:r>
        <w:t xml:space="preserve">288</w:t>
      </w:r>
      <w:r>
        <w:t xml:space="preserve"> </w:t>
      </w:r>
      <w:r>
        <w:t xml:space="preserve">(1916)</w:t>
      </w:r>
      <w:r>
        <w:t xml:space="preserve">   </w:t>
      </w:r>
      <w:r>
        <w:tab/>
      </w:r>
      <w:r>
        <w:t xml:space="preserve">17</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Ehrlick</w:t>
      </w:r>
      <w:r>
        <w:t xml:space="preserve">,</w:t>
      </w:r>
      <w:r>
        <w:t xml:space="preserve"> </w:t>
      </w:r>
      <w:r>
        <w:t xml:space="preserve">65</w:t>
      </w:r>
      <w:r>
        <w:t xml:space="preserve"> </w:t>
      </w:r>
      <w:r>
        <w:t xml:space="preserve">W.</w:t>
      </w:r>
      <w:r>
        <w:t xml:space="preserve"> </w:t>
      </w:r>
      <w:r>
        <w:t xml:space="preserve">Va.</w:t>
      </w:r>
      <w:r>
        <w:t xml:space="preserve"> </w:t>
      </w:r>
      <w:r>
        <w:t xml:space="preserve">700,</w:t>
      </w:r>
      <w:r>
        <w:t xml:space="preserve"> </w:t>
      </w:r>
      <w:r>
        <w:t xml:space="preserve">64</w:t>
      </w:r>
      <w:r>
        <w:t xml:space="preserve"> </w:t>
      </w:r>
      <w:r>
        <w:t xml:space="preserve">S.E.</w:t>
      </w:r>
      <w:r>
        <w:t xml:space="preserve"> </w:t>
      </w:r>
      <w:r>
        <w:t xml:space="preserve">935</w:t>
      </w:r>
      <w:r>
        <w:t xml:space="preserve"> </w:t>
      </w:r>
      <w:r>
        <w:t xml:space="preserve">(1909)</w:t>
      </w:r>
      <w:r>
        <w:t xml:space="preserve">   </w:t>
      </w:r>
      <w:r>
        <w:tab/>
      </w:r>
      <w:r>
        <w:t xml:space="preserve">6, 17</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Hutton</w:t>
      </w:r>
      <w:r>
        <w:t xml:space="preserve">,</w:t>
      </w:r>
      <w:r>
        <w:t xml:space="preserve"> </w:t>
      </w:r>
      <w:r>
        <w:t xml:space="preserve">235</w:t>
      </w:r>
      <w:r>
        <w:t xml:space="preserve"> </w:t>
      </w:r>
      <w:r>
        <w:t xml:space="preserve">W.</w:t>
      </w:r>
      <w:r>
        <w:t xml:space="preserve"> </w:t>
      </w:r>
      <w:r>
        <w:t xml:space="preserve">Va.</w:t>
      </w:r>
      <w:r>
        <w:t xml:space="preserve"> </w:t>
      </w:r>
      <w:r>
        <w:t xml:space="preserve">724,</w:t>
      </w:r>
      <w:r>
        <w:t xml:space="preserve"> </w:t>
      </w:r>
      <w:r>
        <w:t xml:space="preserve">776</w:t>
      </w:r>
      <w:r>
        <w:t xml:space="preserve"> </w:t>
      </w:r>
      <w:r>
        <w:t xml:space="preserve">S.E.2d</w:t>
      </w:r>
      <w:r>
        <w:t xml:space="preserve"> </w:t>
      </w:r>
      <w:r>
        <w:t xml:space="preserve">621</w:t>
      </w:r>
      <w:r>
        <w:t xml:space="preserve"> </w:t>
      </w:r>
      <w:r>
        <w:t xml:space="preserve">(2015)</w:t>
      </w:r>
      <w:r>
        <w:t xml:space="preserve">   </w:t>
      </w:r>
      <w:r>
        <w:tab/>
      </w:r>
      <w:r>
        <w:t xml:space="preserve">11</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James</w:t>
      </w:r>
      <w:r>
        <w:t xml:space="preserve">,</w:t>
      </w:r>
      <w:r>
        <w:t xml:space="preserve"> </w:t>
      </w:r>
      <w:r>
        <w:t xml:space="preserve">227</w:t>
      </w:r>
      <w:r>
        <w:t xml:space="preserve"> </w:t>
      </w:r>
      <w:r>
        <w:t xml:space="preserve">W.</w:t>
      </w:r>
      <w:r>
        <w:t xml:space="preserve"> </w:t>
      </w:r>
      <w:r>
        <w:t xml:space="preserve">Va.</w:t>
      </w:r>
      <w:r>
        <w:t xml:space="preserve"> </w:t>
      </w:r>
      <w:r>
        <w:t xml:space="preserve">407,</w:t>
      </w:r>
      <w:r>
        <w:t xml:space="preserve"> </w:t>
      </w:r>
      <w:r>
        <w:t xml:space="preserve">710</w:t>
      </w:r>
      <w:r>
        <w:t xml:space="preserve"> </w:t>
      </w:r>
      <w:r>
        <w:t xml:space="preserve">S.E.2d</w:t>
      </w:r>
      <w:r>
        <w:t xml:space="preserve"> </w:t>
      </w:r>
      <w:r>
        <w:t xml:space="preserve">98</w:t>
      </w:r>
      <w:r>
        <w:t xml:space="preserve"> </w:t>
      </w:r>
      <w:r>
        <w:t xml:space="preserve">(2011)</w:t>
      </w:r>
      <w:r>
        <w:t xml:space="preserve">   </w:t>
      </w:r>
      <w:r>
        <w:tab/>
      </w:r>
      <w:r>
        <w:t xml:space="preserve">16</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Lead</w:t>
      </w:r>
      <w:r>
        <w:rPr>
          <w:i/>
          <w:iCs/>
        </w:rPr>
        <w:t xml:space="preserve"> </w:t>
      </w:r>
      <w:r>
        <w:rPr>
          <w:i/>
          <w:iCs/>
        </w:rPr>
        <w:t xml:space="preserve">Indus.</w:t>
      </w:r>
      <w:r>
        <w:rPr>
          <w:i/>
          <w:iCs/>
        </w:rPr>
        <w:t xml:space="preserve"> </w:t>
      </w:r>
      <w:r>
        <w:rPr>
          <w:i/>
          <w:iCs/>
        </w:rPr>
        <w:t xml:space="preserve">Ass’n</w:t>
      </w:r>
      <w:r>
        <w:t xml:space="preserve">,</w:t>
      </w:r>
      <w:r>
        <w:t xml:space="preserve"> </w:t>
      </w:r>
      <w:r>
        <w:t xml:space="preserve">951</w:t>
      </w:r>
      <w:r>
        <w:t xml:space="preserve"> </w:t>
      </w:r>
      <w:r>
        <w:t xml:space="preserve">A.2d</w:t>
      </w:r>
      <w:r>
        <w:t xml:space="preserve"> </w:t>
      </w:r>
      <w:r>
        <w:t xml:space="preserve">428</w:t>
      </w:r>
      <w:r>
        <w:t xml:space="preserve"> </w:t>
      </w:r>
      <w:r>
        <w:t xml:space="preserve">(R.I.</w:t>
      </w:r>
      <w:r>
        <w:t xml:space="preserve"> </w:t>
      </w:r>
      <w:r>
        <w:t xml:space="preserve">2008)</w:t>
      </w:r>
      <w:r>
        <w:t xml:space="preserve">   </w:t>
      </w:r>
      <w:r>
        <w:tab/>
      </w:r>
      <w:r>
        <w:t xml:space="preserve">2</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Lead</w:t>
      </w:r>
      <w:r>
        <w:rPr>
          <w:i/>
          <w:iCs/>
        </w:rPr>
        <w:t xml:space="preserve"> </w:t>
      </w:r>
      <w:r>
        <w:rPr>
          <w:i/>
          <w:iCs/>
        </w:rPr>
        <w:t xml:space="preserve">Indus.</w:t>
      </w:r>
      <w:r>
        <w:rPr>
          <w:i/>
          <w:iCs/>
        </w:rPr>
        <w:t xml:space="preserve"> </w:t>
      </w:r>
      <w:r>
        <w:rPr>
          <w:i/>
          <w:iCs/>
        </w:rPr>
        <w:t xml:space="preserve">Ass’n</w:t>
      </w:r>
      <w:r>
        <w:t xml:space="preserve">,</w:t>
      </w:r>
      <w:r>
        <w:t xml:space="preserve"> </w:t>
      </w:r>
      <w:r>
        <w:t xml:space="preserve">951</w:t>
      </w:r>
      <w:r>
        <w:t xml:space="preserve"> </w:t>
      </w:r>
      <w:r>
        <w:t xml:space="preserve">A2d</w:t>
      </w:r>
      <w:r>
        <w:t xml:space="preserve"> </w:t>
      </w:r>
      <w:r>
        <w:t xml:space="preserve">428</w:t>
      </w:r>
      <w:r>
        <w:t xml:space="preserve"> </w:t>
      </w:r>
      <w:r>
        <w:t xml:space="preserve">(R.I.</w:t>
      </w:r>
      <w:r>
        <w:t xml:space="preserve"> </w:t>
      </w:r>
      <w:r>
        <w:t xml:space="preserve">2007)</w:t>
      </w:r>
      <w:r>
        <w:t xml:space="preserve">   </w:t>
      </w:r>
      <w:r>
        <w:tab/>
      </w:r>
      <w:r>
        <w:t xml:space="preserve">2</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Louk</w:t>
      </w:r>
      <w:r>
        <w:t xml:space="preserve">,</w:t>
      </w:r>
      <w:r>
        <w:t xml:space="preserve"> </w:t>
      </w:r>
      <w:r>
        <w:t xml:space="preserve">237</w:t>
      </w:r>
      <w:r>
        <w:t xml:space="preserve"> </w:t>
      </w:r>
      <w:r>
        <w:t xml:space="preserve">W.</w:t>
      </w:r>
      <w:r>
        <w:t xml:space="preserve"> </w:t>
      </w:r>
      <w:r>
        <w:t xml:space="preserve">Va.</w:t>
      </w:r>
      <w:r>
        <w:t xml:space="preserve"> </w:t>
      </w:r>
      <w:r>
        <w:t xml:space="preserve">200,</w:t>
      </w:r>
      <w:r>
        <w:t xml:space="preserve"> </w:t>
      </w:r>
      <w:r>
        <w:t xml:space="preserve">786</w:t>
      </w:r>
      <w:r>
        <w:t xml:space="preserve"> </w:t>
      </w:r>
      <w:r>
        <w:t xml:space="preserve">S.E.2d</w:t>
      </w:r>
      <w:r>
        <w:t xml:space="preserve"> </w:t>
      </w:r>
      <w:r>
        <w:t xml:space="preserve">219</w:t>
      </w:r>
      <w:r>
        <w:t xml:space="preserve"> </w:t>
      </w:r>
      <w:r>
        <w:t xml:space="preserve">(2016)</w:t>
      </w:r>
      <w:r>
        <w:t xml:space="preserve">   </w:t>
      </w:r>
      <w:r>
        <w:tab/>
      </w:r>
      <w:r>
        <w:t xml:space="preserve">11</w:t>
      </w:r>
    </w:p>
    <w:p>
      <w:pPr>
        <w:keepLines/>
        <w:tabs>
          <w:tab w:val="right" w:leader="dot" w:pos="9360"/>
        </w:tabs>
        <w:spacing w:before="192"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Nixon</w:t>
      </w:r>
      <w:r>
        <w:t xml:space="preserve">,</w:t>
      </w:r>
      <w:r>
        <w:t xml:space="preserve"> </w:t>
      </w:r>
      <w:r>
        <w:t xml:space="preserve">178</w:t>
      </w:r>
      <w:r>
        <w:t xml:space="preserve"> </w:t>
      </w:r>
      <w:r>
        <w:t xml:space="preserve">W.</w:t>
      </w:r>
      <w:r>
        <w:t xml:space="preserve"> </w:t>
      </w:r>
      <w:r>
        <w:t xml:space="preserve">Va.</w:t>
      </w:r>
      <w:r>
        <w:t xml:space="preserve"> </w:t>
      </w:r>
      <w:r>
        <w:t xml:space="preserve">338,</w:t>
      </w:r>
      <w:r>
        <w:t xml:space="preserve"> </w:t>
      </w:r>
      <w:r>
        <w:t xml:space="preserve">359</w:t>
      </w:r>
      <w:r>
        <w:t xml:space="preserve"> </w:t>
      </w:r>
      <w:r>
        <w:t xml:space="preserve">S.E.2d</w:t>
      </w:r>
      <w:r>
        <w:t xml:space="preserve"> </w:t>
      </w:r>
      <w:r>
        <w:t xml:space="preserve">566</w:t>
      </w:r>
      <w:r>
        <w:t xml:space="preserve"> </w:t>
      </w:r>
      <w:r>
        <w:t xml:space="preserve">(1987)</w:t>
      </w:r>
      <w:r>
        <w:t xml:space="preserve">   </w:t>
      </w:r>
      <w:r>
        <w:tab/>
      </w:r>
      <w:r>
        <w:t xml:space="preserve">11</w:t>
      </w:r>
    </w:p>
    <w:p>
      <w:pPr>
        <w:keepLines/>
        <w:tabs>
          <w:tab w:val="right" w:leader="dot" w:pos="9360"/>
        </w:tabs>
        <w:spacing w:before="192" w:after="0" w:line="276" w:lineRule="exact"/>
        <w:ind w:left="720" w:right="1120" w:hanging="720"/>
      </w:pPr>
      <w:r>
        <w:rPr>
          <w:i/>
          <w:iCs/>
        </w:rPr>
        <w:t xml:space="preserve">Stevens</w:t>
      </w:r>
      <w:r>
        <w:rPr>
          <w:i/>
          <w:iCs/>
        </w:rPr>
        <w:t xml:space="preserve"> </w:t>
      </w:r>
      <w:r>
        <w:rPr>
          <w:i/>
          <w:iCs/>
        </w:rPr>
        <w:t xml:space="preserve">v.</w:t>
      </w:r>
      <w:r>
        <w:rPr>
          <w:i/>
          <w:iCs/>
        </w:rPr>
        <w:t xml:space="preserve"> </w:t>
      </w:r>
      <w:r>
        <w:rPr>
          <w:i/>
          <w:iCs/>
        </w:rPr>
        <w:t xml:space="preserve">MTR</w:t>
      </w:r>
      <w:r>
        <w:rPr>
          <w:i/>
          <w:iCs/>
        </w:rPr>
        <w:t xml:space="preserve"> </w:t>
      </w:r>
      <w:r>
        <w:rPr>
          <w:i/>
          <w:iCs/>
        </w:rPr>
        <w:t xml:space="preserve">Gaming</w:t>
      </w:r>
      <w:r>
        <w:rPr>
          <w:i/>
          <w:iCs/>
        </w:rPr>
        <w:t xml:space="preserve"> </w:t>
      </w:r>
      <w:r>
        <w:rPr>
          <w:i/>
          <w:iCs/>
        </w:rPr>
        <w:t xml:space="preserve">Grp.,</w:t>
      </w:r>
      <w:r>
        <w:rPr>
          <w:i/>
          <w:iCs/>
        </w:rPr>
        <w:t xml:space="preserve"> </w:t>
      </w:r>
      <w:r>
        <w:rPr>
          <w:i/>
          <w:iCs/>
        </w:rPr>
        <w:t xml:space="preserve">Inc.</w:t>
      </w:r>
      <w:r>
        <w:t xml:space="preserve">,</w:t>
      </w:r>
      <w:r>
        <w:t xml:space="preserve"> </w:t>
      </w:r>
      <w:r>
        <w:t xml:space="preserve">237</w:t>
      </w:r>
      <w:r>
        <w:t xml:space="preserve"> </w:t>
      </w:r>
      <w:r>
        <w:t xml:space="preserve">W.</w:t>
      </w:r>
      <w:r>
        <w:t xml:space="preserve"> </w:t>
      </w:r>
      <w:r>
        <w:t xml:space="preserve">Va.</w:t>
      </w:r>
      <w:r>
        <w:t xml:space="preserve"> </w:t>
      </w:r>
      <w:r>
        <w:t xml:space="preserve">531,</w:t>
      </w:r>
      <w:r>
        <w:t xml:space="preserve"> </w:t>
      </w:r>
      <w:r>
        <w:t xml:space="preserve">788</w:t>
      </w:r>
      <w:r>
        <w:t xml:space="preserve"> </w:t>
      </w:r>
      <w:r>
        <w:t xml:space="preserve">S.E.2d</w:t>
      </w:r>
      <w:r>
        <w:t xml:space="preserve"> </w:t>
      </w:r>
      <w:r>
        <w:t xml:space="preserve">59</w:t>
      </w:r>
      <w:r>
        <w:t xml:space="preserve"> </w:t>
      </w:r>
      <w:r>
        <w:t xml:space="preserve">(2016)</w:t>
      </w:r>
      <w:r>
        <w:t xml:space="preserve">   </w:t>
      </w:r>
      <w:r>
        <w:tab/>
      </w:r>
      <w:r>
        <w:t xml:space="preserve">11, 12, 13</w:t>
      </w:r>
    </w:p>
    <w:p>
      <w:pPr>
        <w:keepLines/>
        <w:tabs>
          <w:tab w:val="right" w:leader="dot" w:pos="9360"/>
        </w:tabs>
        <w:spacing w:before="192" w:after="0" w:line="276" w:lineRule="exact"/>
        <w:ind w:left="720" w:right="1120" w:hanging="720"/>
      </w:pPr>
      <w:r>
        <w:rPr>
          <w:i/>
          <w:iCs/>
        </w:rPr>
        <w:t xml:space="preserve">Texas</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Tobacco</w:t>
      </w:r>
      <w:r>
        <w:rPr>
          <w:i/>
          <w:iCs/>
        </w:rPr>
        <w:t xml:space="preserve"> </w:t>
      </w:r>
      <w:r>
        <w:rPr>
          <w:i/>
          <w:iCs/>
        </w:rPr>
        <w:t xml:space="preserve">Co.</w:t>
      </w:r>
      <w:r>
        <w:t xml:space="preserve">,</w:t>
      </w:r>
      <w:r>
        <w:t xml:space="preserve"> </w:t>
      </w:r>
      <w:r>
        <w:t xml:space="preserve">14</w:t>
      </w:r>
      <w:r>
        <w:t xml:space="preserve"> </w:t>
      </w:r>
      <w:r>
        <w:t xml:space="preserve">F.</w:t>
      </w:r>
      <w:r>
        <w:t xml:space="preserve"> </w:t>
      </w:r>
      <w:r>
        <w:t xml:space="preserve">Supp.</w:t>
      </w:r>
      <w:r>
        <w:t xml:space="preserve"> </w:t>
      </w:r>
      <w:r>
        <w:t xml:space="preserve">2d</w:t>
      </w:r>
      <w:r>
        <w:t xml:space="preserve"> </w:t>
      </w:r>
      <w:r>
        <w:t xml:space="preserve">956</w:t>
      </w:r>
      <w:r>
        <w:t xml:space="preserve"> </w:t>
      </w:r>
      <w:r>
        <w:t xml:space="preserve">(E.D.</w:t>
      </w:r>
      <w:r>
        <w:t xml:space="preserve"> </w:t>
      </w:r>
      <w:r>
        <w:t xml:space="preserve">Tex.</w:t>
      </w:r>
      <w:r>
        <w:t xml:space="preserve"> </w:t>
      </w:r>
      <w:r>
        <w:t xml:space="preserve">1997)</w:t>
      </w:r>
      <w:r>
        <w:t xml:space="preserve">   </w:t>
      </w:r>
      <w:r>
        <w:tab/>
      </w:r>
      <w:r>
        <w:t xml:space="preserve">3, 4</w:t>
      </w:r>
    </w:p>
    <w:p>
      <w:pPr>
        <w:keepLines/>
        <w:tabs>
          <w:tab w:val="right" w:leader="dot" w:pos="9360"/>
        </w:tabs>
        <w:spacing w:before="192" w:after="0" w:line="276" w:lineRule="exact"/>
        <w:ind w:left="720" w:right="1120" w:hanging="720"/>
      </w:pPr>
      <w:r>
        <w:rPr>
          <w:i/>
          <w:iCs/>
        </w:rPr>
        <w:t xml:space="preserve">Tioga</w:t>
      </w:r>
      <w:r>
        <w:rPr>
          <w:i/>
          <w:iCs/>
        </w:rPr>
        <w:t xml:space="preserve"> </w:t>
      </w:r>
      <w:r>
        <w:rPr>
          <w:i/>
          <w:iCs/>
        </w:rPr>
        <w:t xml:space="preserve">Pub.</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15</w:t>
      </w:r>
      <w:r>
        <w:rPr>
          <w:i/>
          <w:iCs/>
        </w:rPr>
        <w:t xml:space="preserve"> </w:t>
      </w:r>
      <w:r>
        <w:rPr>
          <w:i/>
          <w:iCs/>
        </w:rPr>
        <w:t xml:space="preserve">of</w:t>
      </w:r>
      <w:r>
        <w:rPr>
          <w:i/>
          <w:iCs/>
        </w:rPr>
        <w:t xml:space="preserve"> </w:t>
      </w:r>
      <w:r>
        <w:rPr>
          <w:i/>
          <w:iCs/>
        </w:rPr>
        <w:t xml:space="preserve">Williams</w:t>
      </w:r>
      <w:r>
        <w:rPr>
          <w:i/>
          <w:iCs/>
        </w:rPr>
        <w:t xml:space="preserve"> </w:t>
      </w:r>
      <w:r>
        <w:rPr>
          <w:i/>
          <w:iCs/>
        </w:rPr>
        <w:t xml:space="preserve">Cnty.,</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N.D.</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Gypsum</w:t>
      </w:r>
      <w:r>
        <w:rPr>
          <w:i/>
          <w:iCs/>
        </w:rPr>
        <w:t xml:space="preserve"> </w:t>
      </w:r>
      <w:r>
        <w:rPr>
          <w:i/>
          <w:iCs/>
        </w:rPr>
        <w:t xml:space="preserve">Co.</w:t>
      </w:r>
      <w:r>
        <w:t xml:space="preserve">,</w:t>
      </w:r>
      <w:r>
        <w:t xml:space="preserve"> </w:t>
      </w:r>
      <w:r>
        <w:t xml:space="preserve">984</w:t>
      </w:r>
      <w:r>
        <w:t xml:space="preserve"> </w:t>
      </w:r>
      <w:r>
        <w:t xml:space="preserve">F.2d</w:t>
      </w:r>
      <w:r>
        <w:t xml:space="preserve"> </w:t>
      </w:r>
      <w:r>
        <w:t xml:space="preserve">915</w:t>
      </w:r>
      <w:r>
        <w:t xml:space="preserve"> </w:t>
      </w:r>
      <w:r>
        <w:t xml:space="preserve">(8th</w:t>
      </w:r>
      <w:r>
        <w:t xml:space="preserve"> </w:t>
      </w:r>
      <w:r>
        <w:t xml:space="preserve">Cir.</w:t>
      </w:r>
      <w:r>
        <w:t xml:space="preserve"> </w:t>
      </w:r>
      <w:r>
        <w:t xml:space="preserve">1993)</w:t>
      </w:r>
      <w:r>
        <w:t xml:space="preserve">   </w:t>
      </w:r>
      <w:r>
        <w:tab/>
      </w:r>
      <w:r>
        <w:t xml:space="preserve">2, 3</w:t>
      </w:r>
    </w:p>
    <w:p>
      <w:pPr>
        <w:keepLines/>
        <w:tabs>
          <w:tab w:val="right" w:leader="dot" w:pos="9360"/>
        </w:tabs>
        <w:spacing w:before="192"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Davis</w:t>
      </w:r>
      <w:r>
        <w:t xml:space="preserve">,</w:t>
      </w:r>
      <w:r>
        <w:t xml:space="preserve"> </w:t>
      </w:r>
      <w:r>
        <w:t xml:space="preserve">588</w:t>
      </w:r>
      <w:r>
        <w:t xml:space="preserve"> </w:t>
      </w:r>
      <w:r>
        <w:t xml:space="preserve">U.S.</w:t>
      </w:r>
      <w:r>
        <w:t xml:space="preserve"> </w:t>
      </w:r>
      <w:r>
        <w:t xml:space="preserve">445</w:t>
      </w:r>
      <w:r>
        <w:t xml:space="preserve"> </w:t>
      </w:r>
      <w:r>
        <w:t xml:space="preserve">(2019)</w:t>
      </w:r>
      <w:r>
        <w:t xml:space="preserve">   </w:t>
      </w:r>
      <w:r>
        <w:tab/>
      </w:r>
      <w:r>
        <w:t xml:space="preserve">19</w:t>
      </w:r>
    </w:p>
    <w:p>
      <w:pPr>
        <w:keepLines/>
        <w:tabs>
          <w:tab w:val="right" w:leader="dot" w:pos="9360"/>
        </w:tabs>
        <w:spacing w:before="192" w:after="0" w:line="276" w:lineRule="exact"/>
        <w:ind w:left="720" w:right="1120" w:hanging="720"/>
      </w:pPr>
      <w:r>
        <w:rPr>
          <w:i/>
          <w:iCs/>
        </w:rPr>
        <w:t xml:space="preserve">Valentine</w:t>
      </w:r>
      <w:r>
        <w:rPr>
          <w:i/>
          <w:iCs/>
        </w:rPr>
        <w:t xml:space="preserve"> </w:t>
      </w:r>
      <w:r>
        <w:rPr>
          <w:i/>
          <w:iCs/>
        </w:rPr>
        <w:t xml:space="preserve">v.</w:t>
      </w:r>
      <w:r>
        <w:rPr>
          <w:i/>
          <w:iCs/>
        </w:rPr>
        <w:t xml:space="preserve"> </w:t>
      </w:r>
      <w:r>
        <w:rPr>
          <w:i/>
          <w:iCs/>
        </w:rPr>
        <w:t xml:space="preserve">Wheeling</w:t>
      </w:r>
      <w:r>
        <w:rPr>
          <w:i/>
          <w:iCs/>
        </w:rPr>
        <w:t xml:space="preserve"> </w:t>
      </w:r>
      <w:r>
        <w:rPr>
          <w:i/>
          <w:iCs/>
        </w:rPr>
        <w:t xml:space="preserve">Elec.</w:t>
      </w:r>
      <w:r>
        <w:rPr>
          <w:i/>
          <w:iCs/>
        </w:rPr>
        <w:t xml:space="preserve"> </w:t>
      </w:r>
      <w:r>
        <w:rPr>
          <w:i/>
          <w:iCs/>
        </w:rPr>
        <w:t xml:space="preserve">Co.</w:t>
      </w:r>
      <w:r>
        <w:t xml:space="preserve">,</w:t>
      </w:r>
      <w:r>
        <w:t xml:space="preserve"> </w:t>
      </w:r>
      <w:r>
        <w:t xml:space="preserve">180</w:t>
      </w:r>
      <w:r>
        <w:t xml:space="preserve"> </w:t>
      </w:r>
      <w:r>
        <w:t xml:space="preserve">W.</w:t>
      </w:r>
      <w:r>
        <w:t xml:space="preserve"> </w:t>
      </w:r>
      <w:r>
        <w:t xml:space="preserve">Va.</w:t>
      </w:r>
      <w:r>
        <w:t xml:space="preserve"> </w:t>
      </w:r>
      <w:r>
        <w:t xml:space="preserve">382,</w:t>
      </w:r>
      <w:r>
        <w:t xml:space="preserve"> </w:t>
      </w:r>
      <w:r>
        <w:t xml:space="preserve">376</w:t>
      </w:r>
      <w:r>
        <w:t xml:space="preserve"> </w:t>
      </w:r>
      <w:r>
        <w:t xml:space="preserve">S.E.2d</w:t>
      </w:r>
      <w:r>
        <w:t xml:space="preserve"> </w:t>
      </w:r>
      <w:r>
        <w:t xml:space="preserve">588</w:t>
      </w:r>
      <w:r>
        <w:t xml:space="preserve"> </w:t>
      </w:r>
      <w:r>
        <w:t xml:space="preserve">(1988)</w:t>
      </w:r>
      <w:r>
        <w:t xml:space="preserve">   </w:t>
      </w:r>
      <w:r>
        <w:tab/>
      </w:r>
      <w:r>
        <w:t xml:space="preserve">20</w:t>
      </w:r>
    </w:p>
    <w:p>
      <w:pPr>
        <w:keepLines/>
        <w:tabs>
          <w:tab w:val="right" w:leader="dot" w:pos="9360"/>
        </w:tabs>
        <w:spacing w:before="192" w:after="0" w:line="276" w:lineRule="exact"/>
        <w:ind w:left="720" w:right="1120" w:hanging="720"/>
      </w:pPr>
      <w:r>
        <w:rPr>
          <w:i/>
          <w:iCs/>
        </w:rPr>
        <w:t xml:space="preserve">Weaver</w:t>
      </w:r>
      <w:r>
        <w:rPr>
          <w:i/>
          <w:iCs/>
        </w:rPr>
        <w:t xml:space="preserve"> </w:t>
      </w:r>
      <w:r>
        <w:rPr>
          <w:i/>
          <w:iCs/>
        </w:rPr>
        <w:t xml:space="preserve">Mercantile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Thurmond</w:t>
      </w:r>
      <w:r>
        <w:t xml:space="preserve">,</w:t>
      </w:r>
      <w:r>
        <w:t xml:space="preserve"> </w:t>
      </w:r>
      <w:r>
        <w:t xml:space="preserve">68</w:t>
      </w:r>
      <w:r>
        <w:t xml:space="preserve"> </w:t>
      </w:r>
      <w:r>
        <w:t xml:space="preserve">W.</w:t>
      </w:r>
      <w:r>
        <w:t xml:space="preserve"> </w:t>
      </w:r>
      <w:r>
        <w:t xml:space="preserve">Va.</w:t>
      </w:r>
      <w:r>
        <w:t xml:space="preserve"> </w:t>
      </w:r>
      <w:r>
        <w:t xml:space="preserve">530,</w:t>
      </w:r>
      <w:r>
        <w:t xml:space="preserve"> </w:t>
      </w:r>
      <w:r>
        <w:t xml:space="preserve">70</w:t>
      </w:r>
      <w:r>
        <w:t xml:space="preserve"> </w:t>
      </w:r>
      <w:r>
        <w:t xml:space="preserve">S.E.</w:t>
      </w:r>
      <w:r>
        <w:t xml:space="preserve"> </w:t>
      </w:r>
      <w:r>
        <w:t xml:space="preserve">126</w:t>
      </w:r>
      <w:r>
        <w:t xml:space="preserve"> </w:t>
      </w:r>
      <w:r>
        <w:t xml:space="preserve">(1911)</w:t>
      </w:r>
      <w:r>
        <w:t xml:space="preserve">   </w:t>
      </w:r>
      <w:r>
        <w:tab/>
      </w:r>
      <w:r>
        <w:t xml:space="preserve">11</w:t>
      </w:r>
    </w:p>
    <w:p>
      <w:pPr>
        <w:keepLines/>
        <w:tabs>
          <w:tab w:val="right" w:leader="dot" w:pos="9360"/>
        </w:tabs>
        <w:spacing w:before="192" w:after="0" w:line="276" w:lineRule="exact"/>
        <w:ind w:left="720" w:right="1120" w:hanging="720"/>
      </w:pPr>
      <w:r>
        <w:rPr>
          <w:i/>
          <w:iCs/>
        </w:rPr>
        <w:t xml:space="preserve">Whitney</w:t>
      </w:r>
      <w:r>
        <w:rPr>
          <w:i/>
          <w:iCs/>
        </w:rPr>
        <w:t xml:space="preserve"> </w:t>
      </w:r>
      <w:r>
        <w:rPr>
          <w:i/>
          <w:iCs/>
        </w:rPr>
        <w:t xml:space="preserve">v.</w:t>
      </w:r>
      <w:r>
        <w:rPr>
          <w:i/>
          <w:iCs/>
        </w:rPr>
        <w:t xml:space="preserve"> </w:t>
      </w:r>
      <w:r>
        <w:rPr>
          <w:i/>
          <w:iCs/>
        </w:rPr>
        <w:t xml:space="preserve">Ralph</w:t>
      </w:r>
      <w:r>
        <w:rPr>
          <w:i/>
          <w:iCs/>
        </w:rPr>
        <w:t xml:space="preserve"> </w:t>
      </w:r>
      <w:r>
        <w:rPr>
          <w:i/>
          <w:iCs/>
        </w:rPr>
        <w:t xml:space="preserve">Myers</w:t>
      </w:r>
      <w:r>
        <w:rPr>
          <w:i/>
          <w:iCs/>
        </w:rPr>
        <w:t xml:space="preserve"> </w:t>
      </w:r>
      <w:r>
        <w:rPr>
          <w:i/>
          <w:iCs/>
        </w:rPr>
        <w:t xml:space="preserve">Contracting</w:t>
      </w:r>
      <w:r>
        <w:rPr>
          <w:i/>
          <w:iCs/>
        </w:rPr>
        <w:t xml:space="preserve"> </w:t>
      </w:r>
      <w:r>
        <w:rPr>
          <w:i/>
          <w:iCs/>
        </w:rPr>
        <w:t xml:space="preserve">Corp.</w:t>
      </w:r>
      <w:r>
        <w:t xml:space="preserve">,</w:t>
      </w:r>
      <w:r>
        <w:t xml:space="preserve"> </w:t>
      </w:r>
      <w:r>
        <w:t xml:space="preserve">146</w:t>
      </w:r>
      <w:r>
        <w:t xml:space="preserve"> </w:t>
      </w:r>
      <w:r>
        <w:t xml:space="preserve">W.</w:t>
      </w:r>
      <w:r>
        <w:t xml:space="preserve"> </w:t>
      </w:r>
      <w:r>
        <w:t xml:space="preserve">Va.</w:t>
      </w:r>
      <w:r>
        <w:t xml:space="preserve"> </w:t>
      </w:r>
      <w:r>
        <w:t xml:space="preserve">130,</w:t>
      </w:r>
      <w:r>
        <w:t xml:space="preserve"> </w:t>
      </w:r>
      <w:r>
        <w:t xml:space="preserve">118</w:t>
      </w:r>
      <w:r>
        <w:t xml:space="preserve"> </w:t>
      </w:r>
      <w:r>
        <w:t xml:space="preserve">S.E.2d</w:t>
      </w:r>
      <w:r>
        <w:t xml:space="preserve"> </w:t>
      </w:r>
      <w:r>
        <w:t xml:space="preserve">622</w:t>
      </w:r>
      <w:r>
        <w:t xml:space="preserve"> </w:t>
      </w:r>
      <w:r>
        <w:t xml:space="preserve">(1961)</w:t>
      </w:r>
      <w:r>
        <w:t xml:space="preserve">   </w:t>
      </w:r>
      <w:r>
        <w:tab/>
      </w:r>
      <w:r>
        <w:t xml:space="preserve">11</w:t>
      </w:r>
    </w:p>
    <w:p>
      <w:pPr>
        <w:keepNext/>
        <w:keepLines/>
        <w:spacing w:before="288" w:after="48" w:line="276" w:lineRule="exact"/>
        <w:ind w:left="0" w:firstLine="0"/>
        <w:jc w:val="left"/>
      </w:pPr>
      <w:r>
        <w:rPr>
          <w:b/>
          <w:bCs/>
        </w:rPr>
        <w:t xml:space="preserve">Rules</w:t>
      </w:r>
    </w:p>
    <w:p>
      <w:pPr>
        <w:keepLines/>
        <w:tabs>
          <w:tab w:val="right" w:leader="dot" w:pos="9360"/>
        </w:tabs>
        <w:spacing w:before="192" w:after="0" w:line="276" w:lineRule="exact"/>
        <w:ind w:left="720" w:right="1120" w:hanging="720"/>
      </w:pPr>
      <w:r>
        <w:t xml:space="preserve">W.</w:t>
      </w:r>
      <w:r>
        <w:t xml:space="preserve"> </w:t>
      </w:r>
      <w:r>
        <w:t xml:space="preserve">Va.</w:t>
      </w:r>
      <w:r>
        <w:t xml:space="preserve"> </w:t>
      </w:r>
      <w:r>
        <w:t xml:space="preserve">R.</w:t>
      </w:r>
      <w:r>
        <w:t xml:space="preserve"> </w:t>
      </w:r>
      <w:r>
        <w:t xml:space="preserve">App.</w:t>
      </w:r>
      <w:r>
        <w:t xml:space="preserve"> </w:t>
      </w:r>
      <w:r>
        <w:t xml:space="preserve">P.</w:t>
      </w:r>
      <w:r>
        <w:t xml:space="preserve"> </w:t>
      </w:r>
      <w:r>
        <w:t xml:space="preserve">30(b)</w:t>
      </w:r>
      <w:r>
        <w:t xml:space="preserve">   </w:t>
      </w:r>
      <w:r>
        <w:tab/>
      </w:r>
      <w:r>
        <w:t xml:space="preserve">1</w:t>
      </w:r>
    </w:p>
    <w:p>
      <w:pPr>
        <w:keepNext/>
        <w:keepLines/>
        <w:spacing w:before="288" w:after="48" w:line="276" w:lineRule="exact"/>
        <w:ind w:left="0" w:firstLine="0"/>
        <w:jc w:val="left"/>
      </w:pPr>
      <w:r>
        <w:rPr>
          <w:b/>
          <w:bCs/>
        </w:rPr>
        <w:t xml:space="preserve">Statutes</w:t>
      </w:r>
    </w:p>
    <w:p>
      <w:pPr>
        <w:keepLines/>
        <w:tabs>
          <w:tab w:val="right" w:leader="dot" w:pos="9360"/>
        </w:tabs>
        <w:spacing w:before="192" w:after="0" w:line="276" w:lineRule="exact"/>
        <w:ind w:left="720" w:right="1120" w:hanging="720"/>
      </w:pPr>
      <w:r>
        <w:t xml:space="preserve">Larry</w:t>
      </w:r>
      <w:r>
        <w:t xml:space="preserve"> </w:t>
      </w:r>
      <w:r>
        <w:t xml:space="preserve">W.</w:t>
      </w:r>
      <w:r>
        <w:t xml:space="preserve"> </w:t>
      </w:r>
      <w:r>
        <w:t xml:space="preserve">Border</w:t>
      </w:r>
      <w:r>
        <w:t xml:space="preserve"> </w:t>
      </w:r>
      <w:r>
        <w:t xml:space="preserve">Pharmacy</w:t>
      </w:r>
      <w:r>
        <w:t xml:space="preserve"> </w:t>
      </w:r>
      <w:r>
        <w:t xml:space="preserve">Practice</w:t>
      </w:r>
      <w:r>
        <w:t xml:space="preserve"> </w:t>
      </w:r>
      <w:r>
        <w:t xml:space="preserve">Act,</w:t>
      </w:r>
      <w:r>
        <w:t xml:space="preserve"> </w:t>
      </w:r>
      <w:r>
        <w:t xml:space="preserve">W.</w:t>
      </w:r>
      <w:r>
        <w:t xml:space="preserve"> </w:t>
      </w:r>
      <w:r>
        <w:t xml:space="preserve">Va.</w:t>
      </w:r>
      <w:r>
        <w:t xml:space="preserve"> </w:t>
      </w:r>
      <w:r>
        <w:t xml:space="preserve">Code</w:t>
      </w:r>
      <w:r>
        <w:t xml:space="preserve"> </w:t>
      </w:r>
      <w:r>
        <w:t xml:space="preserve">§</w:t>
      </w:r>
      <w:r>
        <w:t xml:space="preserve"> </w:t>
      </w:r>
      <w:r>
        <w:t xml:space="preserve">30</w:t>
        <w:noBreakHyphen/>
        <w:t xml:space="preserve">5</w:t>
        <w:noBreakHyphen/>
        <w:t xml:space="preserve">1</w:t>
      </w:r>
      <w:r>
        <w:t xml:space="preserve">   </w:t>
      </w:r>
      <w:r>
        <w:tab/>
      </w:r>
      <w:r>
        <w:t xml:space="preserve">10</w:t>
      </w:r>
    </w:p>
    <w:p>
      <w:pPr>
        <w:keepLines/>
        <w:tabs>
          <w:tab w:val="right" w:leader="dot" w:pos="9360"/>
        </w:tabs>
        <w:spacing w:before="192" w:after="0" w:line="276" w:lineRule="exact"/>
        <w:ind w:left="720" w:right="1120" w:hanging="720"/>
      </w:pPr>
      <w:r>
        <w:t xml:space="preserve">Uniform</w:t>
      </w:r>
      <w:r>
        <w:t xml:space="preserve"> </w:t>
      </w:r>
      <w:r>
        <w:t xml:space="preserve">Controlled</w:t>
      </w:r>
      <w:r>
        <w:t xml:space="preserve"> </w:t>
      </w:r>
      <w:r>
        <w:t xml:space="preserve">Substances</w:t>
      </w:r>
      <w:r>
        <w:t xml:space="preserve"> </w:t>
      </w:r>
      <w:r>
        <w:t xml:space="preserve">Act,</w:t>
      </w:r>
      <w:r>
        <w:t xml:space="preserve"> </w:t>
      </w:r>
      <w:r>
        <w:t xml:space="preserve">W.</w:t>
      </w:r>
      <w:r>
        <w:t xml:space="preserve"> </w:t>
      </w:r>
      <w:r>
        <w:t xml:space="preserve">Va.</w:t>
      </w:r>
      <w:r>
        <w:t xml:space="preserve"> </w:t>
      </w:r>
      <w:r>
        <w:t xml:space="preserve">Code</w:t>
      </w:r>
      <w:r>
        <w:t xml:space="preserve"> </w:t>
      </w:r>
      <w:r>
        <w:t xml:space="preserve">§</w:t>
      </w:r>
      <w:r>
        <w:t xml:space="preserve"> </w:t>
      </w:r>
      <w:r>
        <w:t xml:space="preserve">60A</w:t>
        <w:noBreakHyphen/>
        <w:t xml:space="preserve">2</w:t>
        <w:noBreakHyphen/>
        <w:t xml:space="preserve">201</w:t>
      </w:r>
      <w:r>
        <w:t xml:space="preserve">   </w:t>
      </w:r>
      <w:r>
        <w:tab/>
      </w:r>
      <w:r>
        <w:t xml:space="preserve">10</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92" w:after="0" w:line="276" w:lineRule="exact"/>
        <w:ind w:left="720" w:right="1120" w:hanging="720"/>
      </w:pPr>
      <w:r>
        <w:t xml:space="preserve">21</w:t>
      </w:r>
      <w:r>
        <w:t xml:space="preserve"> </w:t>
      </w:r>
      <w:r>
        <w:t xml:space="preserve">C.F.R.</w:t>
      </w:r>
      <w:r>
        <w:t xml:space="preserve"> </w:t>
      </w:r>
      <w:r>
        <w:t xml:space="preserve">§</w:t>
      </w:r>
      <w:r>
        <w:t xml:space="preserve"> </w:t>
      </w:r>
      <w:r>
        <w:t xml:space="preserve">1301.71(a)</w:t>
      </w:r>
      <w:r>
        <w:t xml:space="preserve">   </w:t>
      </w:r>
      <w:r>
        <w:tab/>
      </w:r>
      <w:r>
        <w:t xml:space="preserve">10</w:t>
      </w:r>
    </w:p>
    <w:p>
      <w:pPr>
        <w:keepLines/>
        <w:tabs>
          <w:tab w:val="right" w:leader="dot" w:pos="9360"/>
        </w:tabs>
        <w:spacing w:before="192" w:after="0" w:line="276" w:lineRule="exact"/>
        <w:ind w:left="720" w:right="1120" w:hanging="720"/>
      </w:pPr>
      <w:r>
        <w:t xml:space="preserve">21</w:t>
      </w:r>
      <w:r>
        <w:t xml:space="preserve"> </w:t>
      </w:r>
      <w:r>
        <w:t xml:space="preserve">C.F.R.</w:t>
      </w:r>
      <w:r>
        <w:t xml:space="preserve"> </w:t>
      </w:r>
      <w:r>
        <w:t xml:space="preserve">§</w:t>
      </w:r>
      <w:r>
        <w:t xml:space="preserve"> </w:t>
      </w:r>
      <w:r>
        <w:t xml:space="preserve">1301.74(b)</w:t>
      </w:r>
      <w:r>
        <w:t xml:space="preserve">   </w:t>
      </w:r>
      <w:r>
        <w:tab/>
      </w:r>
      <w:r>
        <w:t xml:space="preserve">10</w:t>
      </w:r>
    </w:p>
    <w:p>
      <w:pPr>
        <w:keepLines/>
        <w:tabs>
          <w:tab w:val="right" w:leader="dot" w:pos="9360"/>
        </w:tabs>
        <w:spacing w:before="192" w:after="0" w:line="276" w:lineRule="exact"/>
        <w:ind w:left="720" w:right="1120" w:hanging="720"/>
      </w:pPr>
      <w:r>
        <w:t xml:space="preserve">21</w:t>
      </w:r>
      <w:r>
        <w:t xml:space="preserve"> </w:t>
      </w:r>
      <w:r>
        <w:t xml:space="preserve">C.F.R.</w:t>
      </w:r>
      <w:r>
        <w:t xml:space="preserve"> </w:t>
      </w:r>
      <w:r>
        <w:t xml:space="preserve">§</w:t>
      </w:r>
      <w:r>
        <w:t xml:space="preserve"> </w:t>
      </w:r>
      <w:r>
        <w:t xml:space="preserve">1306.03</w:t>
      </w:r>
      <w:r>
        <w:t xml:space="preserve">   </w:t>
      </w:r>
      <w:r>
        <w:tab/>
      </w:r>
      <w:r>
        <w:t xml:space="preserve">10</w:t>
      </w:r>
    </w:p>
    <w:p>
      <w:pPr>
        <w:keepLines/>
        <w:tabs>
          <w:tab w:val="right" w:leader="dot" w:pos="9360"/>
        </w:tabs>
        <w:spacing w:before="192" w:after="0" w:line="276" w:lineRule="exact"/>
        <w:ind w:left="720" w:right="1120" w:hanging="720"/>
      </w:pPr>
      <w:r>
        <w:t xml:space="preserve">21</w:t>
      </w:r>
      <w:r>
        <w:t xml:space="preserve"> </w:t>
      </w:r>
      <w:r>
        <w:t xml:space="preserve">C.F.R.</w:t>
      </w:r>
      <w:r>
        <w:t xml:space="preserve"> </w:t>
      </w:r>
      <w:r>
        <w:t xml:space="preserve">§</w:t>
      </w:r>
      <w:r>
        <w:t xml:space="preserve"> </w:t>
      </w:r>
      <w:r>
        <w:t xml:space="preserve">1306.04(a)</w:t>
      </w:r>
      <w:r>
        <w:t xml:space="preserve">   </w:t>
      </w:r>
      <w:r>
        <w:tab/>
      </w:r>
      <w:r>
        <w:t xml:space="preserve">10</w:t>
      </w:r>
    </w:p>
    <w:p>
      <w:pPr>
        <w:keepLines/>
        <w:tabs>
          <w:tab w:val="right" w:leader="dot" w:pos="9360"/>
        </w:tabs>
        <w:spacing w:before="192" w:after="0" w:line="276" w:lineRule="exact"/>
        <w:ind w:left="720" w:right="1120" w:hanging="720"/>
      </w:pPr>
      <w:r>
        <w:t xml:space="preserve">Aneri</w:t>
      </w:r>
      <w:r>
        <w:t xml:space="preserve"> </w:t>
      </w:r>
      <w:r>
        <w:t xml:space="preserve">Pattani,</w:t>
      </w:r>
      <w:r>
        <w:t xml:space="preserve"> </w:t>
      </w:r>
      <w:r>
        <w:t xml:space="preserve">Opioid</w:t>
      </w:r>
      <w:r>
        <w:t xml:space="preserve"> </w:t>
      </w:r>
      <w:r>
        <w:t xml:space="preserve">Settlement</w:t>
      </w:r>
      <w:r>
        <w:t xml:space="preserve"> </w:t>
      </w:r>
      <w:r>
        <w:t xml:space="preserve">Payouts</w:t>
      </w:r>
      <w:r>
        <w:t xml:space="preserve"> </w:t>
      </w:r>
      <w:r>
        <w:t xml:space="preserve">Are</w:t>
      </w:r>
      <w:r>
        <w:t xml:space="preserve"> </w:t>
      </w:r>
      <w:r>
        <w:t xml:space="preserve">Now</w:t>
      </w:r>
      <w:r>
        <w:t xml:space="preserve"> </w:t>
      </w:r>
      <w:r>
        <w:t xml:space="preserve">Public—And</w:t>
      </w:r>
      <w:r>
        <w:t xml:space="preserve"> </w:t>
      </w:r>
      <w:r>
        <w:t xml:space="preserve">We</w:t>
      </w:r>
      <w:r>
        <w:t xml:space="preserve"> </w:t>
      </w:r>
      <w:r>
        <w:t xml:space="preserve">Know</w:t>
      </w:r>
      <w:r>
        <w:t xml:space="preserve"> </w:t>
      </w:r>
      <w:r>
        <w:t xml:space="preserve">How</w:t>
      </w:r>
      <w:r>
        <w:t xml:space="preserve"> </w:t>
      </w:r>
      <w:r>
        <w:t xml:space="preserve">Much</w:t>
      </w:r>
      <w:r>
        <w:t xml:space="preserve"> </w:t>
      </w:r>
      <w:r>
        <w:t xml:space="preserve">Local</w:t>
      </w:r>
      <w:r>
        <w:t xml:space="preserve"> </w:t>
      </w:r>
      <w:r>
        <w:t xml:space="preserve">Governments</w:t>
      </w:r>
      <w:r>
        <w:t xml:space="preserve"> </w:t>
      </w:r>
      <w:r>
        <w:t xml:space="preserve">Got</w:t>
      </w:r>
      <w:r>
        <w:t xml:space="preserve">   </w:t>
      </w:r>
      <w:r>
        <w:tab/>
      </w:r>
      <w:r>
        <w:t xml:space="preserve">4</w:t>
      </w:r>
    </w:p>
    <w:p>
      <w:pPr>
        <w:keepLines/>
        <w:tabs>
          <w:tab w:val="right" w:leader="dot" w:pos="9360"/>
        </w:tabs>
        <w:spacing w:before="192" w:after="0" w:line="276" w:lineRule="exact"/>
        <w:ind w:left="720" w:right="1120" w:hanging="720"/>
      </w:pPr>
      <w:r>
        <w:t xml:space="preserve">Black’s</w:t>
      </w:r>
      <w:r>
        <w:t xml:space="preserve"> </w:t>
      </w:r>
      <w:r>
        <w:t xml:space="preserve">Law</w:t>
      </w:r>
      <w:r>
        <w:t xml:space="preserve"> </w:t>
      </w:r>
      <w:r>
        <w:t xml:space="preserve">Dictionary</w:t>
      </w:r>
      <w:r>
        <w:t xml:space="preserve"> </w:t>
      </w:r>
      <w:r>
        <w:t xml:space="preserve">(11th</w:t>
      </w:r>
      <w:r>
        <w:t xml:space="preserve"> </w:t>
      </w:r>
      <w:r>
        <w:t xml:space="preserve">ed.</w:t>
      </w:r>
      <w:r>
        <w:t xml:space="preserve"> </w:t>
      </w:r>
      <w:r>
        <w:t xml:space="preserve">2019)</w:t>
      </w:r>
      <w:r>
        <w:t xml:space="preserve">   </w:t>
      </w:r>
      <w:r>
        <w:tab/>
      </w:r>
      <w:r>
        <w:t xml:space="preserve">17, 21</w:t>
      </w:r>
    </w:p>
    <w:p>
      <w:pPr>
        <w:keepLines/>
        <w:tabs>
          <w:tab w:val="right" w:leader="dot" w:pos="9360"/>
        </w:tabs>
        <w:spacing w:before="192" w:after="0" w:line="276" w:lineRule="exact"/>
        <w:ind w:left="720" w:right="1120" w:hanging="720"/>
      </w:pPr>
      <w:r>
        <w:t xml:space="preserve">Donald</w:t>
      </w:r>
      <w:r>
        <w:t xml:space="preserve"> </w:t>
      </w:r>
      <w:r>
        <w:t xml:space="preserve">G.</w:t>
      </w:r>
      <w:r>
        <w:t xml:space="preserve"> </w:t>
      </w:r>
      <w:r>
        <w:t xml:space="preserve">Gifford,</w:t>
      </w:r>
      <w:r>
        <w:t xml:space="preserve"> </w:t>
      </w:r>
      <w:r>
        <w:t xml:space="preserve">Public</w:t>
      </w:r>
      <w:r>
        <w:t xml:space="preserve"> </w:t>
      </w:r>
      <w:r>
        <w:t xml:space="preserve">Nuisance</w:t>
      </w:r>
      <w:r>
        <w:t xml:space="preserve"> </w:t>
      </w:r>
      <w:r>
        <w:t xml:space="preserve">as</w:t>
      </w:r>
      <w:r>
        <w:t xml:space="preserve"> </w:t>
      </w:r>
      <w:r>
        <w:t xml:space="preserve">a</w:t>
      </w:r>
      <w:r>
        <w:t xml:space="preserve"> </w:t>
      </w:r>
      <w:r>
        <w:t xml:space="preserve">Mass</w:t>
      </w:r>
      <w:r>
        <w:t xml:space="preserve"> </w:t>
      </w:r>
      <w:r>
        <w:t xml:space="preserve">Products</w:t>
      </w:r>
      <w:r>
        <w:t xml:space="preserve"> </w:t>
      </w:r>
      <w:r>
        <w:t xml:space="preserve">Liability</w:t>
      </w:r>
      <w:r>
        <w:t xml:space="preserve"> </w:t>
      </w:r>
      <w:r>
        <w:t xml:space="preserve">Tort,</w:t>
      </w:r>
      <w:r>
        <w:t xml:space="preserve"> </w:t>
      </w:r>
      <w:r>
        <w:t xml:space="preserve">71</w:t>
      </w:r>
      <w:r>
        <w:t xml:space="preserve"> </w:t>
      </w:r>
      <w:r>
        <w:t xml:space="preserve">U.</w:t>
      </w:r>
      <w:r>
        <w:t xml:space="preserve"> </w:t>
      </w:r>
      <w:r>
        <w:t xml:space="preserve">Cin.</w:t>
      </w:r>
      <w:r>
        <w:t xml:space="preserve"> </w:t>
      </w:r>
      <w:r>
        <w:t xml:space="preserve">L.</w:t>
      </w:r>
      <w:r>
        <w:t xml:space="preserve"> </w:t>
      </w:r>
      <w:r>
        <w:t xml:space="preserve">Rev.</w:t>
      </w:r>
      <w:r>
        <w:t xml:space="preserve"> </w:t>
      </w:r>
      <w:r>
        <w:t xml:space="preserve">741</w:t>
      </w:r>
      <w:r>
        <w:t xml:space="preserve"> </w:t>
      </w:r>
      <w:r>
        <w:t xml:space="preserve">(2003)</w:t>
      </w:r>
      <w:r>
        <w:t xml:space="preserve">   </w:t>
      </w:r>
      <w:r>
        <w:tab/>
      </w:r>
      <w:r>
        <w:t xml:space="preserve">3</w:t>
      </w:r>
    </w:p>
    <w:p>
      <w:pPr>
        <w:keepLines/>
        <w:tabs>
          <w:tab w:val="right" w:leader="dot" w:pos="9360"/>
        </w:tabs>
        <w:spacing w:before="192" w:after="0" w:line="276" w:lineRule="exact"/>
        <w:ind w:left="720" w:right="1120" w:hanging="720"/>
      </w:pPr>
      <w:r>
        <w:t xml:space="preserve">Honorable</w:t>
      </w:r>
      <w:r>
        <w:t xml:space="preserve"> </w:t>
      </w:r>
      <w:r>
        <w:t xml:space="preserve">Luther</w:t>
      </w:r>
      <w:r>
        <w:t xml:space="preserve"> </w:t>
      </w:r>
      <w:r>
        <w:t xml:space="preserve">J.</w:t>
      </w:r>
      <w:r>
        <w:t xml:space="preserve"> </w:t>
      </w:r>
      <w:r>
        <w:t xml:space="preserve">Strange</w:t>
      </w:r>
      <w:r>
        <w:t xml:space="preserve"> </w:t>
      </w:r>
      <w:r>
        <w:t xml:space="preserve">III,</w:t>
      </w:r>
      <w:r>
        <w:t xml:space="preserve"> </w:t>
      </w:r>
      <w:r>
        <w:t xml:space="preserve">A</w:t>
      </w:r>
      <w:r>
        <w:t xml:space="preserve"> </w:t>
      </w:r>
      <w:r>
        <w:t xml:space="preserve">Prescription</w:t>
      </w:r>
      <w:r>
        <w:t xml:space="preserve"> </w:t>
      </w:r>
      <w:r>
        <w:t xml:space="preserve">for</w:t>
      </w:r>
      <w:r>
        <w:t xml:space="preserve"> </w:t>
      </w:r>
      <w:r>
        <w:t xml:space="preserve">Disaster,</w:t>
      </w:r>
      <w:r>
        <w:t xml:space="preserve"> </w:t>
      </w:r>
      <w:r>
        <w:t xml:space="preserve">70</w:t>
      </w:r>
      <w:r>
        <w:t xml:space="preserve"> </w:t>
      </w:r>
      <w:r>
        <w:t xml:space="preserve">S.C.</w:t>
      </w:r>
      <w:r>
        <w:t xml:space="preserve"> </w:t>
      </w:r>
      <w:r>
        <w:t xml:space="preserve">L.</w:t>
      </w:r>
      <w:r>
        <w:t xml:space="preserve"> </w:t>
      </w:r>
      <w:r>
        <w:t xml:space="preserve">Rev.</w:t>
      </w:r>
      <w:r>
        <w:t xml:space="preserve"> </w:t>
      </w:r>
      <w:r>
        <w:t xml:space="preserve">517</w:t>
      </w:r>
      <w:r>
        <w:t xml:space="preserve"> </w:t>
      </w:r>
      <w:r>
        <w:t xml:space="preserve">(2019)</w:t>
      </w:r>
      <w:r>
        <w:t xml:space="preserve">   </w:t>
      </w:r>
      <w:r>
        <w:tab/>
      </w:r>
      <w:r>
        <w:t xml:space="preserve">9</w:t>
      </w:r>
    </w:p>
    <w:p>
      <w:pPr>
        <w:keepLines/>
        <w:tabs>
          <w:tab w:val="right" w:leader="dot" w:pos="9360"/>
        </w:tabs>
        <w:spacing w:before="192" w:after="0" w:line="276" w:lineRule="exact"/>
        <w:ind w:left="720" w:right="1120" w:hanging="720"/>
      </w:pPr>
      <w:r>
        <w:t xml:space="preserve">Philip</w:t>
      </w:r>
      <w:r>
        <w:t xml:space="preserve"> </w:t>
      </w:r>
      <w:r>
        <w:t xml:space="preserve">Goldberg,</w:t>
      </w:r>
      <w:r>
        <w:t xml:space="preserve"> </w:t>
      </w:r>
      <w:r>
        <w:t xml:space="preserve">Is</w:t>
      </w:r>
      <w:r>
        <w:t xml:space="preserve"> </w:t>
      </w:r>
      <w:r>
        <w:t xml:space="preserve">Today’s</w:t>
      </w:r>
      <w:r>
        <w:t xml:space="preserve"> </w:t>
      </w:r>
      <w:r>
        <w:t xml:space="preserve">Attempt</w:t>
      </w:r>
      <w:r>
        <w:t xml:space="preserve"> </w:t>
      </w:r>
      <w:r>
        <w:t xml:space="preserve">at</w:t>
      </w:r>
      <w:r>
        <w:t xml:space="preserve"> </w:t>
      </w:r>
      <w:r>
        <w:t xml:space="preserve">a</w:t>
      </w:r>
      <w:r>
        <w:t xml:space="preserve"> </w:t>
      </w:r>
      <w:r>
        <w:t xml:space="preserve">Public</w:t>
      </w:r>
      <w:r>
        <w:t xml:space="preserve"> </w:t>
      </w:r>
      <w:r>
        <w:t xml:space="preserve">Nuisance</w:t>
      </w:r>
      <w:r>
        <w:t xml:space="preserve"> </w:t>
      </w:r>
      <w:r>
        <w:t xml:space="preserve">“Super</w:t>
      </w:r>
      <w:r>
        <w:t xml:space="preserve"> </w:t>
      </w:r>
      <w:r>
        <w:t xml:space="preserve">Tort”</w:t>
      </w:r>
      <w:r>
        <w:t xml:space="preserve"> </w:t>
      </w:r>
      <w:r>
        <w:t xml:space="preserve">the</w:t>
      </w:r>
      <w:r>
        <w:t xml:space="preserve"> </w:t>
      </w:r>
      <w:r>
        <w:t xml:space="preserve">Emperor’s</w:t>
      </w:r>
      <w:r>
        <w:t xml:space="preserve"> </w:t>
      </w:r>
      <w:r>
        <w:t xml:space="preserve">New</w:t>
      </w:r>
      <w:r>
        <w:t xml:space="preserve"> </w:t>
      </w:r>
      <w:r>
        <w:t xml:space="preserve">Clothes</w:t>
      </w:r>
      <w:r>
        <w:t xml:space="preserve"> </w:t>
      </w:r>
      <w:r>
        <w:t xml:space="preserve">of</w:t>
      </w:r>
      <w:r>
        <w:t xml:space="preserve"> </w:t>
      </w:r>
      <w:r>
        <w:t xml:space="preserve">Modern</w:t>
      </w:r>
      <w:r>
        <w:t xml:space="preserve"> </w:t>
      </w:r>
      <w:r>
        <w:t xml:space="preserve">Litigation?</w:t>
      </w:r>
      <w:r>
        <w:t xml:space="preserve"> </w:t>
      </w:r>
      <w:r>
        <w:t xml:space="preserve">37</w:t>
      </w:r>
      <w:r>
        <w:t xml:space="preserve"> </w:t>
      </w:r>
      <w:r>
        <w:t xml:space="preserve">Mealey’s</w:t>
      </w:r>
      <w:r>
        <w:t xml:space="preserve"> </w:t>
      </w:r>
      <w:r>
        <w:t xml:space="preserve">Personal</w:t>
      </w:r>
      <w:r>
        <w:t xml:space="preserve"> </w:t>
      </w:r>
      <w:r>
        <w:t xml:space="preserve">Injury</w:t>
      </w:r>
      <w:r>
        <w:t xml:space="preserve"> </w:t>
      </w:r>
      <w:r>
        <w:t xml:space="preserve">Report</w:t>
      </w:r>
      <w:r>
        <w:t xml:space="preserve"> </w:t>
      </w:r>
      <w:r>
        <w:t xml:space="preserve">1</w:t>
      </w:r>
      <w:r>
        <w:t xml:space="preserve"> </w:t>
      </w:r>
      <w:r>
        <w:t xml:space="preserve">(2022)</w:t>
      </w:r>
      <w:r>
        <w:t xml:space="preserve">   </w:t>
      </w:r>
      <w:r>
        <w:tab/>
      </w:r>
      <w:r>
        <w:t xml:space="preserve">3</w:t>
      </w:r>
    </w:p>
    <w:p>
      <w:pPr>
        <w:keepLines/>
        <w:tabs>
          <w:tab w:val="right" w:leader="dot" w:pos="9360"/>
        </w:tabs>
        <w:spacing w:before="192" w:after="0" w:line="276" w:lineRule="exact"/>
        <w:ind w:left="720" w:right="1120" w:hanging="720"/>
      </w:pPr>
      <w:r>
        <w:t xml:space="preserve">Thomas</w:t>
      </w:r>
      <w:r>
        <w:t xml:space="preserve"> </w:t>
      </w:r>
      <w:r>
        <w:t xml:space="preserve">W.</w:t>
      </w:r>
      <w:r>
        <w:t xml:space="preserve"> </w:t>
      </w:r>
      <w:r>
        <w:t xml:space="preserve">Merrill,</w:t>
      </w:r>
      <w:r>
        <w:t xml:space="preserve"> </w:t>
      </w:r>
      <w:r>
        <w:t xml:space="preserve">The</w:t>
      </w:r>
      <w:r>
        <w:t xml:space="preserve"> </w:t>
      </w:r>
      <w:r>
        <w:t xml:space="preserve">New</w:t>
      </w:r>
      <w:r>
        <w:t xml:space="preserve"> </w:t>
      </w:r>
      <w:r>
        <w:t xml:space="preserve">Public</w:t>
      </w:r>
      <w:r>
        <w:t xml:space="preserve"> </w:t>
      </w:r>
      <w:r>
        <w:t xml:space="preserve">Nuisance:</w:t>
      </w:r>
      <w:r>
        <w:t xml:space="preserve"> </w:t>
      </w:r>
      <w:r>
        <w:t xml:space="preserve">Illegitimate</w:t>
      </w:r>
      <w:r>
        <w:t xml:space="preserve"> </w:t>
      </w:r>
      <w:r>
        <w:t xml:space="preserve">and</w:t>
      </w:r>
      <w:r>
        <w:t xml:space="preserve"> </w:t>
      </w:r>
      <w:r>
        <w:t xml:space="preserve">Dysfunctional,</w:t>
      </w:r>
      <w:r>
        <w:t xml:space="preserve"> </w:t>
      </w:r>
      <w:r>
        <w:t xml:space="preserve">132</w:t>
      </w:r>
      <w:r>
        <w:t xml:space="preserve"> </w:t>
      </w:r>
      <w:r>
        <w:t xml:space="preserve">Yale</w:t>
      </w:r>
      <w:r>
        <w:t xml:space="preserve"> </w:t>
      </w:r>
      <w:r>
        <w:t xml:space="preserve">L.J.</w:t>
      </w:r>
      <w:r>
        <w:t xml:space="preserve"> </w:t>
      </w:r>
      <w:r>
        <w:t xml:space="preserve">Forum</w:t>
      </w:r>
      <w:r>
        <w:t xml:space="preserve"> </w:t>
      </w:r>
      <w:r>
        <w:t xml:space="preserve">985</w:t>
      </w:r>
      <w:r>
        <w:t xml:space="preserve"> </w:t>
      </w:r>
      <w:r>
        <w:t xml:space="preserve">(2023)</w:t>
      </w:r>
      <w:r>
        <w:t xml:space="preserve">   </w:t>
      </w:r>
      <w:r>
        <w:tab/>
      </w:r>
      <w:r>
        <w:t xml:space="preserve">20</w:t>
      </w:r>
    </w:p>
    <w:p>
      <w:pPr>
        <w:keepLines/>
        <w:tabs>
          <w:tab w:val="right" w:leader="dot" w:pos="9360"/>
        </w:tabs>
        <w:spacing w:before="192" w:after="0" w:line="276" w:lineRule="exact"/>
        <w:ind w:left="720" w:right="1120" w:hanging="720"/>
      </w:pPr>
      <w:r>
        <w:t xml:space="preserve">Victor</w:t>
      </w:r>
      <w:r>
        <w:t xml:space="preserve"> </w:t>
      </w:r>
      <w:r>
        <w:t xml:space="preserve">E.</w:t>
      </w:r>
      <w:r>
        <w:t xml:space="preserve"> </w:t>
      </w:r>
      <w:r>
        <w:t xml:space="preserve">Schwartz</w:t>
      </w:r>
      <w:r>
        <w:t xml:space="preserve"> </w:t>
      </w:r>
      <w:r>
        <w:t xml:space="preserve">&amp;</w:t>
      </w:r>
      <w:r>
        <w:t xml:space="preserve"> </w:t>
      </w:r>
      <w:r>
        <w:t xml:space="preserve">Phil</w:t>
      </w:r>
      <w:r>
        <w:t xml:space="preserve"> </w:t>
      </w:r>
      <w:r>
        <w:t xml:space="preserve">Goldberg,</w:t>
      </w:r>
      <w:r>
        <w:t xml:space="preserve"> </w:t>
      </w:r>
      <w:r>
        <w:t xml:space="preserve">The</w:t>
      </w:r>
      <w:r>
        <w:t xml:space="preserve"> </w:t>
      </w:r>
      <w:r>
        <w:t xml:space="preserve">Law</w:t>
      </w:r>
      <w:r>
        <w:t xml:space="preserve"> </w:t>
      </w:r>
      <w:r>
        <w:t xml:space="preserve">of</w:t>
      </w:r>
      <w:r>
        <w:t xml:space="preserve"> </w:t>
      </w:r>
      <w:r>
        <w:t xml:space="preserve">Public</w:t>
      </w:r>
      <w:r>
        <w:t xml:space="preserve"> </w:t>
      </w:r>
      <w:r>
        <w:t xml:space="preserve">Nuisance:</w:t>
      </w:r>
      <w:r>
        <w:t xml:space="preserve"> </w:t>
      </w:r>
      <w:r>
        <w:t xml:space="preserve">Maintaining</w:t>
      </w:r>
      <w:r>
        <w:t xml:space="preserve"> </w:t>
      </w:r>
      <w:r>
        <w:t xml:space="preserve">Rational</w:t>
      </w:r>
      <w:r>
        <w:t xml:space="preserve"> </w:t>
      </w:r>
      <w:r>
        <w:t xml:space="preserve">Boundaries</w:t>
      </w:r>
      <w:r>
        <w:t xml:space="preserve"> </w:t>
      </w:r>
      <w:r>
        <w:t xml:space="preserve">on</w:t>
      </w:r>
      <w:r>
        <w:t xml:space="preserve"> </w:t>
      </w:r>
      <w:r>
        <w:t xml:space="preserve">a</w:t>
      </w:r>
      <w:r>
        <w:t xml:space="preserve"> </w:t>
      </w:r>
      <w:r>
        <w:t xml:space="preserve">Rational</w:t>
      </w:r>
      <w:r>
        <w:t xml:space="preserve"> </w:t>
      </w:r>
      <w:r>
        <w:t xml:space="preserve">Tort,</w:t>
      </w:r>
      <w:r>
        <w:t xml:space="preserve"> </w:t>
      </w:r>
      <w:r>
        <w:t xml:space="preserve">45</w:t>
      </w:r>
      <w:r>
        <w:t xml:space="preserve"> </w:t>
      </w:r>
      <w:r>
        <w:t xml:space="preserve">Washburn</w:t>
      </w:r>
      <w:r>
        <w:t xml:space="preserve"> </w:t>
      </w:r>
      <w:r>
        <w:t xml:space="preserve">L.J.</w:t>
      </w:r>
      <w:r>
        <w:t xml:space="preserve"> </w:t>
      </w:r>
      <w:r>
        <w:t xml:space="preserve">541</w:t>
      </w:r>
      <w:r>
        <w:t xml:space="preserve"> </w:t>
      </w:r>
      <w:r>
        <w:t xml:space="preserve">(2006)</w:t>
      </w:r>
      <w:r>
        <w:t xml:space="preserve">   </w:t>
      </w:r>
      <w:r>
        <w:tab/>
      </w:r>
      <w:r>
        <w:t xml:space="preserve">2</w:t>
      </w:r>
    </w:p>
    <w:p>
      <w:pPr>
        <w:keepLines/>
        <w:tabs>
          <w:tab w:val="right" w:leader="dot" w:pos="9360"/>
        </w:tabs>
        <w:spacing w:before="192" w:after="0" w:line="276" w:lineRule="exact"/>
        <w:ind w:left="720" w:right="1120" w:hanging="720"/>
      </w:pPr>
      <w:r>
        <w:t xml:space="preserve">Victor</w:t>
      </w:r>
      <w:r>
        <w:t xml:space="preserve"> </w:t>
      </w:r>
      <w:r>
        <w:t xml:space="preserve">E.</w:t>
      </w:r>
      <w:r>
        <w:t xml:space="preserve"> </w:t>
      </w:r>
      <w:r>
        <w:t xml:space="preserve">Schwartz</w:t>
      </w:r>
      <w:r>
        <w:t xml:space="preserve"> </w:t>
      </w:r>
      <w:r>
        <w:t xml:space="preserve">et.</w:t>
      </w:r>
      <w:r>
        <w:t xml:space="preserve"> </w:t>
      </w:r>
      <w:r>
        <w:t xml:space="preserve">al.,</w:t>
      </w:r>
      <w:r>
        <w:t xml:space="preserve"> </w:t>
      </w:r>
      <w:r>
        <w:t xml:space="preserve">Game</w:t>
      </w:r>
      <w:r>
        <w:t xml:space="preserve"> </w:t>
      </w:r>
      <w:r>
        <w:t xml:space="preserve">Over?</w:t>
      </w:r>
      <w:r>
        <w:t xml:space="preserve"> </w:t>
      </w:r>
      <w:r>
        <w:t xml:space="preserve">Why</w:t>
      </w:r>
      <w:r>
        <w:t xml:space="preserve"> </w:t>
      </w:r>
      <w:r>
        <w:t xml:space="preserve">Recent</w:t>
      </w:r>
      <w:r>
        <w:t xml:space="preserve"> </w:t>
      </w:r>
      <w:r>
        <w:t xml:space="preserve">State</w:t>
      </w:r>
      <w:r>
        <w:t xml:space="preserve"> </w:t>
      </w:r>
      <w:r>
        <w:t xml:space="preserve">Supreme</w:t>
      </w:r>
      <w:r>
        <w:t xml:space="preserve"> </w:t>
      </w:r>
      <w:r>
        <w:t xml:space="preserve">Court</w:t>
      </w:r>
      <w:r>
        <w:t xml:space="preserve"> </w:t>
      </w:r>
      <w:r>
        <w:t xml:space="preserve">Decisions</w:t>
      </w:r>
      <w:r>
        <w:t xml:space="preserve"> </w:t>
      </w:r>
      <w:r>
        <w:t xml:space="preserve">Should</w:t>
      </w:r>
      <w:r>
        <w:t xml:space="preserve"> </w:t>
      </w:r>
      <w:r>
        <w:t xml:space="preserve">End</w:t>
      </w:r>
      <w:r>
        <w:t xml:space="preserve"> </w:t>
      </w:r>
      <w:r>
        <w:t xml:space="preserve">the</w:t>
      </w:r>
      <w:r>
        <w:t xml:space="preserve"> </w:t>
      </w:r>
      <w:r>
        <w:t xml:space="preserve">Attempted</w:t>
      </w:r>
      <w:r>
        <w:t xml:space="preserve"> </w:t>
      </w:r>
      <w:r>
        <w:t xml:space="preserve">Expansion</w:t>
      </w:r>
      <w:r>
        <w:t xml:space="preserve"> </w:t>
      </w:r>
      <w:r>
        <w:t xml:space="preserve">of</w:t>
      </w:r>
      <w:r>
        <w:t xml:space="preserve"> </w:t>
      </w:r>
      <w:r>
        <w:t xml:space="preserve">Public</w:t>
      </w:r>
      <w:r>
        <w:t xml:space="preserve"> </w:t>
      </w:r>
      <w:r>
        <w:t xml:space="preserve">Nuisance</w:t>
      </w:r>
      <w:r>
        <w:t xml:space="preserve"> </w:t>
      </w:r>
      <w:r>
        <w:t xml:space="preserve">Law,</w:t>
      </w:r>
      <w:r>
        <w:t xml:space="preserve"> </w:t>
      </w:r>
      <w:r>
        <w:t xml:space="preserve">62</w:t>
      </w:r>
      <w:r>
        <w:t xml:space="preserve"> </w:t>
      </w:r>
      <w:r>
        <w:t xml:space="preserve">Okla.</w:t>
      </w:r>
      <w:r>
        <w:t xml:space="preserve"> </w:t>
      </w:r>
      <w:r>
        <w:t xml:space="preserve">L.</w:t>
      </w:r>
      <w:r>
        <w:t xml:space="preserve"> </w:t>
      </w:r>
      <w:r>
        <w:t xml:space="preserve">Rev.</w:t>
      </w:r>
      <w:r>
        <w:t xml:space="preserve"> </w:t>
      </w:r>
      <w:r>
        <w:t xml:space="preserve">629</w:t>
      </w:r>
      <w:r>
        <w:t xml:space="preserve"> </w:t>
      </w:r>
      <w:r>
        <w:t xml:space="preserve">(2010)</w:t>
      </w:r>
      <w:r>
        <w:t xml:space="preserve">   </w:t>
      </w:r>
      <w:r>
        <w:tab/>
      </w:r>
      <w:r>
        <w:t xml:space="preserve">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IDENTITY,</w:t>
      </w:r>
      <w:r>
        <w:rPr>
          <w:b/>
          <w:bCs/>
        </w:rPr>
        <w:t xml:space="preserve"> </w:t>
      </w:r>
      <w:r>
        <w:rPr>
          <w:b/>
          <w:bCs/>
        </w:rPr>
        <w:t xml:space="preserve">INTEREST,</w:t>
      </w:r>
      <w:r>
        <w:rPr>
          <w:b/>
          <w:bCs/>
        </w:rPr>
        <w:t xml:space="preserve"> </w:t>
      </w:r>
      <w:r>
        <w:rPr>
          <w:b/>
          <w:bCs/>
        </w:rPr>
        <w:t xml:space="preserve">AND</w:t>
      </w:r>
      <w:r>
        <w:rPr>
          <w:b/>
          <w:bCs/>
        </w:rPr>
        <w:t xml:space="preserve"> </w:t>
      </w:r>
      <w:r>
        <w:rPr>
          <w:b/>
          <w:bCs/>
        </w:rPr>
        <w:t xml:space="preserve">AUTHORITY</w:t>
      </w:r>
    </w:p>
    <w:p>
      <w:pPr>
        <w:pStyle w:val="BodyTextNote"/>
      </w:pPr>
      <w:r>
        <w:t xml:space="preserve">The American Tort Reform Association (“ATRA”) is a broad-based coalition of businesses, corporations, municipalities, associations, and professional firms that have pooled their resources to promote reform of the civil justice system with the goal of ensuring fairness, balance, and predictability in civil litigation. For more than three decades, ATRA has filed amicus briefs in cases involving important liability issues. This is one of those cases. ATRA has an interest in ensuring that, contrary to petitioner’s proposed scope of public nuisance law, West Virginia’s tort system is predictable, consistent with due process and the rule of law, and does not punish businesses for harms that they did not cause.</w:t>
      </w:r>
      <w:r>
        <w:rPr>
          <w:rStyle w:val="FootnoteReference"/>
        </w:rPr>
        <w:footnoteReference w:id="9"/>
      </w:r>
    </w:p>
    <w:p>
      <w:pPr>
        <w:keepNext/>
        <w:keepLines/>
        <w:spacing w:before="288" w:after="240" w:line="276" w:lineRule="exact"/>
        <w:ind w:left="0" w:firstLine="0"/>
        <w:jc w:val="center"/>
      </w:pPr>
      <w:r>
        <w:rPr>
          <w:b/>
          <w:bCs/>
        </w:rPr>
        <w:t xml:space="preserve">II.</w:t>
      </w:r>
      <w:r>
        <w:rPr>
          <w:b/>
          <w:bCs/>
        </w:rPr>
        <w:t xml:space="preserve"> </w:t>
      </w:r>
      <w:r>
        <w:rPr>
          <w:b/>
          <w:bCs/>
        </w:rPr>
        <w:t xml:space="preserve">ARGUMENT</w:t>
      </w:r>
    </w:p>
    <w:p>
      <w:pPr>
        <w:pStyle w:val="BodyText"/>
      </w:pPr>
      <w:r>
        <w:t xml:space="preserve">“However grave the problem of opioid addiction is in [this State], public nuisance law does not provide a remedy for this harm.”</w:t>
      </w:r>
      <w:r>
        <w:t xml:space="preserve"> </w:t>
      </w:r>
      <w:r>
        <w:rPr>
          <w:i/>
          <w:iCs/>
        </w:rPr>
        <w:t xml:space="preserve">State ex rel. Hunter v. Johnson</w:t>
      </w:r>
      <w:r>
        <w:rPr>
          <w:i/>
          <w:iCs/>
        </w:rPr>
        <w:t xml:space="preserve"> </w:t>
      </w:r>
      <w:r>
        <w:rPr>
          <w:i/>
          <w:iCs/>
        </w:rPr>
        <w:t xml:space="preserve">&amp; Johnson</w:t>
      </w:r>
      <w:r>
        <w:t xml:space="preserve">, 499 P.3d 719, 723 (Okla. 2021). Although this statement was penned by the Oklahoma Supreme Court, it applies with equal force in West Virginia. The simple answer to the Fourth Circuit’s straightforward question—”Under West Virginia’s common law, can conditions caused by the distribution of a controlled substance constitute a public nuisance”—is “no.” This Court never has extended public nuisance liability to the theory of liability propounded by petitioners here. Under the guise of public nuisance, petitioners and other state and municipal entities across the country are engaged in regulation by litigation, improperly displacing other law such as the law of products liability. This Court should exercise judicial restraint, apply relevant separation of powers principles, and decline to create a public nuisance “monster that would devour in one gulp the entire law of tort.”</w:t>
      </w:r>
      <w:r>
        <w:t xml:space="preserve"> </w:t>
      </w:r>
      <w:r>
        <w:rPr>
          <w:i/>
          <w:iCs/>
        </w:rPr>
        <w:t xml:space="preserve">Tioga</w:t>
      </w:r>
      <w:r>
        <w:rPr>
          <w:i/>
          <w:iCs/>
        </w:rPr>
        <w:t xml:space="preserve"> </w:t>
      </w:r>
      <w:r>
        <w:rPr>
          <w:i/>
          <w:iCs/>
        </w:rPr>
        <w:t xml:space="preserve">Pub. Sch. Dist. No. 15 of Williams Cnty., State of N.D. v. U.S. Gypsum Co.</w:t>
      </w:r>
      <w:r>
        <w:t xml:space="preserve">, 984 F.2d 915, 921 (8th Cir. 1993).</w:t>
      </w:r>
    </w:p>
    <w:p>
      <w:pPr>
        <w:keepNext/>
        <w:keepLines/>
        <w:spacing w:before="288" w:after="192" w:line="276" w:lineRule="exact"/>
        <w:ind w:left="720" w:hanging="720"/>
        <w:jc w:val="left"/>
      </w:pPr>
      <w:r>
        <w:rPr>
          <w:b/>
          <w:bCs/>
        </w:rPr>
        <w:t xml:space="preserve">A.</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Traditionally</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Limited</w:t>
      </w:r>
      <w:r>
        <w:rPr>
          <w:b/>
          <w:bCs/>
        </w:rPr>
        <w:t xml:space="preserve"> </w:t>
      </w:r>
      <w:r>
        <w:rPr>
          <w:b/>
          <w:bCs/>
        </w:rPr>
        <w:t xml:space="preserve">to</w:t>
      </w:r>
      <w:r>
        <w:rPr>
          <w:b/>
          <w:bCs/>
        </w:rPr>
        <w:t xml:space="preserve"> </w:t>
      </w:r>
      <w:r>
        <w:rPr>
          <w:b/>
          <w:bCs/>
        </w:rPr>
        <w:t xml:space="preserve">Conduct</w:t>
      </w:r>
      <w:r>
        <w:rPr>
          <w:b/>
          <w:bCs/>
        </w:rPr>
        <w:t xml:space="preserve"> </w:t>
      </w:r>
      <w:r>
        <w:rPr>
          <w:b/>
          <w:bCs/>
        </w:rPr>
        <w:t xml:space="preserve">that</w:t>
      </w:r>
      <w:r>
        <w:rPr>
          <w:b/>
          <w:bCs/>
        </w:rPr>
        <w:t xml:space="preserve"> </w:t>
      </w:r>
      <w:r>
        <w:rPr>
          <w:b/>
          <w:bCs/>
        </w:rPr>
        <w:t xml:space="preserve">Interferes</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Real</w:t>
      </w:r>
      <w:r>
        <w:rPr>
          <w:b/>
          <w:bCs/>
        </w:rPr>
        <w:t xml:space="preserve"> </w:t>
      </w:r>
      <w:r>
        <w:rPr>
          <w:b/>
          <w:bCs/>
        </w:rPr>
        <w:t xml:space="preserve">Property.</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Public</w:t>
      </w:r>
      <w:r>
        <w:rPr>
          <w:b/>
          <w:bCs/>
          <w:i/>
          <w:iCs/>
        </w:rPr>
        <w:t xml:space="preserve"> </w:t>
      </w:r>
      <w:r>
        <w:rPr>
          <w:b/>
          <w:bCs/>
          <w:i/>
          <w:iCs/>
        </w:rPr>
        <w:t xml:space="preserve">Nuisance</w:t>
      </w:r>
      <w:r>
        <w:rPr>
          <w:b/>
          <w:bCs/>
          <w:i/>
          <w:iCs/>
        </w:rPr>
        <w:t xml:space="preserve"> </w:t>
      </w:r>
      <w:r>
        <w:rPr>
          <w:b/>
          <w:bCs/>
          <w:i/>
          <w:iCs/>
        </w:rPr>
        <w:t xml:space="preserve">Is</w:t>
      </w:r>
      <w:r>
        <w:rPr>
          <w:b/>
          <w:bCs/>
          <w:i/>
          <w:iCs/>
        </w:rPr>
        <w:t xml:space="preserve"> </w:t>
      </w:r>
      <w:r>
        <w:rPr>
          <w:b/>
          <w:bCs/>
          <w:i/>
          <w:iCs/>
        </w:rPr>
        <w:t xml:space="preserve">About</w:t>
      </w:r>
      <w:r>
        <w:rPr>
          <w:b/>
          <w:bCs/>
          <w:i/>
          <w:iCs/>
        </w:rPr>
        <w:t xml:space="preserve"> </w:t>
      </w:r>
      <w:r>
        <w:rPr>
          <w:b/>
          <w:bCs/>
          <w:i/>
          <w:iCs/>
        </w:rPr>
        <w:t xml:space="preserve">Land,</w:t>
      </w:r>
      <w:r>
        <w:rPr>
          <w:b/>
          <w:bCs/>
          <w:i/>
          <w:iCs/>
        </w:rPr>
        <w:t xml:space="preserve"> </w:t>
      </w:r>
      <w:r>
        <w:rPr>
          <w:b/>
          <w:bCs/>
          <w:i/>
          <w:iCs/>
        </w:rPr>
        <w:t xml:space="preserve">Not</w:t>
      </w:r>
      <w:r>
        <w:rPr>
          <w:b/>
          <w:bCs/>
          <w:i/>
          <w:iCs/>
        </w:rPr>
        <w:t xml:space="preserve"> </w:t>
      </w:r>
      <w:r>
        <w:rPr>
          <w:b/>
          <w:bCs/>
          <w:i/>
          <w:iCs/>
        </w:rPr>
        <w:t xml:space="preserve">Products.</w:t>
      </w:r>
    </w:p>
    <w:p>
      <w:pPr>
        <w:pStyle w:val="BodyTextNote"/>
      </w:pPr>
      <w:r>
        <w:t xml:space="preserve">Public nuisance law developed in the 12th century in England as a means for the Crown to enjoin infringement on its land and to force an offending party to abate any damages.</w:t>
      </w:r>
      <w:r>
        <w:rPr>
          <w:rStyle w:val="FootnoteReference"/>
        </w:rPr>
        <w:footnoteReference w:id="10"/>
      </w:r>
      <w:r>
        <w:t xml:space="preserve"> </w:t>
      </w:r>
      <w:r>
        <w:t xml:space="preserve">As early American courts adopted the English common law, public nuisance retained its traditionally narrow scope: “to enjoin nontrespassory invasions on the use and enjoyment of public lands.”</w:t>
      </w:r>
      <w:r>
        <w:rPr>
          <w:rStyle w:val="FootnoteReference"/>
        </w:rPr>
        <w:footnoteReference w:id="11"/>
      </w:r>
      <w:r>
        <w:t xml:space="preserve"> </w:t>
      </w:r>
      <w:r>
        <w:t xml:space="preserve">The tort was limited to conduct that interfered with a “public right,” meaning a right to access shared resources like public roads and waterways.</w:t>
      </w:r>
      <w:r>
        <w:t xml:space="preserve"> </w:t>
      </w:r>
      <w:r>
        <w:rPr>
          <w:i/>
          <w:iCs/>
        </w:rPr>
        <w:t xml:space="preserve">See State v. Lead Indus. Ass’n</w:t>
      </w:r>
      <w:r>
        <w:t xml:space="preserve">, 951 A2d 428, 455</w:t>
      </w:r>
      <w:r>
        <w:t xml:space="preserve"> </w:t>
      </w:r>
      <w:r>
        <w:t xml:space="preserve">(R.I. 2007) (describing the “long-standing principle that a public right is a right of the public to shared resources such as air, water, or public rights of way”).</w:t>
      </w:r>
      <w:r>
        <w:rPr>
          <w:rStyle w:val="FootnoteReference"/>
        </w:rPr>
        <w:footnoteReference w:id="12"/>
      </w:r>
      <w:r>
        <w:t xml:space="preserve"> </w:t>
      </w:r>
      <w:r>
        <w:t xml:space="preserve">It existed primarily as an injunctive remedy permitting the government to abate interference with public resources.</w:t>
      </w:r>
      <w:r>
        <w:t xml:space="preserve"> </w:t>
      </w:r>
      <w:r>
        <w:rPr>
          <w:i/>
          <w:iCs/>
        </w:rPr>
        <w:t xml:space="preserve">State ex rel. AmerisourceBergen Drug Corp. v. Moats</w:t>
      </w:r>
      <w:r>
        <w:t xml:space="preserve">, 245 W. Va. 431, 441, 859 S.E.2d 374, 384 (2021) (“injunctive relief is frequently the means by which a public nuisance is prevented or abated”).</w:t>
      </w:r>
    </w:p>
    <w:p>
      <w:pPr>
        <w:pStyle w:val="BodyTextNote"/>
      </w:pPr>
      <w:r>
        <w:t xml:space="preserve">Public nuisance remained well defined for hundreds of years. But beginning in the 1970s, some plaintiff’s attorneys first began testing the novel theory that downstream harm caused by the sale of lawful products can constitute a public nuisance.</w:t>
      </w:r>
      <w:r>
        <w:rPr>
          <w:rStyle w:val="FootnoteReference"/>
        </w:rPr>
        <w:footnoteReference w:id="13"/>
      </w:r>
      <w:r>
        <w:t xml:space="preserve"> </w:t>
      </w:r>
      <w:r>
        <w:t xml:space="preserve">These cases came on the heels of the advent of strict products liability law, which emerged in the 1960s and “literally swept the country.”</w:t>
      </w:r>
      <w:r>
        <w:rPr>
          <w:rStyle w:val="FootnoteReference"/>
        </w:rPr>
        <w:footnoteReference w:id="14"/>
      </w:r>
      <w:r>
        <w:t xml:space="preserve"> </w:t>
      </w:r>
      <w:r>
        <w:t xml:space="preserve">These new public nuisance claims were, at least in part, an attempt to sidestep the elements of strict products liability, negligence, and failure to warn causes of action.</w:t>
      </w:r>
      <w:r>
        <w:rPr>
          <w:rStyle w:val="FootnoteReference"/>
        </w:rPr>
        <w:footnoteReference w:id="15"/>
      </w:r>
      <w:r>
        <w:t xml:space="preserve"> </w:t>
      </w:r>
      <w:r>
        <w:t xml:space="preserve">New public nuisance lawsuits typically target companies that “manufacture products that may be used by third parties to harm others or that . . . plaintiffs view as contributing to some larger social ill.”</w:t>
      </w:r>
      <w:r>
        <w:rPr>
          <w:rStyle w:val="FootnoteReference"/>
        </w:rPr>
        <w:footnoteReference w:id="16"/>
      </w:r>
      <w:r>
        <w:t xml:space="preserve"> </w:t>
      </w:r>
      <w:r>
        <w:t xml:space="preserve">Public nuisance lawsuits have targeted gun manufacturers for harm caused by gun violence,</w:t>
      </w:r>
      <w:r>
        <w:rPr>
          <w:rStyle w:val="FootnoteReference"/>
        </w:rPr>
        <w:footnoteReference w:id="17"/>
      </w:r>
      <w:r>
        <w:t xml:space="preserve"> </w:t>
      </w:r>
      <w:r>
        <w:t xml:space="preserve">energy producers for allegedly contributing to climate change,</w:t>
      </w:r>
      <w:r>
        <w:rPr>
          <w:rStyle w:val="FootnoteReference"/>
        </w:rPr>
        <w:footnoteReference w:id="18"/>
      </w:r>
      <w:r>
        <w:t xml:space="preserve"> </w:t>
      </w:r>
      <w:r>
        <w:t xml:space="preserve">lead paint and pigment manufacturers for harm caused to children by the ingestion of old paint,</w:t>
      </w:r>
      <w:r>
        <w:rPr>
          <w:rStyle w:val="FootnoteReference"/>
        </w:rPr>
        <w:footnoteReference w:id="19"/>
      </w:r>
      <w:r>
        <w:t xml:space="preserve"> </w:t>
      </w:r>
      <w:r>
        <w:t xml:space="preserve">asbestos producers for exposure-related diseases,</w:t>
      </w:r>
      <w:r>
        <w:rPr>
          <w:rStyle w:val="FootnoteReference"/>
        </w:rPr>
        <w:footnoteReference w:id="20"/>
      </w:r>
      <w:r>
        <w:t xml:space="preserve"> </w:t>
      </w:r>
      <w:r>
        <w:t xml:space="preserve">and cigarette manufacturers for medical costs associated with treating smokers.</w:t>
      </w:r>
      <w:r>
        <w:rPr>
          <w:rStyle w:val="FootnoteReference"/>
        </w:rPr>
        <w:footnoteReference w:id="21"/>
      </w:r>
      <w:r>
        <w:t xml:space="preserve"> </w:t>
      </w:r>
      <w:r>
        <w:t xml:space="preserve">Overall, these new public nuisance lawsuits have failed.</w:t>
      </w:r>
      <w:r>
        <w:rPr>
          <w:rStyle w:val="FootnoteReference"/>
        </w:rPr>
        <w:footnoteReference w:id="22"/>
      </w:r>
      <w:r>
        <w:t xml:space="preserve"> </w:t>
      </w:r>
      <w:r>
        <w:t xml:space="preserve">But some large settlements have kept the public nuisance movement alive. Most importantly, the tobacco litigation brought by forty-six States against the industry led to a $246 billion settlement in 1998.</w:t>
      </w:r>
      <w:r>
        <w:rPr>
          <w:rStyle w:val="FootnoteReference"/>
        </w:rPr>
        <w:footnoteReference w:id="23"/>
      </w:r>
      <w:r>
        <w:t xml:space="preserve"> </w:t>
      </w:r>
      <w:r>
        <w:t xml:space="preserve">Although the only court addressing the validity of the plaintiffs’ public nuisance theory in the tobacco litigation rejected it,</w:t>
      </w:r>
      <w:r>
        <w:rPr>
          <w:rStyle w:val="FootnoteReference"/>
        </w:rPr>
        <w:footnoteReference w:id="24"/>
      </w:r>
      <w:r>
        <w:t xml:space="preserve"> </w:t>
      </w:r>
      <w:r>
        <w:t xml:space="preserve">the enormous settlement fueled subsequent public nuisance litigation.</w:t>
      </w:r>
      <w:r>
        <w:rPr>
          <w:rStyle w:val="FootnoteReference"/>
        </w:rPr>
        <w:footnoteReference w:id="25"/>
      </w:r>
    </w:p>
    <w:p>
      <w:pPr>
        <w:pStyle w:val="BodyTextNote"/>
      </w:pPr>
      <w:r>
        <w:t xml:space="preserve">Opioids are the latest subject of public nuisance attack. Like the tobacco litigation, a national settlement totaling over $50 billion has resolved many claims, but many remain.</w:t>
      </w:r>
      <w:r>
        <w:rPr>
          <w:rStyle w:val="FootnoteReference"/>
        </w:rPr>
        <w:footnoteReference w:id="26"/>
      </w:r>
      <w:r>
        <w:t xml:space="preserve"> </w:t>
      </w:r>
      <w:r>
        <w:t xml:space="preserve">Notably, the Oklahoma Supreme Court, the only high court thus far to address an opioid public nuisance claim, rejected it, reversing a $465 million verdict against Johnson &amp; Johnson, reasoning that: public nuisance “has historically been linked to the use of land by the one creating the nuisance” and that “[c]ourts have limited public nuisance claims to these traditional bounds”; public nuisances “have no beneficial use and only cause annoyance, injury, or endangerment,” but here “the lawful products, prescription opioids, have a beneficial use of treating pain”; and if applied to lawful products “would create unlimited and unprincipled liability for product manufacturers.”</w:t>
      </w:r>
      <w:r>
        <w:t xml:space="preserve"> </w:t>
      </w:r>
      <w:r>
        <w:rPr>
          <w:i/>
          <w:iCs/>
        </w:rPr>
        <w:t xml:space="preserve">Johnson &amp; Johnson</w:t>
      </w:r>
      <w:r>
        <w:t xml:space="preserve">, 499 P.3d at 724–24.</w:t>
      </w:r>
      <w:r>
        <w:rPr>
          <w:rStyle w:val="FootnoteReference"/>
        </w:rPr>
        <w:footnoteReference w:id="27"/>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Never</w:t>
      </w:r>
      <w:r>
        <w:rPr>
          <w:b/>
          <w:bCs/>
          <w:i/>
          <w:iCs/>
        </w:rPr>
        <w:t xml:space="preserve"> </w:t>
      </w:r>
      <w:r>
        <w:rPr>
          <w:b/>
          <w:bCs/>
          <w:i/>
          <w:iCs/>
        </w:rPr>
        <w:t xml:space="preserve">Has</w:t>
      </w:r>
      <w:r>
        <w:rPr>
          <w:b/>
          <w:bCs/>
          <w:i/>
          <w:iCs/>
        </w:rPr>
        <w:t xml:space="preserve"> </w:t>
      </w:r>
      <w:r>
        <w:rPr>
          <w:b/>
          <w:bCs/>
          <w:i/>
          <w:iCs/>
        </w:rPr>
        <w:t xml:space="preserve">Applied</w:t>
      </w:r>
      <w:r>
        <w:rPr>
          <w:b/>
          <w:bCs/>
          <w:i/>
          <w:iCs/>
        </w:rPr>
        <w:t xml:space="preserve"> </w:t>
      </w:r>
      <w:r>
        <w:rPr>
          <w:b/>
          <w:bCs/>
          <w:i/>
          <w:iCs/>
        </w:rPr>
        <w:t xml:space="preserve">Public</w:t>
      </w:r>
      <w:r>
        <w:rPr>
          <w:b/>
          <w:bCs/>
          <w:i/>
          <w:iCs/>
        </w:rPr>
        <w:t xml:space="preserve"> </w:t>
      </w:r>
      <w:r>
        <w:rPr>
          <w:b/>
          <w:bCs/>
          <w:i/>
          <w:iCs/>
        </w:rPr>
        <w:t xml:space="preserve">Nuisance</w:t>
      </w:r>
      <w:r>
        <w:rPr>
          <w:b/>
          <w:bCs/>
          <w:i/>
          <w:iCs/>
        </w:rPr>
        <w:t xml:space="preserve"> </w:t>
      </w:r>
      <w:r>
        <w:rPr>
          <w:b/>
          <w:bCs/>
          <w:i/>
          <w:iCs/>
        </w:rPr>
        <w:t xml:space="preserve">Law</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Manufacturing,</w:t>
      </w:r>
      <w:r>
        <w:rPr>
          <w:b/>
          <w:bCs/>
          <w:i/>
          <w:iCs/>
        </w:rPr>
        <w:t xml:space="preserve"> </w:t>
      </w:r>
      <w:r>
        <w:rPr>
          <w:b/>
          <w:bCs/>
          <w:i/>
          <w:iCs/>
        </w:rPr>
        <w:t xml:space="preserve">Distributing,</w:t>
      </w:r>
      <w:r>
        <w:rPr>
          <w:b/>
          <w:bCs/>
          <w:i/>
          <w:iCs/>
        </w:rPr>
        <w:t xml:space="preserve"> </w:t>
      </w:r>
      <w:r>
        <w:rPr>
          <w:b/>
          <w:bCs/>
          <w:i/>
          <w:iCs/>
        </w:rPr>
        <w:t xml:space="preserve">or</w:t>
      </w:r>
      <w:r>
        <w:rPr>
          <w:b/>
          <w:bCs/>
          <w:i/>
          <w:iCs/>
        </w:rPr>
        <w:t xml:space="preserve"> </w:t>
      </w:r>
      <w:r>
        <w:rPr>
          <w:b/>
          <w:bCs/>
          <w:i/>
          <w:iCs/>
        </w:rPr>
        <w:t xml:space="preserve">Selling</w:t>
      </w:r>
      <w:r>
        <w:rPr>
          <w:b/>
          <w:bCs/>
          <w:i/>
          <w:iCs/>
        </w:rPr>
        <w:t xml:space="preserve"> </w:t>
      </w:r>
      <w:r>
        <w:rPr>
          <w:b/>
          <w:bCs/>
          <w:i/>
          <w:iCs/>
        </w:rPr>
        <w:t xml:space="preserve">of</w:t>
      </w:r>
      <w:r>
        <w:rPr>
          <w:b/>
          <w:bCs/>
          <w:i/>
          <w:iCs/>
        </w:rPr>
        <w:t xml:space="preserve"> </w:t>
      </w:r>
      <w:r>
        <w:rPr>
          <w:b/>
          <w:bCs/>
          <w:i/>
          <w:iCs/>
        </w:rPr>
        <w:t xml:space="preserve">Lawful</w:t>
      </w:r>
      <w:r>
        <w:rPr>
          <w:b/>
          <w:bCs/>
          <w:i/>
          <w:iCs/>
        </w:rPr>
        <w:t xml:space="preserve"> </w:t>
      </w:r>
      <w:r>
        <w:rPr>
          <w:b/>
          <w:bCs/>
          <w:i/>
          <w:iCs/>
        </w:rPr>
        <w:t xml:space="preserve">Products.</w:t>
      </w:r>
    </w:p>
    <w:p>
      <w:pPr>
        <w:pStyle w:val="BodyText"/>
      </w:pPr>
      <w:r>
        <w:t xml:space="preserve">Although this Court has not defined public nuisance consistently, its application of the doctrine has been consistent with public nuisance law elsewhere. Specifically, this Court has only applied public nuisance to claims involving the use or misuse of real property. At different times and in different opinions, this Court has said that a public nuisance:</w:t>
      </w:r>
    </w:p>
    <w:p>
      <w:pPr>
        <w:pStyle w:val="BodyText"/>
      </w:pPr>
      <w:r>
        <w:t xml:space="preserve">“is anything which annoys or disturbs the free use of one’s property, or which renders its ordinary use or physical occupation uncomfortable,”</w:t>
      </w:r>
      <w:r>
        <w:t xml:space="preserve"> </w:t>
      </w:r>
      <w:r>
        <w:rPr>
          <w:i/>
          <w:iCs/>
        </w:rPr>
        <w:t xml:space="preserve">Sharon Steel</w:t>
      </w:r>
      <w:r>
        <w:rPr>
          <w:i/>
          <w:iCs/>
        </w:rPr>
        <w:t xml:space="preserve"> </w:t>
      </w:r>
      <w:r>
        <w:rPr>
          <w:i/>
          <w:iCs/>
        </w:rPr>
        <w:t xml:space="preserve">Corp. v. City of Fairmont</w:t>
      </w:r>
      <w:r>
        <w:t xml:space="preserve">, 175 W. Va. 479, 483, 334 S.E.2d 616, 621 (1985) (quoting</w:t>
      </w:r>
      <w:r>
        <w:t xml:space="preserve"> </w:t>
      </w:r>
      <w:r>
        <w:rPr>
          <w:i/>
          <w:iCs/>
        </w:rPr>
        <w:t xml:space="preserve">Martin v. Williams</w:t>
      </w:r>
      <w:r>
        <w:t xml:space="preserve">, 141 W. Va. 595, 610–11, 93 S.E.2d 835, 844 (1956));</w:t>
      </w:r>
    </w:p>
    <w:p>
      <w:pPr>
        <w:pStyle w:val="BodyText"/>
      </w:pPr>
      <w:r>
        <w:t xml:space="preserve">“is anything which interferes with the rights of a citizen, either in person, property, the enjoyment of his property, or his comfort,”</w:t>
      </w:r>
      <w:r>
        <w:t xml:space="preserve"> </w:t>
      </w:r>
      <w:r>
        <w:rPr>
          <w:i/>
          <w:iCs/>
        </w:rPr>
        <w:t xml:space="preserve">id.</w:t>
      </w:r>
      <w:r>
        <w:t xml:space="preserve"> </w:t>
      </w:r>
      <w:r>
        <w:t xml:space="preserve">(quoting</w:t>
      </w:r>
      <w:r>
        <w:t xml:space="preserve"> </w:t>
      </w:r>
      <w:r>
        <w:rPr>
          <w:i/>
          <w:iCs/>
        </w:rPr>
        <w:t xml:space="preserve">Williams</w:t>
      </w:r>
      <w:r>
        <w:t xml:space="preserve">, 141 W. Va. at 610–11, 93 S.E.2d at 844);</w:t>
      </w:r>
    </w:p>
    <w:p>
      <w:pPr>
        <w:pStyle w:val="BodyText"/>
      </w:pPr>
      <w:r>
        <w:t xml:space="preserve">“is an act or condition that unlawfully operates to hurt or inconvenience an indefinite number of persons,”</w:t>
      </w:r>
      <w:r>
        <w:t xml:space="preserve"> </w:t>
      </w:r>
      <w:r>
        <w:rPr>
          <w:i/>
          <w:iCs/>
        </w:rPr>
        <w:t xml:space="preserve">Duff v.</w:t>
      </w:r>
      <w:r>
        <w:rPr>
          <w:i/>
          <w:iCs/>
        </w:rPr>
        <w:t xml:space="preserve"> </w:t>
      </w:r>
      <w:r>
        <w:rPr>
          <w:i/>
          <w:iCs/>
        </w:rPr>
        <w:t xml:space="preserve">Morgantown Energy Assocs. (M.E.A.)</w:t>
      </w:r>
      <w:r>
        <w:t xml:space="preserve">, 187 W. Va. 712, 716, 421 S.E.2d 253, 257 (1992);</w:t>
      </w:r>
    </w:p>
    <w:p>
      <w:pPr>
        <w:pStyle w:val="BodyText"/>
      </w:pPr>
      <w:r>
        <w:t xml:space="preserve">“usually seeks to have some harm which affects the public health and safety abated,”</w:t>
      </w:r>
      <w:r>
        <w:t xml:space="preserve"> </w:t>
      </w:r>
      <w:r>
        <w:rPr>
          <w:i/>
          <w:iCs/>
        </w:rPr>
        <w:t xml:space="preserve">State ex rel. Smith v. Kermit Lumber</w:t>
      </w:r>
      <w:r>
        <w:rPr>
          <w:i/>
          <w:iCs/>
        </w:rPr>
        <w:t xml:space="preserve"> </w:t>
      </w:r>
      <w:r>
        <w:rPr>
          <w:i/>
          <w:iCs/>
        </w:rPr>
        <w:t xml:space="preserve">&amp; Pressure Treating Co.</w:t>
      </w:r>
      <w:r>
        <w:t xml:space="preserve">, 200 W. Va. 221, 245, 488 S.E.2d 901, 925 (1997); and,</w:t>
      </w:r>
    </w:p>
    <w:p>
      <w:pPr>
        <w:pStyle w:val="BodyText"/>
      </w:pPr>
      <w:r>
        <w:t xml:space="preserve">“does not have an exact definition,”</w:t>
      </w:r>
      <w:r>
        <w:t xml:space="preserve"> </w:t>
      </w:r>
      <w:r>
        <w:rPr>
          <w:i/>
          <w:iCs/>
        </w:rPr>
        <w:t xml:space="preserve">Id.</w:t>
      </w:r>
      <w:r>
        <w:t xml:space="preserve"> </w:t>
      </w:r>
      <w:r>
        <w:t xml:space="preserve">at 245 n.28, 488 S.E.2d at 925 n.28.</w:t>
      </w:r>
    </w:p>
    <w:p>
      <w:pPr>
        <w:pStyle w:val="BodyText"/>
      </w:pPr>
      <w:r>
        <w:t xml:space="preserve">Despite the difference in the language used by this Court to define public nuisance over the years, one thing has remained constant: this Court has never applied public nuisance law to the manufacturing, distributing, and selling of lawful products.</w:t>
      </w:r>
    </w:p>
    <w:p>
      <w:pPr>
        <w:pStyle w:val="BodyText"/>
      </w:pPr>
      <w:r>
        <w:t xml:space="preserve">Petitioners have not cited any authority where this Court has applied public nuisance law to harm allegedly caused by a lawful product. Instead, petitioners rely on the relatively broad language this Court has used to define public nuisance, and to West Virginia district court decisions declining to reject public nuisance opioid claims as a matter of law.</w:t>
      </w:r>
      <w:r>
        <w:t xml:space="preserve"> </w:t>
      </w:r>
      <w:r>
        <w:rPr>
          <w:i/>
          <w:iCs/>
        </w:rPr>
        <w:t xml:space="preserve">See</w:t>
      </w:r>
      <w:r>
        <w:t xml:space="preserve"> </w:t>
      </w:r>
      <w:r>
        <w:t xml:space="preserve">Petitioner’s Brief (“PB”) 15–19. But district court decisions are not binding on this Court. And the certified question in this case arises from Judge Faber’s thorough and well-reasoned application of West Virginia public nuisance law. Most importantly, a review of the underlying claims that this Court has approved as constituting a public nuisance tells a different story than the one told by petitioners.</w:t>
      </w:r>
    </w:p>
    <w:p>
      <w:pPr>
        <w:pStyle w:val="BodyTextNote"/>
      </w:pPr>
      <w:r>
        <w:t xml:space="preserve">As is clear from this Court’s lengthy string cite of cases in</w:t>
      </w:r>
      <w:r>
        <w:t xml:space="preserve"> </w:t>
      </w:r>
      <w:r>
        <w:rPr>
          <w:i/>
          <w:iCs/>
        </w:rPr>
        <w:t xml:space="preserve">Sharon Steel</w:t>
      </w:r>
      <w:r>
        <w:rPr>
          <w:i/>
          <w:iCs/>
        </w:rPr>
        <w:t xml:space="preserve"> </w:t>
      </w:r>
      <w:r>
        <w:rPr>
          <w:i/>
          <w:iCs/>
        </w:rPr>
        <w:t xml:space="preserve">Corp.</w:t>
      </w:r>
      <w:r>
        <w:t xml:space="preserve">, public nuisance is about land and real property, not products liability. 175 W. Va. at 483–84, 334 S.E.2d at 621 (citing and describing this Court’s nuisance precedent). Early cases from this Court made clear that public nuisance is only available to abate interferences with land and real property. For example, in</w:t>
      </w:r>
      <w:r>
        <w:t xml:space="preserve"> </w:t>
      </w:r>
      <w:r>
        <w:rPr>
          <w:i/>
          <w:iCs/>
        </w:rPr>
        <w:t xml:space="preserve">State v. Ehrlick</w:t>
      </w:r>
      <w:r>
        <w:t xml:space="preserve">, this Court described it as “elementary” that the subject matter jurisdiction of courts of equity (i.e., “the court of chancery”) is “civil property.” 65 W. Va. 700, 64 S.E. 935, 938–39 (1909) (emphasis added).</w:t>
      </w:r>
      <w:r>
        <w:rPr>
          <w:rStyle w:val="FootnoteReference"/>
        </w:rPr>
        <w:footnoteReference w:id="28"/>
      </w:r>
      <w:r>
        <w:t xml:space="preserve"> </w:t>
      </w:r>
      <w:r>
        <w:t xml:space="preserve">This Court further stated that courts of equity “are conversant only with questions of property and the maintenance of civil rights”; “[i]njury to property, whether actual or prospective, is the foundation on which the jurisdiction rests”; courts of equity have “no jurisdiction in matters merely criminal or merely immoral, which do not affect any right to property”; and “[n]or do matters of a political character come within the jurisdiction of a court of chancery.”</w:t>
      </w:r>
      <w:r>
        <w:t xml:space="preserve"> </w:t>
      </w:r>
      <w:r>
        <w:rPr>
          <w:i/>
          <w:iCs/>
        </w:rPr>
        <w:t xml:space="preserve">Id.</w:t>
      </w:r>
      <w:r>
        <w:t xml:space="preserve"> </w:t>
      </w:r>
      <w:r>
        <w:t xml:space="preserve">(emphasis added) (quotations and citations omitted).</w:t>
      </w:r>
    </w:p>
    <w:p>
      <w:pPr>
        <w:pStyle w:val="BodyText"/>
      </w:pPr>
      <w:r>
        <w:t xml:space="preserve">In short, the jurisdiction of West Virginia courts to issue an equitable injunction and order abatement is limited to public nuisances involving property rights, the classic case being the abatement of “purprestures, signifying inclosures.”</w:t>
      </w:r>
      <w:r>
        <w:t xml:space="preserve"> </w:t>
      </w:r>
      <w:r>
        <w:rPr>
          <w:i/>
          <w:iCs/>
        </w:rPr>
        <w:t xml:space="preserve">Id.</w:t>
      </w:r>
      <w:r>
        <w:t xml:space="preserve">, 64 S.E. at 939. The government may proceed in equity to abate a public nuisance against “[o]ne who erects a structure in a street, road, park, harbor, or river, or makes inclosures thereon,” because such a person may be said “to take over to himself, or inclose for his sole benefit, the portion so occupied, and withdraw it from the use and enjoyment of all the citizens, to the injury and detriment of the general public.”</w:t>
      </w:r>
      <w:r>
        <w:t xml:space="preserve"> </w:t>
      </w:r>
      <w:r>
        <w:rPr>
          <w:i/>
          <w:iCs/>
        </w:rPr>
        <w:t xml:space="preserve">Id.</w:t>
      </w:r>
      <w:r>
        <w:t xml:space="preserve"> </w:t>
      </w:r>
      <w:r>
        <w:t xml:space="preserve">(citing Story’s Equity Jurisprudence).</w:t>
      </w:r>
    </w:p>
    <w:p>
      <w:pPr>
        <w:pStyle w:val="BodyText"/>
      </w:pPr>
      <w:r>
        <w:t xml:space="preserve">Similarly, in</w:t>
      </w:r>
      <w:r>
        <w:t xml:space="preserve"> </w:t>
      </w:r>
      <w:r>
        <w:rPr>
          <w:i/>
          <w:iCs/>
        </w:rPr>
        <w:t xml:space="preserve">State v. Baltimore &amp; Ohio Railroad Co.</w:t>
      </w:r>
      <w:r>
        <w:t xml:space="preserve">, this Court held that a mere criminal act—such as carrying liquor on a common carrier—does not authorize a court of equity to issue an injunction and order abatement. 78 W. Va. 526, 89 S.E. 288, 292 (1916). Instead, to authorize such an imposition, “the nuisance, whether public or private, must injure property or substantially interfere with the enjoyment thereof, directly or indirectly, or constitute a purpresture, excluding citizens from the enjoyment of their civil rights in highways and other public grounds and places, or otherwise interfere with the enjoyment of such rights, or obstruct the transaction of public business.”</w:t>
      </w:r>
      <w:r>
        <w:t xml:space="preserve"> </w:t>
      </w:r>
      <w:r>
        <w:rPr>
          <w:i/>
          <w:iCs/>
        </w:rPr>
        <w:t xml:space="preserve">Id.</w:t>
      </w:r>
      <w:r>
        <w:t xml:space="preserve"> </w:t>
      </w:r>
      <w:r>
        <w:t xml:space="preserve">(emphasis added). In other words, public nuisance is an equitable remedy whereby an injunction and abatement order may be issued where a cognizable nuisance has either injured property or substantially interfered with the enjoyment of it. The sale of a product—even if the sale is illegal—is not a public nuisance under West Virginia law.</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Attempted</w:t>
      </w:r>
      <w:r>
        <w:rPr>
          <w:b/>
          <w:bCs/>
        </w:rPr>
        <w:t xml:space="preserve"> </w:t>
      </w:r>
      <w:r>
        <w:rPr>
          <w:b/>
          <w:bCs/>
        </w:rPr>
        <w:t xml:space="preserve">Expansion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to</w:t>
      </w:r>
      <w:r>
        <w:rPr>
          <w:b/>
          <w:bCs/>
        </w:rPr>
        <w:t xml:space="preserve"> </w:t>
      </w:r>
      <w:r>
        <w:rPr>
          <w:b/>
          <w:bCs/>
        </w:rPr>
        <w:t xml:space="preserve">Claims</w:t>
      </w:r>
      <w:r>
        <w:rPr>
          <w:b/>
          <w:bCs/>
        </w:rPr>
        <w:t xml:space="preserve"> </w:t>
      </w:r>
      <w:r>
        <w:rPr>
          <w:b/>
          <w:bCs/>
        </w:rPr>
        <w:t xml:space="preserve">Against</w:t>
      </w:r>
      <w:r>
        <w:rPr>
          <w:b/>
          <w:bCs/>
        </w:rPr>
        <w:t xml:space="preserve"> </w:t>
      </w:r>
      <w:r>
        <w:rPr>
          <w:b/>
          <w:bCs/>
        </w:rPr>
        <w:t xml:space="preserve">Product</w:t>
      </w:r>
      <w:r>
        <w:rPr>
          <w:b/>
          <w:bCs/>
        </w:rPr>
        <w:t xml:space="preserve"> </w:t>
      </w:r>
      <w:r>
        <w:rPr>
          <w:b/>
          <w:bCs/>
        </w:rPr>
        <w:t xml:space="preserve">Manufacturers</w:t>
      </w:r>
      <w:r>
        <w:rPr>
          <w:b/>
          <w:bCs/>
        </w:rPr>
        <w:t xml:space="preserve"> </w:t>
      </w:r>
      <w:r>
        <w:rPr>
          <w:b/>
          <w:bCs/>
        </w:rPr>
        <w:t xml:space="preserve">Is</w:t>
      </w:r>
      <w:r>
        <w:rPr>
          <w:b/>
          <w:bCs/>
        </w:rPr>
        <w:t xml:space="preserve"> </w:t>
      </w:r>
      <w:r>
        <w:rPr>
          <w:b/>
          <w:bCs/>
        </w:rPr>
        <w:t xml:space="preserve">Designed</w:t>
      </w:r>
      <w:r>
        <w:rPr>
          <w:b/>
          <w:bCs/>
        </w:rPr>
        <w:t xml:space="preserve"> </w:t>
      </w:r>
      <w:r>
        <w:rPr>
          <w:b/>
          <w:bCs/>
        </w:rPr>
        <w:t xml:space="preserve">to</w:t>
      </w:r>
      <w:r>
        <w:rPr>
          <w:b/>
          <w:bCs/>
        </w:rPr>
        <w:t xml:space="preserve"> </w:t>
      </w:r>
      <w:r>
        <w:rPr>
          <w:b/>
          <w:bCs/>
        </w:rPr>
        <w:t xml:space="preserve">Evade</w:t>
      </w:r>
      <w:r>
        <w:rPr>
          <w:b/>
          <w:bCs/>
        </w:rPr>
        <w:t xml:space="preserve"> </w:t>
      </w:r>
      <w:r>
        <w:rPr>
          <w:b/>
          <w:bCs/>
        </w:rPr>
        <w:t xml:space="preserve">Product</w:t>
      </w:r>
      <w:r>
        <w:rPr>
          <w:b/>
          <w:bCs/>
        </w:rPr>
        <w:t xml:space="preserve"> </w:t>
      </w:r>
      <w:r>
        <w:rPr>
          <w:b/>
          <w:bCs/>
        </w:rPr>
        <w:t xml:space="preserve">Liability</w:t>
      </w:r>
      <w:r>
        <w:rPr>
          <w:b/>
          <w:bCs/>
        </w:rPr>
        <w:t xml:space="preserve"> </w:t>
      </w:r>
      <w:r>
        <w:rPr>
          <w:b/>
          <w:bCs/>
        </w:rPr>
        <w:t xml:space="preserve">and</w:t>
      </w:r>
      <w:r>
        <w:rPr>
          <w:b/>
          <w:bCs/>
        </w:rPr>
        <w:t xml:space="preserve"> </w:t>
      </w:r>
      <w:r>
        <w:rPr>
          <w:b/>
          <w:bCs/>
        </w:rPr>
        <w:t xml:space="preserve">Regulatory</w:t>
      </w:r>
      <w:r>
        <w:rPr>
          <w:b/>
          <w:bCs/>
        </w:rPr>
        <w:t xml:space="preserve"> </w:t>
      </w:r>
      <w:r>
        <w:rPr>
          <w:b/>
          <w:bCs/>
        </w:rPr>
        <w:t xml:space="preserve">Law.</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Adopted</w:t>
      </w:r>
      <w:r>
        <w:rPr>
          <w:b/>
          <w:bCs/>
          <w:i/>
          <w:iCs/>
        </w:rPr>
        <w:t xml:space="preserve"> </w:t>
      </w:r>
      <w:r>
        <w:rPr>
          <w:b/>
          <w:bCs/>
          <w:i/>
          <w:iCs/>
        </w:rPr>
        <w:t xml:space="preserve">the</w:t>
      </w:r>
      <w:r>
        <w:rPr>
          <w:b/>
          <w:bCs/>
          <w:i/>
          <w:iCs/>
        </w:rPr>
        <w:t xml:space="preserve"> </w:t>
      </w:r>
      <w:r>
        <w:rPr>
          <w:b/>
          <w:bCs/>
          <w:i/>
          <w:iCs/>
        </w:rPr>
        <w:t xml:space="preserve">Law</w:t>
      </w:r>
      <w:r>
        <w:rPr>
          <w:b/>
          <w:bCs/>
          <w:i/>
          <w:iCs/>
        </w:rPr>
        <w:t xml:space="preserve"> </w:t>
      </w:r>
      <w:r>
        <w:rPr>
          <w:b/>
          <w:bCs/>
          <w:i/>
          <w:iCs/>
        </w:rPr>
        <w:t xml:space="preserve">of</w:t>
      </w:r>
      <w:r>
        <w:rPr>
          <w:b/>
          <w:bCs/>
          <w:i/>
          <w:iCs/>
        </w:rPr>
        <w:t xml:space="preserve"> </w:t>
      </w:r>
      <w:r>
        <w:rPr>
          <w:b/>
          <w:bCs/>
          <w:i/>
          <w:iCs/>
        </w:rPr>
        <w:t xml:space="preserve">Products</w:t>
      </w:r>
      <w:r>
        <w:rPr>
          <w:b/>
          <w:bCs/>
          <w:i/>
          <w:iCs/>
        </w:rPr>
        <w:t xml:space="preserve"> </w:t>
      </w:r>
      <w:r>
        <w:rPr>
          <w:b/>
          <w:bCs/>
          <w:i/>
          <w:iCs/>
        </w:rPr>
        <w:t xml:space="preserve">Liability.</w:t>
      </w:r>
    </w:p>
    <w:p>
      <w:pPr>
        <w:pStyle w:val="BodyText"/>
      </w:pPr>
      <w:r>
        <w:t xml:space="preserve">Products liability causes of action are well developed around the country and in West Virginia. This Court’s decision in</w:t>
      </w:r>
      <w:r>
        <w:t xml:space="preserve"> </w:t>
      </w:r>
      <w:r>
        <w:rPr>
          <w:i/>
          <w:iCs/>
        </w:rPr>
        <w:t xml:space="preserve">Morningstar v. Black &amp; Decker Manufacturing Co.</w:t>
      </w:r>
      <w:r>
        <w:t xml:space="preserve"> </w:t>
      </w:r>
      <w:r>
        <w:t xml:space="preserve">laid the groundwork for modern West Virginia strict products liability law, recognizing three categories of strict product liability claims: “design defectiveness; structural defectiveness; and use defectiveness arising out of the lack of, or the inadequacy of, warnings, instructions and labels.” 162 W. Va. 857, 888 253 S.E.2d 666, 682 (1979). The purpose of strict products liability is, in part, to expand liability by obviating the need to prove negligence in the manufacturing of the product; instead of proving negligence, a plaintiff must prove a product defect, among other things.</w:t>
      </w:r>
      <w:r>
        <w:t xml:space="preserve"> </w:t>
      </w:r>
      <w:r>
        <w:rPr>
          <w:i/>
          <w:iCs/>
        </w:rPr>
        <w:t xml:space="preserve">Id.</w:t>
      </w:r>
      <w:r>
        <w:t xml:space="preserve"> </w:t>
      </w:r>
      <w:r>
        <w:t xml:space="preserve">at 876, 253 S.E.2d at 676. West Virginia continues to recognize that “product liability actions may be premised on three independent theories—strict liability, negligence, and warranty.”</w:t>
      </w:r>
      <w:r>
        <w:t xml:space="preserve"> </w:t>
      </w:r>
      <w:r>
        <w:rPr>
          <w:i/>
          <w:iCs/>
        </w:rPr>
        <w:t xml:space="preserve">McNair</w:t>
      </w:r>
      <w:r>
        <w:rPr>
          <w:i/>
          <w:iCs/>
        </w:rPr>
        <w:t xml:space="preserve"> </w:t>
      </w:r>
      <w:r>
        <w:rPr>
          <w:i/>
          <w:iCs/>
        </w:rPr>
        <w:t xml:space="preserve">v. Johnson &amp; Johnson</w:t>
      </w:r>
      <w:r>
        <w:t xml:space="preserve">, 241 W. Va. 26, 33, 818 S.E.2d 852, 859 (2018) (cleaned up).</w:t>
      </w:r>
    </w:p>
    <w:p>
      <w:pPr>
        <w:pStyle w:val="BodyTextNote"/>
      </w:pPr>
      <w:r>
        <w:t xml:space="preserve">Products liability “balance[s] the interests of consumers, manufacturers and suppliers, and the public at large by facilitating plaintiffs’ recovery and providing manufacturers with an incentive to exercise due care in making their products.”</w:t>
      </w:r>
      <w:r>
        <w:rPr>
          <w:rStyle w:val="FootnoteReference"/>
        </w:rPr>
        <w:footnoteReference w:id="29"/>
      </w:r>
      <w:r>
        <w:t xml:space="preserve"> </w:t>
      </w:r>
      <w:r>
        <w:t xml:space="preserve">This balance is achieved by, among other things, expanding liability by not requiring proof of negligence, requiring factual and proximate causation, and precluding recovery for purely economic losses.</w:t>
      </w:r>
      <w:r>
        <w:rPr>
          <w:rStyle w:val="FootnoteReference"/>
        </w:rPr>
        <w:footnoteReference w:id="30"/>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Prescription</w:t>
      </w:r>
      <w:r>
        <w:rPr>
          <w:b/>
          <w:bCs/>
          <w:i/>
          <w:iCs/>
        </w:rPr>
        <w:t xml:space="preserve"> </w:t>
      </w:r>
      <w:r>
        <w:rPr>
          <w:b/>
          <w:bCs/>
          <w:i/>
          <w:iCs/>
        </w:rPr>
        <w:t xml:space="preserve">Drugs</w:t>
      </w:r>
      <w:r>
        <w:rPr>
          <w:b/>
          <w:bCs/>
          <w:i/>
          <w:iCs/>
        </w:rPr>
        <w:t xml:space="preserve"> </w:t>
      </w:r>
      <w:r>
        <w:rPr>
          <w:b/>
          <w:bCs/>
          <w:i/>
          <w:iCs/>
        </w:rPr>
        <w:t xml:space="preserve">Are</w:t>
      </w:r>
      <w:r>
        <w:rPr>
          <w:b/>
          <w:bCs/>
          <w:i/>
          <w:iCs/>
        </w:rPr>
        <w:t xml:space="preserve"> </w:t>
      </w:r>
      <w:r>
        <w:rPr>
          <w:b/>
          <w:bCs/>
          <w:i/>
          <w:iCs/>
        </w:rPr>
        <w:t xml:space="preserve">Regulated</w:t>
      </w:r>
      <w:r>
        <w:rPr>
          <w:b/>
          <w:bCs/>
          <w:i/>
          <w:iCs/>
        </w:rPr>
        <w:t xml:space="preserve"> </w:t>
      </w:r>
      <w:r>
        <w:rPr>
          <w:b/>
          <w:bCs/>
          <w:i/>
          <w:iCs/>
        </w:rPr>
        <w:t xml:space="preserve">Heavily.</w:t>
      </w:r>
    </w:p>
    <w:p>
      <w:pPr>
        <w:pStyle w:val="BodyText"/>
      </w:pPr>
      <w:r>
        <w:t xml:space="preserve">This Court has observed that “prescription drugs are unique because of the extensive federal regulation of that product by the FDA.”</w:t>
      </w:r>
      <w:r>
        <w:t xml:space="preserve"> </w:t>
      </w:r>
      <w:r>
        <w:rPr>
          <w:i/>
          <w:iCs/>
        </w:rPr>
        <w:t xml:space="preserve">McNair</w:t>
      </w:r>
      <w:r>
        <w:t xml:space="preserve">, 241 W. Va. at 40–41, 818 S.E.2d at 866–67 (emphasis added). For a prescription drug to obtain approval from the FDA to be marketed in interstate commerce, the manufacturer must prove that “the drug is safe and effective and that the manufacturer’s proposed label is accurate and adequate,” which “takes more than a decade and costs well over a billion dollars.”</w:t>
      </w:r>
      <w:r>
        <w:t xml:space="preserve"> </w:t>
      </w:r>
      <w:r>
        <w:rPr>
          <w:i/>
          <w:iCs/>
        </w:rPr>
        <w:t xml:space="preserve">Id.</w:t>
      </w:r>
      <w:r>
        <w:t xml:space="preserve"> </w:t>
      </w:r>
      <w:r>
        <w:t xml:space="preserve">at 30, 40, 818 S.E.2d 856, 866.</w:t>
      </w:r>
    </w:p>
    <w:p>
      <w:pPr>
        <w:pStyle w:val="BodyTextNote"/>
      </w:pPr>
      <w:r>
        <w:t xml:space="preserve">“[I]n the case of opioid drugs, Congress and the various state legislatures have enacted a comprehensive statutory scheme that is implemented by a complex and pervasive regulatory framework overseen and enforced by multiple agencies and boards controlling the development, testing, production, manufacturing, distribution, labeling, advertising, prescribing, sale, possession, use, misuse, abuse, theft, resale, and inter-state transportation of opioid drugs.”</w:t>
      </w:r>
      <w:r>
        <w:rPr>
          <w:rStyle w:val="FootnoteReference"/>
        </w:rPr>
        <w:footnoteReference w:id="31"/>
      </w:r>
    </w:p>
    <w:p>
      <w:pPr>
        <w:pStyle w:val="BodyText"/>
      </w:pPr>
      <w:r>
        <w:t xml:space="preserve">Judge Faber recognized this extensive regulation, noting that the “Controlled Substances Act (‘CSA’) establishes a closed system for drugs classified as controlled substances” whereby “[e]very party in the closed system must be registered by the Drug Enforcement Agency (‘DEA’)”; “DEA-registered manufacturers may sell controlled substances only to DEA-registered distributors and pharmacies; DEA-registered distributors may distribute controlled substances only to DEA-registered dispensers (such as pharmacies and hospitals); and DEA-registered dispensers may dispense controlled substances only pursuant to prescriptions written by DEA-registered prescribers.”</w:t>
      </w:r>
      <w:r>
        <w:t xml:space="preserve"> </w:t>
      </w:r>
      <w:r>
        <w:rPr>
          <w:i/>
          <w:iCs/>
        </w:rPr>
        <w:t xml:space="preserve">City of Huntington</w:t>
      </w:r>
      <w:r>
        <w:rPr>
          <w:i/>
          <w:iCs/>
        </w:rPr>
        <w:t xml:space="preserve"> </w:t>
      </w:r>
      <w:r>
        <w:rPr>
          <w:i/>
          <w:iCs/>
        </w:rPr>
        <w:t xml:space="preserve">v. AmerisourceBergen Drug Corp.</w:t>
      </w:r>
      <w:r>
        <w:t xml:space="preserve">, 609 F. Supp. 3d 408, 421–22 (S.D. W. Va. 2022). The “closed system allows the DEA to monitor the flow of controlled substances from the manufacturer to the patient with the goal of ensuring that prescription drugs do not flow into the illicit marketplace.”</w:t>
      </w:r>
      <w:r>
        <w:t xml:space="preserve"> </w:t>
      </w:r>
      <w:r>
        <w:rPr>
          <w:i/>
          <w:iCs/>
        </w:rPr>
        <w:t xml:space="preserve">Id.</w:t>
      </w:r>
    </w:p>
    <w:p>
      <w:pPr>
        <w:pStyle w:val="BodyText"/>
      </w:pPr>
      <w:r>
        <w:t xml:space="preserve">Further, the CSA and its implementing regulations require “[a]ll applicants and registrants [to] provide effective controls and procedures to guard against theft and diversion of controlled substances.” 21 C.F.R. § 1301.71(a).</w:t>
      </w:r>
      <w:r>
        <w:t xml:space="preserve"> </w:t>
      </w:r>
      <w:r>
        <w:t xml:space="preserve">Opioid distributors are also required to “design and operate a system to disclose to the registrant suspicious orders of controlled substances” and must “inform the Field Division Office of the Administration in his area of suspicious orders when discovered by the registrant.” 21 C.F.R. § 1301.74(b).</w:t>
      </w:r>
      <w:r>
        <w:t xml:space="preserve"> </w:t>
      </w:r>
      <w:r>
        <w:t xml:space="preserve">Doctors prescribing opioids are regulated by federal and state regulations.</w:t>
      </w:r>
      <w:r>
        <w:t xml:space="preserve"> </w:t>
      </w:r>
      <w:r>
        <w:rPr>
          <w:i/>
          <w:iCs/>
        </w:rPr>
        <w:t xml:space="preserve">See, e.g.</w:t>
      </w:r>
      <w:r>
        <w:t xml:space="preserve">, 21 C.F.R. § 1306.03.</w:t>
      </w:r>
      <w:r>
        <w:t xml:space="preserve"> </w:t>
      </w:r>
      <w:r>
        <w:t xml:space="preserve">“The responsibility for the proper prescribing and dispensing of controlled substances is upon the prescribing practitioner, but a corresponding responsibility rests with the pharmacist who fills the prescription.” 21 C.F.R. § 1306.04(a).</w:t>
      </w:r>
    </w:p>
    <w:p>
      <w:pPr>
        <w:pStyle w:val="BodyText"/>
      </w:pPr>
      <w:r>
        <w:t xml:space="preserve">Opioids are also extensively regulated by, among other things, the West Virginia Uniform Controlled Substances Act, West Virginia Code § 60A</w:t>
      </w:r>
      <w:r>
        <w:noBreakHyphen/>
      </w:r>
      <w:r>
        <w:t xml:space="preserve">2</w:t>
      </w:r>
      <w:r>
        <w:noBreakHyphen/>
      </w:r>
      <w:r>
        <w:t xml:space="preserve">201</w:t>
      </w:r>
      <w:r>
        <w:t xml:space="preserve"> </w:t>
      </w:r>
      <w:r>
        <w:rPr>
          <w:i/>
          <w:iCs/>
        </w:rPr>
        <w:t xml:space="preserve">et seq.</w:t>
      </w:r>
      <w:r>
        <w:t xml:space="preserve">, The Larry W. Border Pharmacy Practice Act, West Virginia Code § 30</w:t>
      </w:r>
      <w:r>
        <w:noBreakHyphen/>
      </w:r>
      <w:r>
        <w:t xml:space="preserve">5</w:t>
      </w:r>
      <w:r>
        <w:noBreakHyphen/>
      </w:r>
      <w:r>
        <w:t xml:space="preserve">1</w:t>
      </w:r>
      <w:r>
        <w:t xml:space="preserve"> </w:t>
      </w:r>
      <w:r>
        <w:rPr>
          <w:i/>
          <w:iCs/>
        </w:rPr>
        <w:t xml:space="preserve">et seq.</w:t>
      </w:r>
      <w:r>
        <w:t xml:space="preserve">, and corresponding state regulations.</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Products</w:t>
      </w:r>
      <w:r>
        <w:rPr>
          <w:b/>
          <w:bCs/>
          <w:i/>
          <w:iCs/>
        </w:rPr>
        <w:t xml:space="preserve"> </w:t>
      </w:r>
      <w:r>
        <w:rPr>
          <w:b/>
          <w:bCs/>
          <w:i/>
          <w:iCs/>
        </w:rPr>
        <w:t xml:space="preserve">Liability</w:t>
      </w:r>
      <w:r>
        <w:rPr>
          <w:b/>
          <w:bCs/>
          <w:i/>
          <w:iCs/>
        </w:rPr>
        <w:t xml:space="preserve"> </w:t>
      </w:r>
      <w:r>
        <w:rPr>
          <w:b/>
          <w:bCs/>
          <w:i/>
          <w:iCs/>
        </w:rPr>
        <w:t xml:space="preserve">and</w:t>
      </w:r>
      <w:r>
        <w:rPr>
          <w:b/>
          <w:bCs/>
          <w:i/>
          <w:iCs/>
        </w:rPr>
        <w:t xml:space="preserve"> </w:t>
      </w:r>
      <w:r>
        <w:rPr>
          <w:b/>
          <w:bCs/>
          <w:i/>
          <w:iCs/>
        </w:rPr>
        <w:t xml:space="preserve">Regulatory</w:t>
      </w:r>
      <w:r>
        <w:rPr>
          <w:b/>
          <w:bCs/>
          <w:i/>
          <w:iCs/>
        </w:rPr>
        <w:t xml:space="preserve"> </w:t>
      </w:r>
      <w:r>
        <w:rPr>
          <w:b/>
          <w:bCs/>
          <w:i/>
          <w:iCs/>
        </w:rPr>
        <w:t xml:space="preserve">Law—Not</w:t>
      </w:r>
      <w:r>
        <w:rPr>
          <w:b/>
          <w:bCs/>
          <w:i/>
          <w:iCs/>
        </w:rPr>
        <w:t xml:space="preserve"> </w:t>
      </w:r>
      <w:r>
        <w:rPr>
          <w:b/>
          <w:bCs/>
          <w:i/>
          <w:iCs/>
        </w:rPr>
        <w:t xml:space="preserve">Public</w:t>
      </w:r>
      <w:r>
        <w:rPr>
          <w:b/>
          <w:bCs/>
          <w:i/>
          <w:iCs/>
        </w:rPr>
        <w:t xml:space="preserve"> </w:t>
      </w:r>
      <w:r>
        <w:rPr>
          <w:b/>
          <w:bCs/>
          <w:i/>
          <w:iCs/>
        </w:rPr>
        <w:t xml:space="preserve">Nuisance</w:t>
      </w:r>
      <w:r>
        <w:rPr>
          <w:b/>
          <w:bCs/>
          <w:i/>
          <w:iCs/>
        </w:rPr>
        <w:t xml:space="preserve"> </w:t>
      </w:r>
      <w:r>
        <w:rPr>
          <w:b/>
          <w:bCs/>
          <w:i/>
          <w:iCs/>
        </w:rPr>
        <w:t xml:space="preserve">Law—Should</w:t>
      </w:r>
      <w:r>
        <w:rPr>
          <w:b/>
          <w:bCs/>
          <w:i/>
          <w:iCs/>
        </w:rPr>
        <w:t xml:space="preserve"> </w:t>
      </w:r>
      <w:r>
        <w:rPr>
          <w:b/>
          <w:bCs/>
          <w:i/>
          <w:iCs/>
        </w:rPr>
        <w:t xml:space="preserve">Govern</w:t>
      </w:r>
      <w:r>
        <w:rPr>
          <w:b/>
          <w:bCs/>
          <w:i/>
          <w:iCs/>
        </w:rPr>
        <w:t xml:space="preserve"> </w:t>
      </w:r>
      <w:r>
        <w:rPr>
          <w:b/>
          <w:bCs/>
          <w:i/>
          <w:iCs/>
        </w:rPr>
        <w:t xml:space="preserve">Liability</w:t>
      </w:r>
      <w:r>
        <w:rPr>
          <w:b/>
          <w:bCs/>
          <w:i/>
          <w:iCs/>
        </w:rPr>
        <w:t xml:space="preserve"> </w:t>
      </w:r>
      <w:r>
        <w:rPr>
          <w:b/>
          <w:bCs/>
          <w:i/>
          <w:iCs/>
        </w:rPr>
        <w:t xml:space="preserve">Claims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Manufacturing,</w:t>
      </w:r>
      <w:r>
        <w:rPr>
          <w:b/>
          <w:bCs/>
          <w:i/>
          <w:iCs/>
        </w:rPr>
        <w:t xml:space="preserve"> </w:t>
      </w:r>
      <w:r>
        <w:rPr>
          <w:b/>
          <w:bCs/>
          <w:i/>
          <w:iCs/>
        </w:rPr>
        <w:t xml:space="preserve">Distributing,</w:t>
      </w:r>
      <w:r>
        <w:rPr>
          <w:b/>
          <w:bCs/>
          <w:i/>
          <w:iCs/>
        </w:rPr>
        <w:t xml:space="preserve"> </w:t>
      </w:r>
      <w:r>
        <w:rPr>
          <w:b/>
          <w:bCs/>
          <w:i/>
          <w:iCs/>
        </w:rPr>
        <w:t xml:space="preserve">and</w:t>
      </w:r>
      <w:r>
        <w:rPr>
          <w:b/>
          <w:bCs/>
          <w:i/>
          <w:iCs/>
        </w:rPr>
        <w:t xml:space="preserve"> </w:t>
      </w:r>
      <w:r>
        <w:rPr>
          <w:b/>
          <w:bCs/>
          <w:i/>
          <w:iCs/>
        </w:rPr>
        <w:t xml:space="preserve">Selling</w:t>
      </w:r>
      <w:r>
        <w:rPr>
          <w:b/>
          <w:bCs/>
          <w:i/>
          <w:iCs/>
        </w:rPr>
        <w:t xml:space="preserve"> </w:t>
      </w:r>
      <w:r>
        <w:rPr>
          <w:b/>
          <w:bCs/>
          <w:i/>
          <w:iCs/>
        </w:rPr>
        <w:t xml:space="preserve">of</w:t>
      </w:r>
      <w:r>
        <w:rPr>
          <w:b/>
          <w:bCs/>
          <w:i/>
          <w:iCs/>
        </w:rPr>
        <w:t xml:space="preserve"> </w:t>
      </w:r>
      <w:r>
        <w:rPr>
          <w:b/>
          <w:bCs/>
          <w:i/>
          <w:iCs/>
        </w:rPr>
        <w:t xml:space="preserve">Prescription</w:t>
      </w:r>
      <w:r>
        <w:rPr>
          <w:b/>
          <w:bCs/>
          <w:i/>
          <w:iCs/>
        </w:rPr>
        <w:t xml:space="preserve"> </w:t>
      </w:r>
      <w:r>
        <w:rPr>
          <w:b/>
          <w:bCs/>
          <w:i/>
          <w:iCs/>
        </w:rPr>
        <w:t xml:space="preserve">Opioids.</w:t>
      </w:r>
    </w:p>
    <w:p>
      <w:pPr>
        <w:pStyle w:val="BodyTextNote"/>
      </w:pPr>
      <w:r>
        <w:t xml:space="preserve">Considering the extensive regulation of opioids, and the robust nature of contemporary products liability law, this Court should decline petitioners’ invitation to expand the scope of common law public nuisance. Indeed, although this Court has the authority to expand the common law,</w:t>
      </w:r>
      <w:r>
        <w:rPr>
          <w:rStyle w:val="FootnoteReference"/>
        </w:rPr>
        <w:footnoteReference w:id="32"/>
      </w:r>
      <w:r>
        <w:t xml:space="preserve"> </w:t>
      </w:r>
      <w:r>
        <w:t xml:space="preserve">it regularly refuses to do so.</w:t>
      </w:r>
      <w:r>
        <w:t xml:space="preserve"> </w:t>
      </w:r>
      <w:r>
        <w:rPr>
          <w:i/>
          <w:iCs/>
        </w:rPr>
        <w:t xml:space="preserve">See, e.g.</w:t>
      </w:r>
      <w:r>
        <w:t xml:space="preserve">,</w:t>
      </w:r>
      <w:r>
        <w:t xml:space="preserve"> </w:t>
      </w:r>
      <w:r>
        <w:rPr>
          <w:i/>
          <w:iCs/>
        </w:rPr>
        <w:t xml:space="preserve">Aikens</w:t>
      </w:r>
      <w:r>
        <w:rPr>
          <w:i/>
          <w:iCs/>
        </w:rPr>
        <w:t xml:space="preserve"> </w:t>
      </w:r>
      <w:r>
        <w:rPr>
          <w:i/>
          <w:iCs/>
        </w:rPr>
        <w:t xml:space="preserve">v. Debow</w:t>
      </w:r>
      <w:r>
        <w:t xml:space="preserve">, 208 W. Va. 486, 490, 541 S.E.2d 576, 580 (2000) (declining to expand the common law to permit a claimant to recover for purely economic loss sustained because of an interruption in commerce caused by negligent injury to the property of a third person);</w:t>
      </w:r>
      <w:r>
        <w:t xml:space="preserve"> </w:t>
      </w:r>
      <w:r>
        <w:rPr>
          <w:i/>
          <w:iCs/>
        </w:rPr>
        <w:t xml:space="preserve">Blanda</w:t>
      </w:r>
      <w:r>
        <w:rPr>
          <w:i/>
          <w:iCs/>
        </w:rPr>
        <w:t xml:space="preserve"> </w:t>
      </w:r>
      <w:r>
        <w:rPr>
          <w:i/>
          <w:iCs/>
        </w:rPr>
        <w:t xml:space="preserve">v. Martin &amp; Seibert, L.C.</w:t>
      </w:r>
      <w:r>
        <w:t xml:space="preserve">, 242 W. Va. 552, 562, 836 S.E.2d 519, 529 (2019) (public-policy exception to at-will employment doctrine).</w:t>
      </w:r>
      <w:r>
        <w:rPr>
          <w:rStyle w:val="FootnoteReference"/>
        </w:rPr>
        <w:footnoteReference w:id="33"/>
      </w:r>
    </w:p>
    <w:p>
      <w:pPr>
        <w:pStyle w:val="BodyTextNote"/>
      </w:pPr>
      <w:r>
        <w:t xml:space="preserve">This Court’s decisions in</w:t>
      </w:r>
      <w:r>
        <w:t xml:space="preserve"> </w:t>
      </w:r>
      <w:r>
        <w:rPr>
          <w:i/>
          <w:iCs/>
        </w:rPr>
        <w:t xml:space="preserve">Morningstar</w:t>
      </w:r>
      <w:r>
        <w:t xml:space="preserve">,</w:t>
      </w:r>
      <w:r>
        <w:t xml:space="preserve"> </w:t>
      </w:r>
      <w:r>
        <w:rPr>
          <w:i/>
          <w:iCs/>
        </w:rPr>
        <w:t xml:space="preserve">Stevens</w:t>
      </w:r>
      <w:r>
        <w:t xml:space="preserve">, and</w:t>
      </w:r>
      <w:r>
        <w:t xml:space="preserve"> </w:t>
      </w:r>
      <w:r>
        <w:rPr>
          <w:i/>
          <w:iCs/>
        </w:rPr>
        <w:t xml:space="preserve">McNair</w:t>
      </w:r>
      <w:r>
        <w:t xml:space="preserve">—all addressing certified questions involving liability for the manufacturing and selling of lawful products—are instructive and should guide this Court’s decision whether to expand the common law to allow liability for public nuisance claims involving the manufacturing, distributing, and selling of lawful products. In</w:t>
      </w:r>
      <w:r>
        <w:t xml:space="preserve"> </w:t>
      </w:r>
      <w:r>
        <w:rPr>
          <w:i/>
          <w:iCs/>
        </w:rPr>
        <w:t xml:space="preserve">Morningstar</w:t>
      </w:r>
      <w:r>
        <w:t xml:space="preserve">, this Court was asked whether the</w:t>
      </w:r>
      <w:r>
        <w:t xml:space="preserve"> </w:t>
      </w:r>
      <w:r>
        <w:rPr>
          <w:i/>
          <w:iCs/>
        </w:rPr>
        <w:t xml:space="preserve">Rylands</w:t>
      </w:r>
      <w:r>
        <w:rPr>
          <w:i/>
          <w:iCs/>
        </w:rPr>
        <w:t xml:space="preserve"> </w:t>
      </w:r>
      <w:r>
        <w:rPr>
          <w:i/>
          <w:iCs/>
        </w:rPr>
        <w:t xml:space="preserve">v. Fletcher</w:t>
      </w:r>
      <w:r>
        <w:t xml:space="preserve"> </w:t>
      </w:r>
      <w:r>
        <w:t xml:space="preserve">Doctrine</w:t>
      </w:r>
      <w:r>
        <w:rPr>
          <w:rStyle w:val="FootnoteReference"/>
        </w:rPr>
        <w:footnoteReference w:id="34"/>
      </w:r>
      <w:r>
        <w:t xml:space="preserve">—involving absolute liability for abnormally dangerous activities—applies in tort product liability law. 162 W. Va. at 892, 253 S.E.2d at 684. Although this Court had adopted the doctrine in the context of blasting operations</w:t>
      </w:r>
      <w:r>
        <w:rPr>
          <w:rStyle w:val="FootnoteReference"/>
        </w:rPr>
        <w:footnoteReference w:id="35"/>
      </w:r>
      <w:r>
        <w:t xml:space="preserve"> </w:t>
      </w:r>
      <w:r>
        <w:t xml:space="preserve">and water escaping from a tank,</w:t>
      </w:r>
      <w:r>
        <w:rPr>
          <w:rStyle w:val="FootnoteReference"/>
        </w:rPr>
        <w:footnoteReference w:id="36"/>
      </w:r>
      <w:r>
        <w:t xml:space="preserve"> </w:t>
      </w:r>
      <w:r>
        <w:t xml:space="preserve">it declined to expand its application to defendant’s manufacturing of a power saw, reasoning that the doctrine’s “essential characteristic is that the activity or object is abnormally or exceptionally dangerous,” and, in an “ordinary product liability case, the product, if safely made, is not dangerous, but becomes so only by virtue of a defect.”</w:t>
      </w:r>
      <w:r>
        <w:t xml:space="preserve"> </w:t>
      </w:r>
      <w:r>
        <w:rPr>
          <w:i/>
          <w:iCs/>
        </w:rPr>
        <w:t xml:space="preserve">Id.</w:t>
      </w:r>
      <w:r>
        <w:t xml:space="preserve"> </w:t>
      </w:r>
      <w:r>
        <w:t xml:space="preserve">at 892–93, 253 S.E.2d at 684. Notably, this Court refused to make the power saw manufacturer “an insurer” whereby harm caused by the product “creates absolute liability on the part of the defendant and no negligence or defect need be shown.”</w:t>
      </w:r>
      <w:r>
        <w:t xml:space="preserve"> </w:t>
      </w:r>
      <w:r>
        <w:rPr>
          <w:i/>
          <w:iCs/>
        </w:rPr>
        <w:t xml:space="preserve">Id.</w:t>
      </w:r>
      <w:r>
        <w:t xml:space="preserve"> </w:t>
      </w:r>
      <w:r>
        <w:t xml:space="preserve">Instead, this Court held—consistent with the common law—that for liability to be imposed on a manufacturer of a product, the plaintiff must prove either negligence or product defect.</w:t>
      </w:r>
      <w:r>
        <w:t xml:space="preserve"> </w:t>
      </w:r>
      <w:r>
        <w:rPr>
          <w:i/>
          <w:iCs/>
        </w:rPr>
        <w:t xml:space="preserve">Id.</w:t>
      </w:r>
    </w:p>
    <w:p>
      <w:pPr>
        <w:pStyle w:val="BodyText"/>
      </w:pPr>
      <w:r>
        <w:t xml:space="preserve">In</w:t>
      </w:r>
      <w:r>
        <w:t xml:space="preserve"> </w:t>
      </w:r>
      <w:r>
        <w:rPr>
          <w:i/>
          <w:iCs/>
        </w:rPr>
        <w:t xml:space="preserve">Stevens</w:t>
      </w:r>
      <w:r>
        <w:t xml:space="preserve">, this Court was asked whether casinos or the manufacturers of video lottery terminals owe a duty of care to “protect casino patrons from becoming addicted to gambling by using these machines or terminals.”</w:t>
      </w:r>
      <w:r>
        <w:t xml:space="preserve"> </w:t>
      </w:r>
      <w:r>
        <w:rPr>
          <w:i/>
          <w:iCs/>
        </w:rPr>
        <w:t xml:space="preserve">Stevens</w:t>
      </w:r>
      <w:r>
        <w:rPr>
          <w:i/>
          <w:iCs/>
        </w:rPr>
        <w:t xml:space="preserve"> </w:t>
      </w:r>
      <w:r>
        <w:rPr>
          <w:i/>
          <w:iCs/>
        </w:rPr>
        <w:t xml:space="preserve">v. MTR Gaming Grp., Inc.</w:t>
      </w:r>
      <w:r>
        <w:t xml:space="preserve">, 237 W. Va. 531, 534, 788 S.E.2d 59, 62 (2016). This Court answered the question in the negative, largely because of West Virginia’s thorough “statutory and regulatory scheme governing video lottery terminals at the State’s racetracks.”</w:t>
      </w:r>
      <w:r>
        <w:t xml:space="preserve"> </w:t>
      </w:r>
      <w:r>
        <w:rPr>
          <w:i/>
          <w:iCs/>
        </w:rPr>
        <w:t xml:space="preserve">Id.</w:t>
      </w:r>
      <w:r>
        <w:t xml:space="preserve"> </w:t>
      </w:r>
      <w:r>
        <w:t xml:space="preserve">at 537, 788 S.E.2d at 65. Although the “efficacy of the legislatively prescribed remedies may fairly be subject to debate,” nevertheless, “it has always been the province of the Legislature to decide the public policy of this State” and if it “has made a mistake, it is a political one, and it alone can correct it.”</w:t>
      </w:r>
      <w:r>
        <w:t xml:space="preserve"> </w:t>
      </w:r>
      <w:r>
        <w:rPr>
          <w:i/>
          <w:iCs/>
        </w:rPr>
        <w:t xml:space="preserve">Id.</w:t>
      </w:r>
      <w:r>
        <w:t xml:space="preserve"> </w:t>
      </w:r>
      <w:r>
        <w:t xml:space="preserve">at 538, 788 S.E.2d at 66 (cleaned up). Finally, this Court concluded that “the statutory scheme and the plaintiff’s common law claim are so incompatible that they cannot both occupy the same space.”</w:t>
      </w:r>
      <w:r>
        <w:t xml:space="preserve"> </w:t>
      </w:r>
      <w:r>
        <w:rPr>
          <w:i/>
          <w:iCs/>
        </w:rPr>
        <w:t xml:space="preserve">Id.</w:t>
      </w:r>
      <w:r>
        <w:t xml:space="preserve"> </w:t>
      </w:r>
      <w:r>
        <w:t xml:space="preserve">(cleaned up).</w:t>
      </w:r>
    </w:p>
    <w:p>
      <w:pPr>
        <w:pStyle w:val="BodyText"/>
      </w:pPr>
      <w:r>
        <w:t xml:space="preserve">In</w:t>
      </w:r>
      <w:r>
        <w:t xml:space="preserve"> </w:t>
      </w:r>
      <w:r>
        <w:rPr>
          <w:i/>
          <w:iCs/>
        </w:rPr>
        <w:t xml:space="preserve">McNair</w:t>
      </w:r>
      <w:r>
        <w:t xml:space="preserve">, the Fourth Circuit certified the following question to this Court: “Whether West Virginia law permits a claim of failure to warn and negligent misrepresentation against a branded drug manufacturer when the drug ingested was produced by a generic manufacturer.” 241 W. Va. at 30, 818 S.E.2d at 856 (emphasis added). This Court answered the question in the negative, refusing to expand the common law to include this claim because it was “unwilling to make brand manufacturers the de facto insurers for competing generic manufacturers,” reasoning that “[d]eep pocket jurisprudence is law without principle.”</w:t>
      </w:r>
      <w:r>
        <w:t xml:space="preserve"> </w:t>
      </w:r>
      <w:r>
        <w:rPr>
          <w:i/>
          <w:iCs/>
        </w:rPr>
        <w:t xml:space="preserve">Id.</w:t>
      </w:r>
      <w:r>
        <w:t xml:space="preserve"> </w:t>
      </w:r>
      <w:r>
        <w:t xml:space="preserve">at 36–37, 818 S.E.2d at 862–63 (emphasis added) (quotation and citation omitted). Further, “a line must be drawn between competing policy considerations of providing a remedy for everyone who is injured and of extending exposure to tort liability almost without limits.”</w:t>
      </w:r>
      <w:r>
        <w:t xml:space="preserve"> </w:t>
      </w:r>
      <w:r>
        <w:rPr>
          <w:i/>
          <w:iCs/>
        </w:rPr>
        <w:t xml:space="preserve">Id.</w:t>
      </w:r>
      <w:r>
        <w:t xml:space="preserve"> </w:t>
      </w:r>
      <w:r>
        <w:t xml:space="preserve">at 40, 818 S.E.2d at 866 (emphasis added) (quotation omitted). Finally, extending liability in this situation was against the public policy of the State, given West Virginia statutes limiting liability for failure to warn claims, and “because of the extensive federal regulation of [prescription drugs] by the FDA.”</w:t>
      </w:r>
      <w:r>
        <w:t xml:space="preserve"> </w:t>
      </w:r>
      <w:r>
        <w:rPr>
          <w:i/>
          <w:iCs/>
        </w:rPr>
        <w:t xml:space="preserve">Id.</w:t>
      </w:r>
      <w:r>
        <w:t xml:space="preserve"> </w:t>
      </w:r>
      <w:r>
        <w:t xml:space="preserve">This Court practiced judicial deference, finding “that the proper remedy for consumers harmed by generic drugs rests with Congress or the FDA.”</w:t>
      </w:r>
      <w:r>
        <w:t xml:space="preserve"> </w:t>
      </w:r>
      <w:r>
        <w:rPr>
          <w:i/>
          <w:iCs/>
        </w:rPr>
        <w:t xml:space="preserve">Id.</w:t>
      </w:r>
      <w:r>
        <w:t xml:space="preserve"> </w:t>
      </w:r>
      <w:r>
        <w:t xml:space="preserve">at 41, 818 S.E.2d at 867.</w:t>
      </w:r>
    </w:p>
    <w:p>
      <w:pPr>
        <w:pStyle w:val="BodyText"/>
      </w:pPr>
      <w:r>
        <w:t xml:space="preserve">Under</w:t>
      </w:r>
      <w:r>
        <w:t xml:space="preserve"> </w:t>
      </w:r>
      <w:r>
        <w:rPr>
          <w:i/>
          <w:iCs/>
        </w:rPr>
        <w:t xml:space="preserve">Morningstar</w:t>
      </w:r>
      <w:r>
        <w:t xml:space="preserve">,</w:t>
      </w:r>
      <w:r>
        <w:t xml:space="preserve"> </w:t>
      </w:r>
      <w:r>
        <w:rPr>
          <w:i/>
          <w:iCs/>
        </w:rPr>
        <w:t xml:space="preserve">Stevens</w:t>
      </w:r>
      <w:r>
        <w:t xml:space="preserve">, and</w:t>
      </w:r>
      <w:r>
        <w:t xml:space="preserve"> </w:t>
      </w:r>
      <w:r>
        <w:rPr>
          <w:i/>
          <w:iCs/>
        </w:rPr>
        <w:t xml:space="preserve">McNair</w:t>
      </w:r>
      <w:r>
        <w:t xml:space="preserve">, this Court should reject public nuisance liability based on the manufacturing, distributing, or selling of prescription opioids. These cases reveal a consistent policy from this Court to limit the liability of manufacturers and sellers of products to traditional negligence and strict product liability claims. It should do so again here.</w:t>
      </w:r>
    </w:p>
    <w:p>
      <w:pPr>
        <w:keepNext/>
        <w:keepLines/>
        <w:spacing w:before="288"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Manufacturing,</w:t>
      </w:r>
      <w:r>
        <w:rPr>
          <w:b/>
          <w:bCs/>
        </w:rPr>
        <w:t xml:space="preserve"> </w:t>
      </w:r>
      <w:r>
        <w:rPr>
          <w:b/>
          <w:bCs/>
        </w:rPr>
        <w:t xml:space="preserve">Distributing,</w:t>
      </w:r>
      <w:r>
        <w:rPr>
          <w:b/>
          <w:bCs/>
        </w:rPr>
        <w:t xml:space="preserve"> </w:t>
      </w:r>
      <w:r>
        <w:rPr>
          <w:b/>
          <w:bCs/>
        </w:rPr>
        <w:t xml:space="preserve">and</w:t>
      </w:r>
      <w:r>
        <w:rPr>
          <w:b/>
          <w:bCs/>
        </w:rPr>
        <w:t xml:space="preserve"> </w:t>
      </w:r>
      <w:r>
        <w:rPr>
          <w:b/>
          <w:bCs/>
        </w:rPr>
        <w:t xml:space="preserve">Selling</w:t>
      </w:r>
      <w:r>
        <w:rPr>
          <w:b/>
          <w:bCs/>
        </w:rPr>
        <w:t xml:space="preserve"> </w:t>
      </w:r>
      <w:r>
        <w:rPr>
          <w:b/>
          <w:bCs/>
        </w:rPr>
        <w:t xml:space="preserve">of</w:t>
      </w:r>
      <w:r>
        <w:rPr>
          <w:b/>
          <w:bCs/>
        </w:rPr>
        <w:t xml:space="preserve"> </w:t>
      </w:r>
      <w:r>
        <w:rPr>
          <w:b/>
          <w:bCs/>
        </w:rPr>
        <w:t xml:space="preserve">Prescription</w:t>
      </w:r>
      <w:r>
        <w:rPr>
          <w:b/>
          <w:bCs/>
        </w:rPr>
        <w:t xml:space="preserve"> </w:t>
      </w:r>
      <w:r>
        <w:rPr>
          <w:b/>
          <w:bCs/>
        </w:rPr>
        <w:t xml:space="preserve">Opioids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Nuisance</w:t>
      </w:r>
      <w:r>
        <w:rPr>
          <w:b/>
          <w:bCs/>
        </w:rPr>
        <w:t xml:space="preserve"> </w:t>
      </w:r>
      <w:r>
        <w:rPr>
          <w:b/>
          <w:bCs/>
        </w:rPr>
        <w:t xml:space="preserve">Per</w:t>
      </w:r>
      <w:r>
        <w:rPr>
          <w:b/>
          <w:bCs/>
        </w:rPr>
        <w:t xml:space="preserve"> </w:t>
      </w:r>
      <w:r>
        <w:rPr>
          <w:b/>
          <w:bCs/>
        </w:rPr>
        <w:t xml:space="preserve">Se.</w:t>
      </w:r>
    </w:p>
    <w:p>
      <w:pPr>
        <w:pStyle w:val="BodyText"/>
      </w:pPr>
      <w:r>
        <w:t xml:space="preserve">Petitioners’ theory is that the distribution of opioids in Huntington and Cabell County was unreasonable, and thus nuisance liability is available. PB 34–36. But the problem with petitioners’ argument is that Judge Faber correctly found that “the distribution of medicine to support the legitimate medical needs of patients as determined by doctors exercising their medical judgment in good faith cannot be deemed an unreasonable interference with a right common to the general public.”</w:t>
      </w:r>
      <w:r>
        <w:t xml:space="preserve"> </w:t>
      </w:r>
      <w:r>
        <w:rPr>
          <w:i/>
          <w:iCs/>
        </w:rPr>
        <w:t xml:space="preserve">City of Huntington</w:t>
      </w:r>
      <w:r>
        <w:t xml:space="preserve">, 609 F. Supp. 3d at 475. Further, Judge Faber found that:</w:t>
      </w:r>
    </w:p>
    <w:p>
      <w:pPr>
        <w:pStyle w:val="BodyText"/>
      </w:pPr>
      <w:r>
        <w:t xml:space="preserve">“Plaintiffs did not prove that defendants failed to maintain effective controls against diversion,”</w:t>
      </w:r>
      <w:r>
        <w:t xml:space="preserve"> </w:t>
      </w:r>
      <w:r>
        <w:rPr>
          <w:i/>
          <w:iCs/>
        </w:rPr>
        <w:t xml:space="preserve">id.</w:t>
      </w:r>
      <w:r>
        <w:t xml:space="preserve"> </w:t>
      </w:r>
      <w:r>
        <w:t xml:space="preserve">at 438;</w:t>
      </w:r>
    </w:p>
    <w:p>
      <w:pPr>
        <w:pStyle w:val="BodyText"/>
      </w:pPr>
      <w:r>
        <w:t xml:space="preserve">“[P]laintiffs did not prove that defendants’ due diligence with respect to suspicious orders was inadequate,”</w:t>
      </w:r>
      <w:r>
        <w:t xml:space="preserve"> </w:t>
      </w:r>
      <w:r>
        <w:rPr>
          <w:i/>
          <w:iCs/>
        </w:rPr>
        <w:t xml:space="preserve">id.</w:t>
      </w:r>
      <w:r>
        <w:t xml:space="preserve"> </w:t>
      </w:r>
      <w:r>
        <w:t xml:space="preserve">at 438;</w:t>
      </w:r>
    </w:p>
    <w:p>
      <w:pPr>
        <w:pStyle w:val="BodyText"/>
      </w:pPr>
      <w:r>
        <w:t xml:space="preserve">“[P]laintiffs did not prove that defendants supplied opioids to pharmacies engaged in diversion,”</w:t>
      </w:r>
      <w:r>
        <w:t xml:space="preserve"> </w:t>
      </w:r>
      <w:r>
        <w:rPr>
          <w:i/>
          <w:iCs/>
        </w:rPr>
        <w:t xml:space="preserve">id.</w:t>
      </w:r>
      <w:r>
        <w:t xml:space="preserve"> </w:t>
      </w:r>
      <w:r>
        <w:t xml:space="preserve">at 449;</w:t>
      </w:r>
    </w:p>
    <w:p>
      <w:pPr>
        <w:pStyle w:val="BodyText"/>
      </w:pPr>
      <w:r>
        <w:t xml:space="preserve">“Plaintiffs failed to show that the volume of prescription opioids distributed in Cabell/​Huntington was because of unreasonable conduct on the part of defendants,”</w:t>
      </w:r>
      <w:r>
        <w:t xml:space="preserve"> </w:t>
      </w:r>
      <w:r>
        <w:rPr>
          <w:i/>
          <w:iCs/>
        </w:rPr>
        <w:t xml:space="preserve">id.</w:t>
      </w:r>
      <w:r>
        <w:t xml:space="preserve">;</w:t>
      </w:r>
    </w:p>
    <w:p>
      <w:pPr>
        <w:pStyle w:val="BodyText"/>
      </w:pPr>
      <w:r>
        <w:t xml:space="preserve">“Plaintiffs offered no evidence that defendants ever distributed controlled substances to any entity that it knew was dispensing for any purpose other than to fill legitimate prescriptions written by doctors,”</w:t>
      </w:r>
      <w:r>
        <w:t xml:space="preserve"> </w:t>
      </w:r>
      <w:r>
        <w:rPr>
          <w:i/>
          <w:iCs/>
        </w:rPr>
        <w:t xml:space="preserve">id.</w:t>
      </w:r>
      <w:r>
        <w:t xml:space="preserve"> </w:t>
      </w:r>
      <w:r>
        <w:t xml:space="preserve">at 469;</w:t>
      </w:r>
    </w:p>
    <w:p>
      <w:pPr>
        <w:pStyle w:val="BodyText"/>
      </w:pPr>
      <w:r>
        <w:t xml:space="preserve">“There was no evidence that defendants played any role in changing the standard of care for the treatment of pain or endorsed these changes,” which “led to an increase in the medical use of prescription opioids,”</w:t>
      </w:r>
      <w:r>
        <w:t xml:space="preserve"> </w:t>
      </w:r>
      <w:r>
        <w:rPr>
          <w:i/>
          <w:iCs/>
        </w:rPr>
        <w:t xml:space="preserve">id.</w:t>
      </w:r>
      <w:r>
        <w:t xml:space="preserve"> </w:t>
      </w:r>
      <w:r>
        <w:t xml:space="preserve">at 460;</w:t>
      </w:r>
    </w:p>
    <w:p>
      <w:pPr>
        <w:pStyle w:val="BodyText"/>
      </w:pPr>
      <w:r>
        <w:t xml:space="preserve">“The volume of prescription opioids in Cabell/​Huntington was determined by the good faith prescribing decisions of doctors in accordance with established medical standards,”</w:t>
      </w:r>
      <w:r>
        <w:t xml:space="preserve"> </w:t>
      </w:r>
      <w:r>
        <w:rPr>
          <w:i/>
          <w:iCs/>
        </w:rPr>
        <w:t xml:space="preserve">id.</w:t>
      </w:r>
      <w:r>
        <w:t xml:space="preserve"> </w:t>
      </w:r>
      <w:r>
        <w:t xml:space="preserve">at 475.</w:t>
      </w:r>
    </w:p>
    <w:p>
      <w:pPr>
        <w:pStyle w:val="BodyTextNote"/>
      </w:pPr>
      <w:r>
        <w:t xml:space="preserve">This Court’s precedent forecloses petitioners’ argument, which is essentially nuisance per se liability. Since at least the 19th century, this Court has been clear that a “lawful business cannot be a nuisance per se.”</w:t>
      </w:r>
      <w:r>
        <w:t xml:space="preserve"> </w:t>
      </w:r>
      <w:r>
        <w:rPr>
          <w:i/>
          <w:iCs/>
        </w:rPr>
        <w:t xml:space="preserve">McGregor</w:t>
      </w:r>
      <w:r>
        <w:rPr>
          <w:i/>
          <w:iCs/>
        </w:rPr>
        <w:t xml:space="preserve"> </w:t>
      </w:r>
      <w:r>
        <w:rPr>
          <w:i/>
          <w:iCs/>
        </w:rPr>
        <w:t xml:space="preserve">v. Camden</w:t>
      </w:r>
      <w:r>
        <w:t xml:space="preserve">, 47 W. Va. 193, 34 S.E. 936, 937 (1899) (concluding that oil and gas drilling is not a nuisance per se because the “drilling of oil and gas wells is not only a legitimate business, but public policy upholds it, as being for the general welfare”). This Court has repeatedly rejected nuisance per se claims based on operation of a lawful business.</w:t>
      </w:r>
      <w:r>
        <w:t xml:space="preserve"> </w:t>
      </w:r>
      <w:r>
        <w:rPr>
          <w:i/>
          <w:iCs/>
        </w:rPr>
        <w:t xml:space="preserve">See, e.g.</w:t>
      </w:r>
      <w:r>
        <w:t xml:space="preserve">,</w:t>
      </w:r>
      <w:r>
        <w:t xml:space="preserve"> </w:t>
      </w:r>
      <w:r>
        <w:rPr>
          <w:i/>
          <w:iCs/>
        </w:rPr>
        <w:t xml:space="preserve">Burch</w:t>
      </w:r>
      <w:r>
        <w:rPr>
          <w:i/>
          <w:iCs/>
        </w:rPr>
        <w:t xml:space="preserve"> </w:t>
      </w:r>
      <w:r>
        <w:rPr>
          <w:i/>
          <w:iCs/>
        </w:rPr>
        <w:t xml:space="preserve">v. Nedpower Mount Storm, LLC</w:t>
      </w:r>
      <w:r>
        <w:t xml:space="preserve">, 220 W. Va. 443, 456–57, 647 S.E.2d 879, 892–93 (2007) (recognizing “that a lawful business or a business authorized to be conducted by the government cannot constitute a nuisance per se,” and concluding that a lawful wind power facility operating under a government license was not a nuisance per se).</w:t>
      </w:r>
      <w:r>
        <w:rPr>
          <w:rStyle w:val="FootnoteReference"/>
        </w:rPr>
        <w:footnoteReference w:id="37"/>
      </w:r>
    </w:p>
    <w:p>
      <w:pPr>
        <w:pStyle w:val="BodyText"/>
      </w:pPr>
      <w:r>
        <w:t xml:space="preserve">Prescription opioids are not a nuisance per se. Amicus curiae does not dispute that there is a genuine public health crisis involving opioid abuse and misuse. But as Judge Faber rightly noted, the distribution of opioids was not only approved but encouraged under West Virginia law and policy.</w:t>
      </w:r>
      <w:r>
        <w:t xml:space="preserve"> </w:t>
      </w:r>
      <w:r>
        <w:rPr>
          <w:i/>
          <w:iCs/>
        </w:rPr>
        <w:t xml:space="preserve">City of Huntington</w:t>
      </w:r>
      <w:r>
        <w:t xml:space="preserve">, 609 F. Supp. 3d at 459. Further, both the Drug Enforcement Agency and the U.S. Food and Drug Administration have endorsed properly managed medical use of opioids as safe and effective pain management.</w:t>
      </w:r>
      <w:r>
        <w:t xml:space="preserve"> </w:t>
      </w:r>
      <w:r>
        <w:rPr>
          <w:i/>
          <w:iCs/>
        </w:rPr>
        <w:t xml:space="preserve">Id.</w:t>
      </w:r>
      <w:r>
        <w:t xml:space="preserve"> </w:t>
      </w:r>
      <w:r>
        <w:t xml:space="preserve">at 448.</w:t>
      </w:r>
    </w:p>
    <w:p>
      <w:pPr>
        <w:keepNext/>
        <w:keepLines/>
        <w:spacing w:before="288" w:after="192" w:line="276" w:lineRule="exact"/>
        <w:ind w:left="720" w:hanging="720"/>
        <w:jc w:val="left"/>
      </w:pPr>
      <w:r>
        <w:rPr>
          <w:b/>
          <w:bCs/>
        </w:rPr>
        <w:t xml:space="preserve">D.</w:t>
      </w:r>
      <w:r>
        <w:rPr>
          <w:b/>
          <w:bCs/>
        </w:rPr>
        <w:t xml:space="preserve"> </w:t>
      </w:r>
      <w:r>
        <w:rPr>
          <w:b/>
          <w:bCs/>
        </w:rPr>
        <w:t xml:space="preserve">Petitioners’</w:t>
      </w:r>
      <w:r>
        <w:rPr>
          <w:b/>
          <w:bCs/>
        </w:rPr>
        <w:t xml:space="preserve"> </w:t>
      </w:r>
      <w:r>
        <w:rPr>
          <w:b/>
          <w:bCs/>
        </w:rPr>
        <w:t xml:space="preserve">Proposed</w:t>
      </w:r>
      <w:r>
        <w:rPr>
          <w:b/>
          <w:bCs/>
        </w:rPr>
        <w:t xml:space="preserve"> </w:t>
      </w:r>
      <w:r>
        <w:rPr>
          <w:b/>
          <w:bCs/>
        </w:rPr>
        <w:t xml:space="preserve">Expansion</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Law</w:t>
      </w:r>
      <w:r>
        <w:rPr>
          <w:b/>
          <w:bCs/>
        </w:rPr>
        <w:t xml:space="preserve"> </w:t>
      </w:r>
      <w:r>
        <w:rPr>
          <w:b/>
          <w:bCs/>
        </w:rPr>
        <w:t xml:space="preserve">Is</w:t>
      </w:r>
      <w:r>
        <w:rPr>
          <w:b/>
          <w:bCs/>
        </w:rPr>
        <w:t xml:space="preserve"> </w:t>
      </w:r>
      <w:r>
        <w:rPr>
          <w:b/>
          <w:bCs/>
        </w:rPr>
        <w:t xml:space="preserve">Void</w:t>
      </w:r>
      <w:r>
        <w:rPr>
          <w:b/>
          <w:bCs/>
        </w:rPr>
        <w:t xml:space="preserve"> </w:t>
      </w:r>
      <w:r>
        <w:rPr>
          <w:b/>
          <w:bCs/>
        </w:rPr>
        <w:t xml:space="preserve">for</w:t>
      </w:r>
      <w:r>
        <w:rPr>
          <w:b/>
          <w:bCs/>
        </w:rPr>
        <w:t xml:space="preserve"> </w:t>
      </w:r>
      <w:r>
        <w:rPr>
          <w:b/>
          <w:bCs/>
        </w:rPr>
        <w:t xml:space="preserve">Vagueness</w:t>
      </w:r>
      <w:r>
        <w:rPr>
          <w:b/>
          <w:bCs/>
        </w:rPr>
        <w:t xml:space="preserve"> </w:t>
      </w:r>
      <w:r>
        <w:rPr>
          <w:b/>
          <w:bCs/>
        </w:rPr>
        <w:t xml:space="preserve">Under</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Principles.</w:t>
      </w:r>
    </w:p>
    <w:p>
      <w:pPr>
        <w:pStyle w:val="BodyTextNote"/>
      </w:pPr>
      <w:r>
        <w:t xml:space="preserve">“Vague laws invite arbitrary power.”</w:t>
      </w:r>
      <w:r>
        <w:t xml:space="preserve"> </w:t>
      </w:r>
      <w:r>
        <w:rPr>
          <w:i/>
          <w:iCs/>
        </w:rPr>
        <w:t xml:space="preserve">Sessions v. Dimaya</w:t>
      </w:r>
      <w:r>
        <w:t xml:space="preserve">, 584 U.S. 148, 175 (2018) (Gorsuch, J., concurring).</w:t>
      </w:r>
      <w:r>
        <w:rPr>
          <w:rStyle w:val="FootnoteReference"/>
        </w:rPr>
        <w:footnoteReference w:id="38"/>
      </w:r>
      <w:r>
        <w:t xml:space="preserve"> </w:t>
      </w:r>
      <w:r>
        <w:t xml:space="preserve">Petitioners’ proposed scope of public nuisance law is so vague and imprecise as to “invite the exercise of arbitrary power” by “leaving the people in the dark about what the law demands” and allowing plaintiffs’ attorneys and courts to “make it up.”</w:t>
      </w:r>
      <w:r>
        <w:t xml:space="preserve"> </w:t>
      </w:r>
      <w:r>
        <w:rPr>
          <w:i/>
          <w:iCs/>
        </w:rPr>
        <w:t xml:space="preserve">Id.</w:t>
      </w:r>
      <w:r>
        <w:t xml:space="preserve"> </w:t>
      </w:r>
      <w:r>
        <w:t xml:space="preserve">This Court should reject petitioners’ request to create an unconstitutionally vague cause of action by judicial fiat, and then magnify the harm by applying that law ex post facto to respondents’ conduct.</w:t>
      </w:r>
      <w:r>
        <w:t xml:space="preserve"> </w:t>
      </w:r>
      <w:r>
        <w:rPr>
          <w:i/>
          <w:iCs/>
        </w:rPr>
        <w:t xml:space="preserve">See Bouie</w:t>
      </w:r>
      <w:r>
        <w:rPr>
          <w:i/>
          <w:iCs/>
        </w:rPr>
        <w:t xml:space="preserve"> </w:t>
      </w:r>
      <w:r>
        <w:rPr>
          <w:i/>
          <w:iCs/>
        </w:rPr>
        <w:t xml:space="preserve">v. City of Columbia</w:t>
      </w:r>
      <w:r>
        <w:t xml:space="preserve">, 378 U.S. 347, 353–54 (1964) (“If a state legislature is barred by the Ex Post Facto Clause from passing [legislation making conduct unlawful that was lawful at the time it was done], it must follow that a State Supreme Court is barred by the Due Process Clause from achieving precisely the same result by judicial construction.”).</w:t>
      </w:r>
      <w:r>
        <w:rPr>
          <w:rStyle w:val="FootnoteReference"/>
        </w:rPr>
        <w:footnoteReference w:id="39"/>
      </w:r>
    </w:p>
    <w:p>
      <w:pPr>
        <w:pStyle w:val="BodyText"/>
      </w:pPr>
      <w:r>
        <w:t xml:space="preserve">Petitioners argue that “[c]onditions caused by the distribution of a controlled substance constitute a public nuisance when they interfere with a public right, including public health and safety, by hurting or inconveniencing an indefinite number of persons.” PB 2 (emphasis added). This Court should reject petitioners’ proposed scope of public nuisance as violating due process under both the United States and West Virginia Constitutions. U.S. CONST. amend V.; W. Va. CONST. art. III, § 10. This Court has held that “vagueness challenges seek to vindicate two principles of due process: fair notice by defining prohibited conduct so that such behavior can be avoided, and adequate standards to prevent arbitrary and discriminatory law enforcement.”</w:t>
      </w:r>
      <w:r>
        <w:t xml:space="preserve"> </w:t>
      </w:r>
      <w:r>
        <w:rPr>
          <w:i/>
          <w:iCs/>
        </w:rPr>
        <w:t xml:space="preserve">State v. James</w:t>
      </w:r>
      <w:r>
        <w:t xml:space="preserve">, 227 W. Va. 407, 419, 710 S.E.2d 98, 110 (2011).</w:t>
      </w:r>
    </w:p>
    <w:p>
      <w:pPr>
        <w:pStyle w:val="BodyTextNote"/>
      </w:pPr>
      <w:r>
        <w:t xml:space="preserve">Although void-for-vagueness challenges most commonly involve criminal statutes, common law claims and civil statutes must also pass due-process standards.</w:t>
      </w:r>
      <w:r>
        <w:t xml:space="preserve"> </w:t>
      </w:r>
      <w:r>
        <w:rPr>
          <w:i/>
          <w:iCs/>
        </w:rPr>
        <w:t xml:space="preserve">See, e.g.</w:t>
      </w:r>
      <w:r>
        <w:t xml:space="preserve">,</w:t>
      </w:r>
      <w:r>
        <w:t xml:space="preserve"> </w:t>
      </w:r>
      <w:r>
        <w:rPr>
          <w:i/>
          <w:iCs/>
        </w:rPr>
        <w:t xml:space="preserve">State Farm Mut. Auto. Ins. Co. v. Campbell</w:t>
      </w:r>
      <w:r>
        <w:t xml:space="preserve">, 538 U.S. 408, 429 (2003) (reversing punitive damage award based on common law tort claims because the award constituted an irrational and arbitrary deprivation of property);</w:t>
      </w:r>
      <w:r>
        <w:t xml:space="preserve"> </w:t>
      </w:r>
      <w:r>
        <w:rPr>
          <w:i/>
          <w:iCs/>
        </w:rPr>
        <w:t xml:space="preserve">Hartsock-Flesher</w:t>
      </w:r>
      <w:r>
        <w:rPr>
          <w:i/>
          <w:iCs/>
        </w:rPr>
        <w:t xml:space="preserve"> </w:t>
      </w:r>
      <w:r>
        <w:rPr>
          <w:i/>
          <w:iCs/>
        </w:rPr>
        <w:t xml:space="preserve">Candy Co. v. Wheeling Wholesale Grocery Co.</w:t>
      </w:r>
      <w:r>
        <w:t xml:space="preserve">, 174 W. Va. 538, 546, 328 S.E.2d 144, 153 (1984) (applying due process vagueness doctrine to a statute regulating economic matters);</w:t>
      </w:r>
      <w:r>
        <w:rPr>
          <w:rStyle w:val="FootnoteReference"/>
        </w:rPr>
        <w:footnoteReference w:id="40"/>
      </w:r>
      <w:r>
        <w:t xml:space="preserve"> </w:t>
      </w:r>
      <w:r>
        <w:rPr>
          <w:i/>
          <w:iCs/>
        </w:rPr>
        <w:t xml:space="preserve">Sessions</w:t>
      </w:r>
      <w:r>
        <w:t xml:space="preserve">, 584 U.S. at 183 (Gorsuch, J., concurring) (reasoning that “the Constitution sought to preserve a common law tradition that usually aimed to ensure fair notice before any deprivation of life, liberty, or property could take place, whether under the banner of the criminal or the civil law”). Just as a punitive damages award can violate due process, a nuisance abatement order violates due process if the standards governing the issuance of the order are not sufficiently clear.</w:t>
      </w:r>
    </w:p>
    <w:p>
      <w:pPr>
        <w:pStyle w:val="BodyText"/>
      </w:pPr>
      <w:r>
        <w:t xml:space="preserve">Here, petitioners’ proposed scope of public nuisance liability is nearly boundless. They argue that a “plaintiff bringing a public nuisance claim must show interference with a right common to the general public” (i.e., interference with a “public right”). PB 30 (cleaned up). Notably, petitioners do not attempt to define what a “public right” is.</w:t>
      </w:r>
    </w:p>
    <w:p>
      <w:pPr>
        <w:pStyle w:val="BodyTextNote"/>
      </w:pPr>
      <w:r>
        <w:t xml:space="preserve">A “public right” is generally defined as a “right belonging to all citizens and usually vested in and exercised by a public office or political entity.”</w:t>
      </w:r>
      <w:r>
        <w:t xml:space="preserve"> </w:t>
      </w:r>
      <w:r>
        <w:rPr>
          <w:i/>
          <w:iCs/>
        </w:rPr>
        <w:t xml:space="preserve">Black’s Law Dictionary</w:t>
      </w:r>
      <w:r>
        <w:t xml:space="preserve"> </w:t>
      </w:r>
      <w:r>
        <w:t xml:space="preserve">(11th ed. 2019);</w:t>
      </w:r>
      <w:r>
        <w:t xml:space="preserve"> </w:t>
      </w:r>
      <w:r>
        <w:rPr>
          <w:i/>
          <w:iCs/>
        </w:rPr>
        <w:t xml:space="preserve">see also</w:t>
      </w:r>
      <w:r>
        <w:t xml:space="preserve"> </w:t>
      </w:r>
      <w:r>
        <w:t xml:space="preserve">4 William Blackstone, Commentaries *5 (discussing “the public rights and duties, due to the whole community, considered as a community, in its social aggregate capacity”). Under longstanding public nuisance law, the “term public right is reserved more appropriately for those indivisible resources shared by the public at large, such as air, water, or public rights of way.”</w:t>
      </w:r>
      <w:r>
        <w:t xml:space="preserve"> </w:t>
      </w:r>
      <w:r>
        <w:rPr>
          <w:i/>
          <w:iCs/>
        </w:rPr>
        <w:t xml:space="preserve">State v. Lead Indus., Ass’n, Inc.</w:t>
      </w:r>
      <w:r>
        <w:t xml:space="preserve">, 951 A.2d 428, 453 (R.I. 2008).</w:t>
      </w:r>
      <w:r>
        <w:rPr>
          <w:rStyle w:val="FootnoteReference"/>
        </w:rPr>
        <w:footnoteReference w:id="41"/>
      </w:r>
      <w:r>
        <w:t xml:space="preserve"> </w:t>
      </w:r>
      <w:r>
        <w:t xml:space="preserve">In contrast, the manufacturing, distributing, and selling of products “rarely, if ever, causes a violation of a public right as that term has been understood in the law of public nuisance,” because the “sheer number of violations does not transform the harm from individual injury to communal injury.”</w:t>
      </w:r>
      <w:r>
        <w:t xml:space="preserve"> </w:t>
      </w:r>
      <w:r>
        <w:rPr>
          <w:i/>
          <w:iCs/>
        </w:rPr>
        <w:t xml:space="preserve">Id.</w:t>
      </w:r>
      <w:r>
        <w:t xml:space="preserve"> </w:t>
      </w:r>
      <w:r>
        <w:t xml:space="preserve">at 448 (cleaned up).</w:t>
      </w:r>
    </w:p>
    <w:p>
      <w:pPr>
        <w:pStyle w:val="BodyText"/>
      </w:pPr>
      <w:r>
        <w:t xml:space="preserve">Petitioners have not alleged—much less proven—the interference with an indivisible resource such as air, water, or public rights of way. Instead, petitioners argue that opioid distribution has interfered with the three following “public rights”:</w:t>
      </w:r>
    </w:p>
    <w:p>
      <w:pPr>
        <w:pStyle w:val="BodyText"/>
      </w:pPr>
      <w:r>
        <w:t xml:space="preserve">First, the right to public health. Petitioners argue that excessive distribution of opioids can contribute to increased levels of addiction, increased rates of infectious disease and a rise in neonatal abstinence syndrome, and the risk of overwhelming public health resources (PB 31);</w:t>
      </w:r>
    </w:p>
    <w:p>
      <w:pPr>
        <w:pStyle w:val="BodyText"/>
      </w:pPr>
      <w:r>
        <w:t xml:space="preserve">Second, the right to public safety. Petitioners argue that excessive distribution of opioids can affect public safety by contributing to an increase in addiction-related crime, other dangerous activities, and widespread abuse of controlled substances in public spaces (PB 32);</w:t>
      </w:r>
    </w:p>
    <w:p>
      <w:pPr>
        <w:pStyle w:val="BodyText"/>
      </w:pPr>
      <w:r>
        <w:t xml:space="preserve">Third, the right to public property and resources not being overburdened. Petitioners argue that an epidemic can burden law enforcement, first responders, healthcare workers, the courts, employers, teachers, and families, that court dockets can become congested, jails and prisons overcrowded, the foster care system overburdened, and public property and public spaces harmed (PB 32–33).</w:t>
      </w:r>
    </w:p>
    <w:p>
      <w:pPr>
        <w:pStyle w:val="BodyTextNote"/>
      </w:pPr>
      <w:r>
        <w:t xml:space="preserve">These alleged violations of “public rights” bear almost no resemblance to traditional public nuisance law in West Virginia or nationally, which requires interference with an indivisible resource such as air, water, or public rights of way. Numerous courts have rejected similar claims based on the sale of products that allegedly interfered with the public right to health, wellness, and safety.</w:t>
      </w:r>
      <w:r>
        <w:t xml:space="preserve"> </w:t>
      </w:r>
      <w:r>
        <w:rPr>
          <w:i/>
          <w:iCs/>
        </w:rPr>
        <w:t xml:space="preserve">See, e.g.</w:t>
      </w:r>
      <w:r>
        <w:t xml:space="preserve">,</w:t>
      </w:r>
      <w:r>
        <w:t xml:space="preserve"> </w:t>
      </w:r>
      <w:r>
        <w:rPr>
          <w:i/>
          <w:iCs/>
        </w:rPr>
        <w:t xml:space="preserve">Johnson &amp; Johnson</w:t>
      </w:r>
      <w:r>
        <w:t xml:space="preserve">, 499 P.3d at 726 (rejecting opioid public nuisance claim and concluding that “a public right is a right to a public good, such as an indivisible resource shared by the public at large, like air, water, or public rights-of-way”) (cleaned up).</w:t>
      </w:r>
      <w:r>
        <w:rPr>
          <w:rStyle w:val="FootnoteReference"/>
        </w:rPr>
        <w:footnoteReference w:id="42"/>
      </w:r>
    </w:p>
    <w:p>
      <w:pPr>
        <w:pStyle w:val="BodyTextNote"/>
      </w:pPr>
      <w:r>
        <w:t xml:space="preserve">If public nuisance law can be applied here, then liability is limitless.</w:t>
      </w:r>
      <w:r>
        <w:rPr>
          <w:rStyle w:val="FootnoteReference"/>
        </w:rPr>
        <w:footnoteReference w:id="43"/>
      </w:r>
      <w:r>
        <w:t xml:space="preserve"> </w:t>
      </w:r>
      <w:r>
        <w:t xml:space="preserve">Based on petitioners’ argument, an accumulation of individual hurts or inconveniences is enough to trigger liability. But under well-established public nuisance law, and due process standards, more must be proven than interference with general notions of health, safety, and welfare. As this Court has rightly acknowledged: “Tort law is essentially a recognition of limitations expressing finite boundaries of recovery. . . . It is a question of public policy. Each segment of society will suffer injustice, whether situated as plaintiff or defendant, if there are no finite boundaries to liability[.]”</w:t>
      </w:r>
      <w:r>
        <w:t xml:space="preserve"> </w:t>
      </w:r>
      <w:r>
        <w:rPr>
          <w:i/>
          <w:iCs/>
        </w:rPr>
        <w:t xml:space="preserve">Aikens</w:t>
      </w:r>
      <w:r>
        <w:rPr>
          <w:i/>
          <w:iCs/>
        </w:rPr>
        <w:t xml:space="preserve"> </w:t>
      </w:r>
      <w:r>
        <w:rPr>
          <w:i/>
          <w:iCs/>
        </w:rPr>
        <w:t xml:space="preserve">v. Debow</w:t>
      </w:r>
      <w:r>
        <w:t xml:space="preserve">, 208 W. Va. 486, 502, 541 S.E.2d 576, 592 (2000) (emphasis added).</w:t>
      </w:r>
    </w:p>
    <w:p>
      <w:pPr>
        <w:pStyle w:val="BodyTextNote"/>
      </w:pPr>
      <w:r>
        <w:t xml:space="preserve">“In our constitutional order, a vague law is no law at all.”</w:t>
      </w:r>
      <w:r>
        <w:t xml:space="preserve"> </w:t>
      </w:r>
      <w:r>
        <w:rPr>
          <w:i/>
          <w:iCs/>
        </w:rPr>
        <w:t xml:space="preserve">United States v. Davis</w:t>
      </w:r>
      <w:r>
        <w:t xml:space="preserve">, 588 U.S. 445, 447 (2019). Petitioners’ proposal violates this basic constitutional standard, because their “nebulous descriptions of duty fail to provide any effective guidance about what is and is not permitted.”</w:t>
      </w:r>
      <w:r>
        <w:rPr>
          <w:rStyle w:val="FootnoteReference"/>
        </w:rPr>
        <w:footnoteReference w:id="44"/>
      </w:r>
      <w:r>
        <w:t xml:space="preserve"> </w:t>
      </w:r>
      <w:r>
        <w:t xml:space="preserve">These standards, therefore, are vague and unconstitutional law and should be rejected by this Court.</w:t>
      </w:r>
      <w:r>
        <w:t xml:space="preserve"> </w:t>
      </w:r>
      <w:r>
        <w:rPr>
          <w:i/>
          <w:iCs/>
        </w:rPr>
        <w:t xml:space="preserve">See Garcelon</w:t>
      </w:r>
      <w:r>
        <w:rPr>
          <w:i/>
          <w:iCs/>
        </w:rPr>
        <w:t xml:space="preserve"> </w:t>
      </w:r>
      <w:r>
        <w:rPr>
          <w:i/>
          <w:iCs/>
        </w:rPr>
        <w:t xml:space="preserve">v. Rutledge</w:t>
      </w:r>
      <w:r>
        <w:t xml:space="preserve">, 173 W. Va. 572, 574, 318 S.E.2d 622, 625 (1984) (“As a matter of basic procedural due process, a law is void on its face if it is so vague that persons of common intelligence must necessarily guess at its meaning and differ as to its application.”) (cleaned up).</w:t>
      </w:r>
    </w:p>
    <w:p>
      <w:pPr>
        <w:keepNext/>
        <w:keepLines/>
        <w:spacing w:before="288" w:after="192" w:line="276" w:lineRule="exact"/>
        <w:ind w:left="720" w:hanging="720"/>
        <w:jc w:val="left"/>
      </w:pPr>
      <w:r>
        <w:rPr>
          <w:b/>
          <w:bCs/>
        </w:rPr>
        <w:t xml:space="preserve">E.</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Liable</w:t>
      </w:r>
      <w:r>
        <w:rPr>
          <w:b/>
          <w:bCs/>
        </w:rPr>
        <w:t xml:space="preserve"> </w:t>
      </w:r>
      <w:r>
        <w:rPr>
          <w:b/>
          <w:bCs/>
        </w:rPr>
        <w:t xml:space="preserve">for</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a</w:t>
      </w:r>
      <w:r>
        <w:rPr>
          <w:b/>
          <w:bCs/>
        </w:rPr>
        <w:t xml:space="preserve"> </w:t>
      </w:r>
      <w:r>
        <w:rPr>
          <w:b/>
          <w:bCs/>
        </w:rPr>
        <w:t xml:space="preserve">Defendant</w:t>
      </w:r>
      <w:r>
        <w:rPr>
          <w:b/>
          <w:bCs/>
        </w:rPr>
        <w:t xml:space="preserve"> </w:t>
      </w:r>
      <w:r>
        <w:rPr>
          <w:b/>
          <w:bCs/>
        </w:rPr>
        <w:t xml:space="preserve">Must</w:t>
      </w:r>
      <w:r>
        <w:rPr>
          <w:b/>
          <w:bCs/>
        </w:rPr>
        <w:t xml:space="preserve"> </w:t>
      </w:r>
      <w:r>
        <w:rPr>
          <w:b/>
          <w:bCs/>
        </w:rPr>
        <w:t xml:space="preserve">Exercise</w:t>
      </w:r>
      <w:r>
        <w:rPr>
          <w:b/>
          <w:bCs/>
        </w:rPr>
        <w:t xml:space="preserve"> </w:t>
      </w:r>
      <w:r>
        <w:rPr>
          <w:b/>
          <w:bCs/>
        </w:rPr>
        <w:t xml:space="preserve">Sufficient</w:t>
      </w:r>
      <w:r>
        <w:rPr>
          <w:b/>
          <w:bCs/>
        </w:rPr>
        <w:t xml:space="preserve"> </w:t>
      </w:r>
      <w:r>
        <w:rPr>
          <w:b/>
          <w:bCs/>
        </w:rPr>
        <w:t xml:space="preserve">Control</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Source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Interference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Right.</w:t>
      </w:r>
    </w:p>
    <w:p>
      <w:pPr>
        <w:pStyle w:val="BodyText"/>
      </w:pPr>
      <w:r>
        <w:t xml:space="preserve">As already argued, this Court should answer the certified question in the negative. But if this Court determines that distribution of a controlled substance may constitute a public nuisance, it should nevertheless decline to adopt petitioners’ proposed elements of the offense.</w:t>
      </w:r>
      <w:r>
        <w:t xml:space="preserve"> </w:t>
      </w:r>
      <w:r>
        <w:rPr>
          <w:i/>
          <w:iCs/>
        </w:rPr>
        <w:t xml:space="preserve">See</w:t>
      </w:r>
      <w:r>
        <w:t xml:space="preserve"> </w:t>
      </w:r>
      <w:r>
        <w:t xml:space="preserve">PB 29 (listing three elements). Notably absent from petitioners’ proposal is the requirement that a defendant “exercise sufficient control over the source of the interference with the public right.”</w:t>
      </w:r>
      <w:r>
        <w:t xml:space="preserve"> </w:t>
      </w:r>
      <w:r>
        <w:rPr>
          <w:i/>
          <w:iCs/>
        </w:rPr>
        <w:t xml:space="preserve">Camden Cnty.</w:t>
      </w:r>
      <w:r>
        <w:rPr>
          <w:i/>
          <w:iCs/>
        </w:rPr>
        <w:t xml:space="preserve"> </w:t>
      </w:r>
      <w:r>
        <w:rPr>
          <w:i/>
          <w:iCs/>
        </w:rPr>
        <w:t xml:space="preserve">Bd. of Chosen Freeholders v. Beretta, U.S.A. Corp.</w:t>
      </w:r>
      <w:r>
        <w:t xml:space="preserve">, 273 F.3d 536, 541 (3d Cir. 2001). The element of control is necessary for at least two reasons.</w:t>
      </w:r>
    </w:p>
    <w:p>
      <w:pPr>
        <w:pStyle w:val="BodyText"/>
      </w:pPr>
      <w:r>
        <w:t xml:space="preserve">First, if a defendant does not have sufficient control over the source of the nuisance-causing product, then they cannot be held liable for lack of proving proximate cause.</w:t>
      </w:r>
      <w:r>
        <w:t xml:space="preserve"> </w:t>
      </w:r>
      <w:r>
        <w:rPr>
          <w:i/>
          <w:iCs/>
        </w:rPr>
        <w:t xml:space="preserve">See, e.g.</w:t>
      </w:r>
      <w:r>
        <w:t xml:space="preserve">,</w:t>
      </w:r>
      <w:r>
        <w:t xml:space="preserve"> </w:t>
      </w:r>
      <w:r>
        <w:rPr>
          <w:i/>
          <w:iCs/>
        </w:rPr>
        <w:t xml:space="preserve">City of Philadelphia</w:t>
      </w:r>
      <w:r>
        <w:rPr>
          <w:i/>
          <w:iCs/>
        </w:rPr>
        <w:t xml:space="preserve"> </w:t>
      </w:r>
      <w:r>
        <w:rPr>
          <w:i/>
          <w:iCs/>
        </w:rPr>
        <w:t xml:space="preserve">v. Beretta U.S.A. Corp.</w:t>
      </w:r>
      <w:r>
        <w:t xml:space="preserve">, 277 F.3d 415, 422 (3d Cir. 2002) (holding that because “the gun manufacturers do not exercise significant control over the source of the interference with the public right . . . the causal chain is too attenuated to make out a public nuisance claim”). Under West Virginia law, to establish an abatable public nuisance, a plaintiff must prove both “the injury and the proximate cause.”</w:t>
      </w:r>
      <w:r>
        <w:t xml:space="preserve"> </w:t>
      </w:r>
      <w:r>
        <w:rPr>
          <w:i/>
          <w:iCs/>
        </w:rPr>
        <w:t xml:space="preserve">Valentine</w:t>
      </w:r>
      <w:r>
        <w:rPr>
          <w:i/>
          <w:iCs/>
        </w:rPr>
        <w:t xml:space="preserve"> </w:t>
      </w:r>
      <w:r>
        <w:rPr>
          <w:i/>
          <w:iCs/>
        </w:rPr>
        <w:t xml:space="preserve">v. Wheeling Elec. Co.</w:t>
      </w:r>
      <w:r>
        <w:t xml:space="preserve">, 180 W. Va. 382, 385 n.4, 376 S.E.2d 588, 591 n.4 (1988). A proximate cause is a cause in fact that is also a legal cause justifying the imposition of liability; remote causes cannot be proximate causes.</w:t>
      </w:r>
      <w:r>
        <w:t xml:space="preserve"> </w:t>
      </w:r>
      <w:r>
        <w:rPr>
          <w:i/>
          <w:iCs/>
        </w:rPr>
        <w:t xml:space="preserve">See Phillips</w:t>
      </w:r>
      <w:r>
        <w:rPr>
          <w:i/>
          <w:iCs/>
        </w:rPr>
        <w:t xml:space="preserve"> </w:t>
      </w:r>
      <w:r>
        <w:rPr>
          <w:i/>
          <w:iCs/>
        </w:rPr>
        <w:t xml:space="preserve">v. Ritchie Cnty.</w:t>
      </w:r>
      <w:r>
        <w:t xml:space="preserve">, 31 W. Va. 477, 7 S.E. 427, 430 (1888) (holding that the defective condition of a road, although a “remote cause,” was not the legal or proximate cause of a vehicle accident because the driver’s recklessness was the “direct and sole legal cause of it”).</w:t>
      </w:r>
    </w:p>
    <w:p>
      <w:pPr>
        <w:pStyle w:val="BodyTextNote"/>
      </w:pPr>
      <w:r>
        <w:t xml:space="preserve">Second, a defendant cannot abate—i.e., “eliminate or nullify,”</w:t>
      </w:r>
      <w:r>
        <w:t xml:space="preserve"> </w:t>
      </w:r>
      <w:r>
        <w:rPr>
          <w:i/>
          <w:iCs/>
        </w:rPr>
        <w:t xml:space="preserve">Black’s Law Dictionary</w:t>
      </w:r>
      <w:r>
        <w:t xml:space="preserve"> </w:t>
      </w:r>
      <w:r>
        <w:t xml:space="preserve">(11th ed. 2019)—a nuisance that it does not control.</w:t>
      </w:r>
      <w:r>
        <w:t xml:space="preserve"> </w:t>
      </w:r>
      <w:r>
        <w:rPr>
          <w:i/>
          <w:iCs/>
        </w:rPr>
        <w:t xml:space="preserve">See Johnson &amp; Johnson</w:t>
      </w:r>
      <w:r>
        <w:t xml:space="preserve">, 499 P.3d at 728 (“Without control, a manufacturer also cannot remove or abate the nuisance––which is the remedy the State seeks from J&amp;J in this case.”).</w:t>
      </w:r>
      <w:r>
        <w:rPr>
          <w:rStyle w:val="FootnoteReference"/>
        </w:rPr>
        <w:footnoteReference w:id="45"/>
      </w:r>
    </w:p>
    <w:p>
      <w:pPr>
        <w:pStyle w:val="BodyTextNote"/>
      </w:pPr>
      <w:r>
        <w:t xml:space="preserve">Instead of requiring control, petitioners propose that “[a] distributor of a controlled substance can be held liable for public nuisance if its distribution is a cause of the harmful conditions at issue.” PB 3 (emphasis added). But what type of cause: a direct cause? A proximate cause? A substantial factor cause? Under petitioners’ broad proposal, the farmer who plants the poppy seed is liable for public nuisance because the planting of that seed “is a cause” of the downstream public health crises caused by opioids. Surely, petitioners’ proposal is unreasonable and unbounded. This Court should reject Plaintiffs’ position.</w:t>
      </w:r>
      <w:r>
        <w:t xml:space="preserve"> </w:t>
      </w:r>
      <w:r>
        <w:rPr>
          <w:i/>
          <w:iCs/>
        </w:rPr>
        <w:t xml:space="preserve">Rubin</w:t>
      </w:r>
      <w:r>
        <w:rPr>
          <w:i/>
          <w:iCs/>
        </w:rPr>
        <w:t xml:space="preserve"> </w:t>
      </w:r>
      <w:r>
        <w:rPr>
          <w:i/>
          <w:iCs/>
        </w:rPr>
        <w:t xml:space="preserve">Res., Inc. v. Morris</w:t>
      </w:r>
      <w:r>
        <w:t xml:space="preserve">, 237 W. Va. 370, 374, 787 S.E.2d 641, 645 (2016) (the purpose of requirement of but-for causation in attorney negligence case “is to safeguard against speculative and conjectural claims”). As noted by Chief Justice Armstead, the “damages alleged by [petitioners], despite their characterization of such damages as abatement, clearly fall within the definition of compensatory damages.”</w:t>
      </w:r>
      <w:r>
        <w:t xml:space="preserve"> </w:t>
      </w:r>
      <w:r>
        <w:rPr>
          <w:i/>
          <w:iCs/>
        </w:rPr>
        <w:t xml:space="preserve">State ex rel. AmerisourceBergen Drug Corp. v. Moats</w:t>
      </w:r>
      <w:r>
        <w:t xml:space="preserve">, 245 W. Va. 431, 449, 859 S.E.2d 374, 392 (2021) (Armstead, J., concurring in part, and dissenting in part).</w:t>
      </w:r>
      <w:r>
        <w:rPr>
          <w:rStyle w:val="FootnoteReference"/>
        </w:rPr>
        <w:footnoteReference w:id="46"/>
      </w:r>
      <w:r>
        <w:t xml:space="preserve"> </w:t>
      </w:r>
      <w:r>
        <w:t xml:space="preserve">The requirements of control and proximate causation help ensure that any abatement damages are not impermissibly speculative.</w:t>
      </w:r>
      <w:r>
        <w:rPr>
          <w:rStyle w:val="FootnoteReference"/>
        </w:rPr>
        <w:footnoteReference w:id="47"/>
      </w:r>
    </w:p>
    <w:p>
      <w:pPr>
        <w:pStyle w:val="BodyTextNote"/>
      </w:pPr>
      <w:r>
        <w:t xml:space="preserve">Judge Faber correctly held that control is lacking here, reasoning that the “core of plaintiffs’ case is the assertion that the alleged nuisance within their borders was caused by oversupply and diversion of opioids from their legitimate channels, resulting in overuse, addiction and the ‘gateway’ to malicious illegal substances such as heroin and fentanyl,” that this “oversupply and diversion were made possible, beyond the supply of opioids by defendants, by overprescribing by doctors, dispensing by pharmacists of the excessive prescriptions, and diversion of the drugs to illegal usage,” and that each of these causes are “effective intervening causes beyond the control of defendants.”</w:t>
      </w:r>
      <w:r>
        <w:t xml:space="preserve"> </w:t>
      </w:r>
      <w:r>
        <w:rPr>
          <w:i/>
          <w:iCs/>
        </w:rPr>
        <w:t xml:space="preserve">City of Huntington</w:t>
      </w:r>
      <w:r>
        <w:t xml:space="preserve">, 609 F. Supp. 3d at 482 (emphasis added). Judge Faber’s reasoning is sound and his factual findings unimpeachable. This Court should adopt his analysis and conclude that under West Virginia law, to prove proximate cause in a public nuisance claim, a plaintiff must establish that the defendant exercised control over the instrumentality alleged to have caused the nuisance when the damage occurred.</w:t>
      </w:r>
      <w:r>
        <w:rPr>
          <w:rStyle w:val="FootnoteReference"/>
        </w:rPr>
        <w:footnoteReference w:id="48"/>
      </w:r>
    </w:p>
    <w:p>
      <w:pPr>
        <w:keepNext/>
        <w:keepLines/>
        <w:spacing w:before="288" w:after="240" w:line="276" w:lineRule="exact"/>
        <w:ind w:left="0" w:firstLine="0"/>
        <w:jc w:val="center"/>
      </w:pPr>
      <w:r>
        <w:rPr>
          <w:b/>
          <w:bCs/>
        </w:rPr>
        <w:t xml:space="preserve">III.</w:t>
      </w:r>
      <w:r>
        <w:rPr>
          <w:b/>
          <w:bCs/>
        </w:rPr>
        <w:t xml:space="preserve"> </w:t>
      </w:r>
      <w:r>
        <w:rPr>
          <w:b/>
          <w:bCs/>
        </w:rPr>
        <w:t xml:space="preserve">CONCLUSION</w:t>
      </w:r>
    </w:p>
    <w:p>
      <w:pPr>
        <w:pStyle w:val="BodyText"/>
      </w:pPr>
      <w:r>
        <w:t xml:space="preserve">For the foregoing reasons, amicus curiae, American Tort Reform Association, requests that this Court answer the certified question in the negative and adopt Judge Faber’s reasoned analysis rejecting public nuisance claims based on opioid diversion and misuse.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608" w:firstLine="0"/>
                    <w:jc w:val="left"/>
                  </w:pPr>
                  <w:r>
                    <w:t xml:space="preserve">/s/</w:t>
                  </w:r>
                  <w:r>
                    <w:t xml:space="preserve"> </w:t>
                  </w:r>
                  <w:r>
                    <w:t xml:space="preserve">Marc</w:t>
                  </w:r>
                  <w:r>
                    <w:t xml:space="preserve"> </w:t>
                  </w:r>
                  <w:r>
                    <w:t xml:space="preserve">E.</w:t>
                  </w:r>
                  <w:r>
                    <w:t xml:space="preserve"> </w:t>
                  </w:r>
                  <w:r>
                    <w:t xml:space="preserve">Williams</w:t>
                  </w:r>
                </w:p>
                <w:p>
                  <w:pPr>
                    <w:spacing w:before="0" w:after="0" w:line="276" w:lineRule="exact"/>
                    <w:ind w:left="4608" w:firstLine="0"/>
                    <w:jc w:val="left"/>
                  </w:pPr>
                  <w:r>
                    <w:t xml:space="preserve">(WV</w:t>
                  </w:r>
                  <w:r>
                    <w:t xml:space="preserve"> </w:t>
                  </w:r>
                  <w:r>
                    <w:t xml:space="preserve">Bar</w:t>
                  </w:r>
                  <w:r>
                    <w:t xml:space="preserve"> </w:t>
                  </w:r>
                  <w:r>
                    <w:t xml:space="preserve">No.</w:t>
                  </w:r>
                  <w:r>
                    <w:t xml:space="preserve"> </w:t>
                  </w:r>
                  <w:r>
                    <w:t xml:space="preserve">4062)</w:t>
                  </w:r>
                </w:p>
                <w:p>
                  <w:pPr>
                    <w:spacing w:before="144" w:after="0" w:line="276" w:lineRule="exact"/>
                    <w:ind w:left="4608" w:firstLine="0"/>
                    <w:jc w:val="left"/>
                  </w:pPr>
                  <w:r>
                    <w:t xml:space="preserve">Shaina</w:t>
                  </w:r>
                  <w:r>
                    <w:t xml:space="preserve"> </w:t>
                  </w:r>
                  <w:r>
                    <w:t xml:space="preserve">D.</w:t>
                  </w:r>
                  <w:r>
                    <w:t xml:space="preserve"> </w:t>
                  </w:r>
                  <w:r>
                    <w:t xml:space="preserve">Massie</w:t>
                  </w:r>
                  <w:r>
                    <w:t xml:space="preserve"> </w:t>
                  </w:r>
                  <w:r>
                    <w:t xml:space="preserve">(WV</w:t>
                  </w:r>
                  <w:r>
                    <w:t xml:space="preserve"> </w:t>
                  </w:r>
                  <w:r>
                    <w:t xml:space="preserve">Bar</w:t>
                  </w:r>
                  <w:r>
                    <w:t xml:space="preserve"> </w:t>
                  </w:r>
                  <w:r>
                    <w:t xml:space="preserve">No.</w:t>
                  </w:r>
                  <w:r>
                    <w:t xml:space="preserve"> </w:t>
                  </w:r>
                  <w:r>
                    <w:t xml:space="preserve">13018)</w:t>
                  </w:r>
                </w:p>
                <w:p>
                  <w:pPr>
                    <w:spacing w:before="72" w:after="0" w:line="276" w:lineRule="exact"/>
                    <w:ind w:left="4608" w:firstLine="0"/>
                    <w:jc w:val="left"/>
                  </w:pPr>
                  <w:r>
                    <w:t xml:space="preserve">NELSON</w:t>
                  </w:r>
                  <w:r>
                    <w:t xml:space="preserve"> </w:t>
                  </w:r>
                  <w:r>
                    <w:t xml:space="preserve">MULLINS</w:t>
                  </w:r>
                  <w:r>
                    <w:t xml:space="preserve"> </w:t>
                  </w:r>
                  <w:r>
                    <w:t xml:space="preserve">RILEY</w:t>
                  </w:r>
                  <w:r>
                    <w:t xml:space="preserve"> </w:t>
                  </w:r>
                  <w:r>
                    <w:t xml:space="preserve">&amp;</w:t>
                  </w:r>
                  <w:r>
                    <w:t xml:space="preserve"> </w:t>
                  </w:r>
                  <w:r>
                    <w:t xml:space="preserve">SCARBOROUGH</w:t>
                  </w:r>
                  <w:r>
                    <w:t xml:space="preserve"> </w:t>
                  </w:r>
                  <w:r>
                    <w:t xml:space="preserve">LLP</w:t>
                  </w:r>
                </w:p>
                <w:p>
                  <w:pPr>
                    <w:spacing w:before="0" w:after="0" w:line="276" w:lineRule="exact"/>
                    <w:ind w:left="4608" w:firstLine="0"/>
                    <w:jc w:val="left"/>
                  </w:pPr>
                  <w:r>
                    <w:t xml:space="preserve">949</w:t>
                  </w:r>
                  <w:r>
                    <w:t xml:space="preserve"> </w:t>
                  </w:r>
                  <w:r>
                    <w:t xml:space="preserve">Third</w:t>
                  </w:r>
                  <w:r>
                    <w:t xml:space="preserve"> </w:t>
                  </w:r>
                  <w:r>
                    <w:t xml:space="preserve">Avenue,</w:t>
                  </w:r>
                  <w:r>
                    <w:t xml:space="preserve"> </w:t>
                  </w:r>
                  <w:r>
                    <w:t xml:space="preserve">Suite</w:t>
                  </w:r>
                  <w:r>
                    <w:t xml:space="preserve"> </w:t>
                  </w:r>
                  <w:r>
                    <w:t xml:space="preserve">200</w:t>
                  </w:r>
                </w:p>
                <w:p>
                  <w:pPr>
                    <w:spacing w:before="0" w:after="0" w:line="276" w:lineRule="exact"/>
                    <w:ind w:left="4608" w:firstLine="0"/>
                    <w:jc w:val="left"/>
                  </w:pPr>
                  <w:r>
                    <w:t xml:space="preserve">Huntington,</w:t>
                  </w:r>
                  <w:r>
                    <w:t xml:space="preserve"> </w:t>
                  </w:r>
                  <w:r>
                    <w:t xml:space="preserve">WV</w:t>
                  </w:r>
                  <w:r>
                    <w:t xml:space="preserve"> </w:t>
                  </w:r>
                  <w:r>
                    <w:t xml:space="preserve">25701</w:t>
                  </w:r>
                </w:p>
                <w:p>
                  <w:pPr>
                    <w:spacing w:before="0" w:after="0" w:line="276" w:lineRule="exact"/>
                    <w:ind w:left="4608" w:firstLine="0"/>
                    <w:jc w:val="left"/>
                  </w:pPr>
                  <w:r>
                    <w:t xml:space="preserve">Phone:</w:t>
                  </w:r>
                  <w:r>
                    <w:t xml:space="preserve"> </w:t>
                  </w:r>
                  <w:r>
                    <w:t xml:space="preserve">(304)</w:t>
                  </w:r>
                  <w:r>
                    <w:t xml:space="preserve"> </w:t>
                  </w:r>
                  <w:r>
                    <w:t xml:space="preserve">526</w:t>
                    <w:noBreakHyphen/>
                    <w:t xml:space="preserve">3500</w:t>
                  </w:r>
                </w:p>
                <w:p>
                  <w:pPr>
                    <w:spacing w:before="0" w:after="0" w:line="276" w:lineRule="exact"/>
                    <w:ind w:left="4608" w:firstLine="0"/>
                    <w:jc w:val="left"/>
                  </w:pPr>
                  <w:r>
                    <w:t xml:space="preserve">Fax:</w:t>
                  </w:r>
                  <w:r>
                    <w:t xml:space="preserve"> </w:t>
                  </w:r>
                  <w:r>
                    <w:t xml:space="preserve">(304)</w:t>
                  </w:r>
                  <w:r>
                    <w:t xml:space="preserve"> </w:t>
                  </w:r>
                  <w:r>
                    <w:t xml:space="preserve">526</w:t>
                    <w:noBreakHyphen/>
                    <w:t xml:space="preserve">3599</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American</w:t>
                  </w:r>
                  <w:r>
                    <w:rPr>
                      <w:i/>
                      <w:iCs/>
                    </w:rPr>
                    <w:t xml:space="preserve"> </w:t>
                  </w:r>
                  <w:r>
                    <w:rPr>
                      <w:i/>
                      <w:iCs/>
                    </w:rPr>
                    <w:t xml:space="preserve">Tort</w:t>
                  </w:r>
                  <w:r>
                    <w:rPr>
                      <w:i/>
                      <w:iCs/>
                    </w:rPr>
                    <w:t xml:space="preserve"> </w:t>
                  </w:r>
                  <w:r>
                    <w:rPr>
                      <w:i/>
                      <w:iCs/>
                    </w:rPr>
                    <w:t xml:space="preserve">Reform</w:t>
                  </w:r>
                  <w:r>
                    <w:rPr>
                      <w:i/>
                      <w:iCs/>
                    </w:rPr>
                    <w:t xml:space="preserve"> </w:t>
                  </w:r>
                  <w:r>
                    <w:rPr>
                      <w:i/>
                      <w:iCs/>
                    </w:rPr>
                    <w:t xml:space="preserve">Association</w:t>
                  </w:r>
                </w:p>
              </w:tc>
            </w:tr>
          </w:tbl>
          <w:p>
            <w:pPr>
              <w:spacing w:before="0" w:after="0" w:line="1" w:lineRule="exact"/>
            </w:pPr>
          </w:p>
        </w:tc>
      </w:tr>
    </w:tbl>
    <w:p>
      <w:pPr>
        <w:pageBreakBefore/>
        <w:spacing w:before="0" w:after="0" w:line="1" w:lineRule="exact"/>
      </w:pP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288" w:after="0" w:line="276" w:lineRule="exact"/>
        <w:ind w:left="0" w:firstLine="0"/>
        <w:jc w:val="center"/>
      </w:pPr>
      <w:r>
        <w:t xml:space="preserve">CITY</w:t>
      </w:r>
      <w:r>
        <w:t xml:space="preserve"> </w:t>
      </w:r>
      <w:r>
        <w:t xml:space="preserve">OF</w:t>
      </w:r>
      <w:r>
        <w:t xml:space="preserve"> </w:t>
      </w:r>
      <w:r>
        <w:t xml:space="preserve">HUNTINGTON,</w:t>
      </w:r>
      <w:r>
        <w:t xml:space="preserve"> </w:t>
      </w:r>
      <w:r>
        <w:t xml:space="preserve">WEST</w:t>
      </w:r>
      <w:r>
        <w:t xml:space="preserve"> </w:t>
      </w:r>
      <w:r>
        <w:t xml:space="preserve">VIRGINIA,</w:t>
      </w:r>
      <w:r>
        <w:t xml:space="preserve"> </w:t>
      </w:r>
      <w:r>
        <w:t xml:space="preserve">and</w:t>
      </w:r>
      <w:r>
        <w:t xml:space="preserve"> </w:t>
      </w:r>
      <w:r>
        <w:t xml:space="preserve">CABELL</w:t>
      </w:r>
      <w:r>
        <w:t xml:space="preserve"> </w:t>
      </w:r>
      <w:r>
        <w:t xml:space="preserve">COUNTY</w:t>
      </w:r>
      <w:r>
        <w:t xml:space="preserve"> </w:t>
      </w:r>
      <w:r>
        <w:t xml:space="preserve">COMMISSION,</w:t>
      </w:r>
    </w:p>
    <w:p>
      <w:pPr>
        <w:spacing w:before="0" w:after="0" w:line="276" w:lineRule="exact"/>
        <w:ind w:left="0" w:firstLine="0"/>
        <w:jc w:val="center"/>
      </w:pPr>
      <w:r>
        <w:rPr>
          <w:i/>
          <w:iCs/>
        </w:rPr>
        <w:t xml:space="preserve">Petitioners</w:t>
      </w:r>
    </w:p>
    <w:p>
      <w:pPr>
        <w:spacing w:before="288" w:after="0" w:line="276" w:lineRule="exact"/>
        <w:ind w:left="0" w:firstLine="0"/>
        <w:jc w:val="center"/>
      </w:pPr>
      <w:r>
        <w:t xml:space="preserve">v.</w:t>
      </w:r>
    </w:p>
    <w:p>
      <w:pPr>
        <w:spacing w:before="0" w:after="0" w:line="276" w:lineRule="exact"/>
        <w:ind w:left="0" w:firstLine="0"/>
        <w:jc w:val="center"/>
      </w:pPr>
    </w:p>
    <w:p>
      <w:pPr>
        <w:spacing w:before="288" w:after="0" w:line="276" w:lineRule="exact"/>
        <w:ind w:left="0" w:firstLine="0"/>
        <w:jc w:val="center"/>
      </w:pPr>
      <w:r>
        <w:t xml:space="preserve">AMERISOURCEBERGEN</w:t>
      </w:r>
      <w:r>
        <w:t xml:space="preserve"> </w:t>
      </w:r>
      <w:r>
        <w:t xml:space="preserve">DRUG</w:t>
      </w:r>
      <w:r>
        <w:t xml:space="preserve"> </w:t>
      </w:r>
      <w:r>
        <w:t xml:space="preserve">CORPORATION,</w:t>
      </w:r>
      <w:r>
        <w:t xml:space="preserve"> </w:t>
      </w:r>
      <w:r>
        <w:t xml:space="preserve">CARDINAL</w:t>
      </w:r>
      <w:r>
        <w:t xml:space="preserve"> </w:t>
      </w:r>
      <w:r>
        <w:t xml:space="preserve">HEALTH,</w:t>
      </w:r>
      <w:r>
        <w:t xml:space="preserve"> </w:t>
      </w:r>
      <w:r>
        <w:t xml:space="preserve">INC.,</w:t>
      </w:r>
      <w:r>
        <w:t xml:space="preserve"> </w:t>
      </w:r>
      <w:r>
        <w:t xml:space="preserve">and</w:t>
      </w:r>
      <w:r>
        <w:t xml:space="preserve"> </w:t>
      </w:r>
      <w:r>
        <w:t xml:space="preserve">MCKESSON</w:t>
      </w:r>
      <w:r>
        <w:t xml:space="preserve"> </w:t>
      </w:r>
      <w:r>
        <w:t xml:space="preserve">CORPORATION,</w:t>
      </w:r>
    </w:p>
    <w:p>
      <w:pPr>
        <w:spacing w:before="0" w:after="0" w:line="276" w:lineRule="exact"/>
        <w:ind w:left="0" w:firstLine="0"/>
        <w:jc w:val="center"/>
      </w:pPr>
      <w:r>
        <w:rPr>
          <w:i/>
          <w:iCs/>
        </w:rPr>
        <w:t xml:space="preserve">Respondents</w:t>
      </w:r>
    </w:p>
    <w:p>
      <w:pPr>
        <w:spacing w:before="432"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the</w:t>
      </w:r>
      <w:r>
        <w:t xml:space="preserve"> </w:t>
      </w:r>
      <w:r>
        <w:t xml:space="preserve">20th</w:t>
      </w:r>
      <w:r>
        <w:t xml:space="preserve"> </w:t>
      </w:r>
      <w:r>
        <w:t xml:space="preserve">day</w:t>
      </w:r>
      <w:r>
        <w:t xml:space="preserve"> </w:t>
      </w:r>
      <w:r>
        <w:t xml:space="preserve">of</w:t>
      </w:r>
      <w:r>
        <w:t xml:space="preserve"> </w:t>
      </w:r>
      <w:r>
        <w:t xml:space="preserve">May,</w:t>
      </w:r>
      <w:r>
        <w:t xml:space="preserve"> </w:t>
      </w:r>
      <w:r>
        <w:t xml:space="preserve">2024,</w:t>
      </w:r>
      <w:r>
        <w:t xml:space="preserve"> </w:t>
      </w:r>
      <w:r>
        <w:t xml:space="preserve">the</w:t>
      </w:r>
      <w:r>
        <w:t xml:space="preserve"> </w:t>
      </w:r>
      <w:r>
        <w:t xml:space="preserve">foregoing</w:t>
      </w:r>
      <w:r>
        <w:t xml:space="preserve"> </w:t>
      </w:r>
      <w:r>
        <w:t xml:space="preserve">“Amicus</w:t>
      </w:r>
      <w:r>
        <w:t xml:space="preserve"> </w:t>
      </w:r>
      <w:r>
        <w:t xml:space="preserve">Curiae</w:t>
      </w:r>
      <w:r>
        <w:t xml:space="preserve"> </w:t>
      </w:r>
      <w:r>
        <w:t xml:space="preserve">Brief</w:t>
      </w:r>
      <w:r>
        <w:t xml:space="preserve"> </w:t>
      </w:r>
      <w:r>
        <w:t xml:space="preserve">Submitted</w:t>
      </w:r>
      <w:r>
        <w:t xml:space="preserve"> </w:t>
      </w:r>
      <w:r>
        <w:t xml:space="preserve">by</w:t>
      </w:r>
      <w:r>
        <w:t xml:space="preserve"> </w:t>
      </w:r>
      <w:r>
        <w:t xml:space="preserve">American</w:t>
      </w:r>
      <w:r>
        <w:t xml:space="preserve"> </w:t>
      </w:r>
      <w:r>
        <w:t xml:space="preserve">Tort</w:t>
      </w:r>
      <w:r>
        <w:t xml:space="preserve"> </w:t>
      </w:r>
      <w:r>
        <w:t xml:space="preserve">Reform</w:t>
      </w:r>
      <w:r>
        <w:t xml:space="preserve"> </w:t>
      </w:r>
      <w:r>
        <w:t xml:space="preserve">Association</w:t>
      </w:r>
      <w:r>
        <w:t xml:space="preserve"> </w:t>
      </w:r>
      <w:r>
        <w:t xml:space="preserve">in</w:t>
      </w:r>
      <w:r>
        <w:t xml:space="preserve"> </w:t>
      </w:r>
      <w:r>
        <w:t xml:space="preserve">Support</w:t>
      </w:r>
      <w:r>
        <w:t xml:space="preserve"> </w:t>
      </w:r>
      <w:r>
        <w:t xml:space="preserve">of</w:t>
      </w:r>
      <w:r>
        <w:t xml:space="preserve"> </w:t>
      </w:r>
      <w:r>
        <w:t xml:space="preserve">Respondents</w:t>
      </w:r>
      <w:r>
        <w:t xml:space="preserve"> </w:t>
      </w:r>
      <w:r>
        <w:t xml:space="preserve">AmerisourceBergen</w:t>
      </w:r>
      <w:r>
        <w:t xml:space="preserve"> </w:t>
      </w:r>
      <w:r>
        <w:t xml:space="preserve">Drug</w:t>
      </w:r>
      <w:r>
        <w:t xml:space="preserve"> </w:t>
      </w:r>
      <w:r>
        <w:t xml:space="preserve">Corporation,</w:t>
      </w:r>
      <w:r>
        <w:t xml:space="preserve"> </w:t>
      </w:r>
      <w:r>
        <w:t xml:space="preserve">Cardinal</w:t>
      </w:r>
      <w:r>
        <w:t xml:space="preserve"> </w:t>
      </w:r>
      <w:r>
        <w:t xml:space="preserve">Health,</w:t>
      </w:r>
      <w:r>
        <w:t xml:space="preserve"> </w:t>
      </w:r>
      <w:r>
        <w:t xml:space="preserve">Inc.,</w:t>
      </w:r>
      <w:r>
        <w:t xml:space="preserve"> </w:t>
      </w:r>
      <w:r>
        <w:t xml:space="preserve">and</w:t>
      </w:r>
      <w:r>
        <w:t xml:space="preserve"> </w:t>
      </w:r>
      <w:r>
        <w:t xml:space="preserve">McKesson</w:t>
      </w:r>
      <w:r>
        <w:t xml:space="preserve"> </w:t>
      </w:r>
      <w:r>
        <w:t xml:space="preserve">Corporation”</w:t>
      </w:r>
      <w:r>
        <w:t xml:space="preserve"> </w:t>
      </w:r>
      <w:r>
        <w:t xml:space="preserve">was</w:t>
      </w:r>
      <w:r>
        <w:t xml:space="preserve"> </w:t>
      </w:r>
      <w:r>
        <w:t xml:space="preserve">served</w:t>
      </w:r>
      <w:r>
        <w:t xml:space="preserve"> </w:t>
      </w:r>
      <w:r>
        <w:t xml:space="preserve">using</w:t>
      </w:r>
      <w:r>
        <w:t xml:space="preserve"> </w:t>
      </w:r>
      <w:r>
        <w:t xml:space="preserve">the</w:t>
      </w:r>
      <w:r>
        <w:t xml:space="preserve"> </w:t>
      </w:r>
      <w:r>
        <w:t xml:space="preserve">electronic</w:t>
      </w:r>
      <w:r>
        <w:t xml:space="preserve"> </w:t>
      </w:r>
      <w:r>
        <w:t xml:space="preserve">File</w:t>
      </w:r>
      <w:r>
        <w:t xml:space="preserve"> </w:t>
      </w:r>
      <w:r>
        <w:t xml:space="preserve">&amp;</w:t>
      </w:r>
      <w:r>
        <w:t xml:space="preserve"> </w:t>
      </w:r>
      <w:r>
        <w:t xml:space="preserve">ServeXpress</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608" w:firstLine="0"/>
              <w:jc w:val="left"/>
            </w:pPr>
            <w:r>
              <w:t xml:space="preserve">/s/</w:t>
            </w:r>
            <w:r>
              <w:t xml:space="preserve"> </w:t>
            </w:r>
            <w:r>
              <w:t xml:space="preserve">Marc</w:t>
            </w:r>
            <w:r>
              <w:t xml:space="preserve"> </w:t>
            </w:r>
            <w:r>
              <w:t xml:space="preserve">E.</w:t>
            </w:r>
            <w:r>
              <w:t xml:space="preserve"> </w:t>
            </w:r>
            <w:r>
              <w:t xml:space="preserve">Williams</w:t>
            </w:r>
          </w:p>
          <w:p>
            <w:pPr>
              <w:spacing w:before="0" w:after="0" w:line="276" w:lineRule="exact"/>
              <w:ind w:left="4608" w:firstLine="0"/>
              <w:jc w:val="left"/>
            </w:pPr>
            <w:r>
              <w:t xml:space="preserve">(WV</w:t>
            </w:r>
            <w:r>
              <w:t xml:space="preserve"> </w:t>
            </w:r>
            <w:r>
              <w:t xml:space="preserve">Bar</w:t>
            </w:r>
            <w:r>
              <w:t xml:space="preserve"> </w:t>
            </w:r>
            <w:r>
              <w:t xml:space="preserve">No.</w:t>
            </w:r>
            <w:r>
              <w:t xml:space="preserve"> </w:t>
            </w:r>
            <w:r>
              <w:t xml:space="preserve">4062)</w:t>
            </w:r>
          </w:p>
          <w:p>
            <w:pPr>
              <w:spacing w:before="144" w:after="0" w:line="276" w:lineRule="exact"/>
              <w:ind w:left="4608" w:firstLine="0"/>
              <w:jc w:val="left"/>
            </w:pPr>
            <w:r>
              <w:t xml:space="preserve">Shaina</w:t>
            </w:r>
            <w:r>
              <w:t xml:space="preserve"> </w:t>
            </w:r>
            <w:r>
              <w:t xml:space="preserve">D.</w:t>
            </w:r>
            <w:r>
              <w:t xml:space="preserve"> </w:t>
            </w:r>
            <w:r>
              <w:t xml:space="preserve">Massie</w:t>
            </w:r>
            <w:r>
              <w:t xml:space="preserve"> </w:t>
            </w:r>
            <w:r>
              <w:t xml:space="preserve">(WV</w:t>
            </w:r>
            <w:r>
              <w:t xml:space="preserve"> </w:t>
            </w:r>
            <w:r>
              <w:t xml:space="preserve">Bar</w:t>
            </w:r>
            <w:r>
              <w:t xml:space="preserve"> </w:t>
            </w:r>
            <w:r>
              <w:t xml:space="preserve">No.</w:t>
            </w:r>
            <w:r>
              <w:t xml:space="preserve"> </w:t>
            </w:r>
            <w:r>
              <w:t xml:space="preserve">13018)</w:t>
            </w:r>
          </w:p>
          <w:p>
            <w:pPr>
              <w:spacing w:before="72" w:after="0" w:line="276" w:lineRule="exact"/>
              <w:ind w:left="4608" w:firstLine="0"/>
              <w:jc w:val="left"/>
            </w:pPr>
            <w:r>
              <w:t xml:space="preserve">NELSON</w:t>
            </w:r>
            <w:r>
              <w:t xml:space="preserve"> </w:t>
            </w:r>
            <w:r>
              <w:t xml:space="preserve">MULLINS</w:t>
            </w:r>
            <w:r>
              <w:t xml:space="preserve"> </w:t>
            </w:r>
            <w:r>
              <w:t xml:space="preserve">RILEY</w:t>
            </w:r>
            <w:r>
              <w:t xml:space="preserve"> </w:t>
            </w:r>
            <w:r>
              <w:t xml:space="preserve">&amp;</w:t>
            </w:r>
            <w:r>
              <w:t xml:space="preserve"> </w:t>
            </w:r>
            <w:r>
              <w:t xml:space="preserve">SCARBOROUGH</w:t>
            </w:r>
            <w:r>
              <w:t xml:space="preserve"> </w:t>
            </w:r>
            <w:r>
              <w:t xml:space="preserve">LLP</w:t>
            </w:r>
          </w:p>
          <w:p>
            <w:pPr>
              <w:spacing w:before="0" w:after="0" w:line="276" w:lineRule="exact"/>
              <w:ind w:left="4608" w:firstLine="0"/>
              <w:jc w:val="left"/>
            </w:pPr>
            <w:r>
              <w:t xml:space="preserve">949</w:t>
            </w:r>
            <w:r>
              <w:t xml:space="preserve"> </w:t>
            </w:r>
            <w:r>
              <w:t xml:space="preserve">Third</w:t>
            </w:r>
            <w:r>
              <w:t xml:space="preserve"> </w:t>
            </w:r>
            <w:r>
              <w:t xml:space="preserve">Avenue,</w:t>
            </w:r>
            <w:r>
              <w:t xml:space="preserve"> </w:t>
            </w:r>
            <w:r>
              <w:t xml:space="preserve">Suite</w:t>
            </w:r>
            <w:r>
              <w:t xml:space="preserve"> </w:t>
            </w:r>
            <w:r>
              <w:t xml:space="preserve">200</w:t>
            </w:r>
          </w:p>
          <w:p>
            <w:pPr>
              <w:spacing w:before="0" w:after="0" w:line="276" w:lineRule="exact"/>
              <w:ind w:left="4608" w:firstLine="0"/>
              <w:jc w:val="left"/>
            </w:pPr>
            <w:r>
              <w:t xml:space="preserve">Huntington,</w:t>
            </w:r>
            <w:r>
              <w:t xml:space="preserve"> </w:t>
            </w:r>
            <w:r>
              <w:t xml:space="preserve">WV</w:t>
            </w:r>
            <w:r>
              <w:t xml:space="preserve"> </w:t>
            </w:r>
            <w:r>
              <w:t xml:space="preserve">25701</w:t>
            </w:r>
          </w:p>
          <w:p>
            <w:pPr>
              <w:spacing w:before="0" w:after="0" w:line="276" w:lineRule="exact"/>
              <w:ind w:left="4608" w:firstLine="0"/>
              <w:jc w:val="left"/>
            </w:pPr>
            <w:r>
              <w:t xml:space="preserve">Phone:</w:t>
            </w:r>
            <w:r>
              <w:t xml:space="preserve"> </w:t>
            </w:r>
            <w:r>
              <w:t xml:space="preserve">(304)</w:t>
            </w:r>
            <w:r>
              <w:t xml:space="preserve"> </w:t>
            </w:r>
            <w:r>
              <w:t xml:space="preserve">526</w:t>
              <w:noBreakHyphen/>
              <w:t xml:space="preserve">3500</w:t>
            </w:r>
          </w:p>
          <w:p>
            <w:pPr>
              <w:spacing w:before="0" w:after="0" w:line="276" w:lineRule="exact"/>
              <w:ind w:left="4608" w:firstLine="0"/>
              <w:jc w:val="left"/>
            </w:pPr>
            <w:r>
              <w:t xml:space="preserve">Fax:</w:t>
            </w:r>
            <w:r>
              <w:t xml:space="preserve"> </w:t>
            </w:r>
            <w:r>
              <w:t xml:space="preserve">(304)</w:t>
            </w:r>
            <w:r>
              <w:t xml:space="preserve"> </w:t>
            </w:r>
            <w:r>
              <w:t xml:space="preserve">526</w:t>
              <w:noBreakHyphen/>
              <w:t xml:space="preserve">3599</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American</w:t>
            </w:r>
            <w:r>
              <w:rPr>
                <w:i/>
                <w:iCs/>
              </w:rPr>
              <w:t xml:space="preserve"> </w:t>
            </w:r>
            <w:r>
              <w:rPr>
                <w:i/>
                <w:iCs/>
              </w:rPr>
              <w:t xml:space="preserve">Tort</w:t>
            </w:r>
            <w:r>
              <w:rPr>
                <w:i/>
                <w:iCs/>
              </w:rPr>
              <w:t xml:space="preserve"> </w:t>
            </w:r>
            <w:r>
              <w:rPr>
                <w:i/>
                <w:iCs/>
              </w:rPr>
              <w:t xml:space="preserve">Reform</w:t>
            </w:r>
            <w:r>
              <w:rPr>
                <w:i/>
                <w:iCs/>
              </w:rPr>
              <w:t xml:space="preserve"> </w:t>
            </w:r>
            <w:r>
              <w:rPr>
                <w:i/>
                <w:iCs/>
              </w:rPr>
              <w:t xml:space="preserve">Association</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West Virginia Rule of Appellate Procedure 30(b),</w:t>
      </w:r>
      <w:r>
        <w:t xml:space="preserve"> </w:t>
      </w:r>
      <w:r>
        <w:t xml:space="preserve">the parties have consented to amicus briefs, and the required notice has been provided.</w:t>
      </w:r>
    </w:p>
  </w:footnote>
  <w:footnote w:id="10">
    <w:p>
      <w:pPr>
        <w:pStyle w:val="FootnoteText"/>
      </w:pPr>
      <w:r>
        <w:rPr>
          <w:rStyle w:val="FootnoteReference"/>
        </w:rPr>
        <w:footnoteRef/>
      </w:r>
      <w:r>
        <w:t xml:space="preserve"> </w:t>
      </w:r>
      <w:r>
        <w:t xml:space="preserve">See Victor E. Schwartz et. al.,</w:t>
      </w:r>
      <w:r>
        <w:t xml:space="preserve"> </w:t>
      </w:r>
      <w:r>
        <w:t xml:space="preserve">Game Over? Why Recent State Supreme Court Decisions Should End the Attempted Expansion of Public Nuisance Law, 62 Okla. L. Rev. 629, 631 (2010) (“Game Over?”).</w:t>
      </w:r>
    </w:p>
  </w:footnote>
  <w:footnote w:id="11">
    <w:p>
      <w:pPr>
        <w:pStyle w:val="FootnoteText"/>
      </w:pPr>
      <w:r>
        <w:rPr>
          <w:rStyle w:val="FootnoteReference"/>
        </w:rPr>
        <w:footnoteRef/>
      </w:r>
      <w:r>
        <w:t xml:space="preserve"> </w:t>
      </w:r>
      <w:r>
        <w:t xml:space="preserve">Schwartz, Game Over?, 62 Okla. L. Rev. 632.</w:t>
      </w:r>
    </w:p>
  </w:footnote>
  <w:footnote w:id="12">
    <w:p>
      <w:pPr>
        <w:pStyle w:val="FootnoteText"/>
      </w:pPr>
      <w:r>
        <w:rPr>
          <w:rStyle w:val="FootnoteReference"/>
        </w:rPr>
        <w:footnoteRef/>
      </w:r>
      <w:r>
        <w:t xml:space="preserve"> </w:t>
      </w:r>
      <w:r>
        <w:t xml:space="preserve">See Victor E. Schwartz &amp; Phil</w:t>
      </w:r>
      <w:r>
        <w:t xml:space="preserve"> </w:t>
      </w:r>
      <w:r>
        <w:t xml:space="preserve">Goldberg, The Law of Public Nuisance: Maintaining Rational Boundaries on a Rational Tort, 45 Washburn L.J. 541, 545 (2006) (stating that most early “public nuisance cases involved the obstructions of public highways and waterways, though some involved using property in ways that conflicted with public morals or social welfare”) (“The Law of Public Nuisance”).</w:t>
      </w:r>
    </w:p>
  </w:footnote>
  <w:footnote w:id="13">
    <w:p>
      <w:pPr>
        <w:pStyle w:val="FootnoteText"/>
      </w:pPr>
      <w:r>
        <w:rPr>
          <w:rStyle w:val="FootnoteReference"/>
        </w:rPr>
        <w:footnoteRef/>
      </w:r>
      <w:r>
        <w:t xml:space="preserve"> </w:t>
      </w:r>
      <w:r>
        <w:t xml:space="preserve">See generally Donald G. Gifford,</w:t>
      </w:r>
      <w:r>
        <w:t xml:space="preserve"> </w:t>
      </w:r>
      <w:r>
        <w:t xml:space="preserve">Public Nuisance as a Mass Products Liability Tort, 71 U. Cin. L. Rev. 741, 749–52 (2003); Schwartz, Game Over?, 62 Okla. L. Rev. at 638–58. Notably, Professor Gifford, concludes that “[c]ourts should not replace the substantial bodies of mature doctrinal and policy analysis available to guide them in products liability actions with a vaguely defined tort that is being used in ways utterly foreign to its historical context.” 71 U. Cin. L. Rev. at 837.</w:t>
      </w:r>
    </w:p>
  </w:footnote>
  <w:footnote w:id="14">
    <w:p>
      <w:pPr>
        <w:pStyle w:val="FootnoteText"/>
      </w:pPr>
      <w:r>
        <w:rPr>
          <w:rStyle w:val="FootnoteReference"/>
        </w:rPr>
        <w:footnoteRef/>
      </w:r>
      <w:r>
        <w:t xml:space="preserve"> </w:t>
      </w:r>
      <w:r>
        <w:t xml:space="preserve">Gifford, 71 U. Cin. L. Rev. at 744.</w:t>
      </w:r>
    </w:p>
  </w:footnote>
  <w:footnote w:id="15">
    <w:p>
      <w:pPr>
        <w:pStyle w:val="FootnoteText"/>
      </w:pPr>
      <w:r>
        <w:rPr>
          <w:rStyle w:val="FootnoteReference"/>
        </w:rPr>
        <w:footnoteRef/>
      </w:r>
      <w:r>
        <w:t xml:space="preserve"> </w:t>
      </w:r>
      <w:r>
        <w:t xml:space="preserve">See, e.g., Schwartz, Game Over?, 62 Okla. L. Rev. at 637; Schwartz, The Law of Public Nuisance, 45 Washburn L.J. at 552 (“By filing claims under public nuisance theory, personal injury lawyers hope to expand liability for harm caused by products by avoiding a number of time-tested products liability rules, such as defect, the statute of limitation, and the rule against recovery for purely economic loss.”).</w:t>
      </w:r>
    </w:p>
  </w:footnote>
  <w:footnote w:id="16">
    <w:p>
      <w:pPr>
        <w:pStyle w:val="FootnoteText"/>
      </w:pPr>
      <w:r>
        <w:rPr>
          <w:rStyle w:val="FootnoteReference"/>
        </w:rPr>
        <w:footnoteRef/>
      </w:r>
      <w:r>
        <w:t xml:space="preserve"> </w:t>
      </w:r>
      <w:r>
        <w:t xml:space="preserve">Schwartz, Game Over?, 62 Okla. L. Rev. at 631.</w:t>
      </w:r>
    </w:p>
  </w:footnote>
  <w:footnote w:id="17">
    <w:p>
      <w:pPr>
        <w:pStyle w:val="FootnoteText"/>
      </w:pPr>
      <w:r>
        <w:rPr>
          <w:rStyle w:val="FootnoteReference"/>
        </w:rPr>
        <w:footnoteRef/>
      </w:r>
      <w:r>
        <w:t xml:space="preserve"> </w:t>
      </w:r>
      <w:r>
        <w:t xml:space="preserve">See, e.g., City of Cincinnati</w:t>
      </w:r>
      <w:r>
        <w:t xml:space="preserve"> </w:t>
      </w:r>
      <w:r>
        <w:t xml:space="preserve">v. Beretta U.S.A. Corp., 768 N.E.2d 1136 (Ohio 2002).</w:t>
      </w:r>
    </w:p>
  </w:footnote>
  <w:footnote w:id="18">
    <w:p>
      <w:pPr>
        <w:pStyle w:val="FootnoteText"/>
      </w:pPr>
      <w:r>
        <w:rPr>
          <w:rStyle w:val="FootnoteReference"/>
        </w:rPr>
        <w:footnoteRef/>
      </w:r>
      <w:r>
        <w:t xml:space="preserve"> </w:t>
      </w:r>
      <w:r>
        <w:t xml:space="preserve">See, e.g., Connecticut v.</w:t>
      </w:r>
      <w:r>
        <w:t xml:space="preserve"> </w:t>
      </w:r>
      <w:r>
        <w:t xml:space="preserve">Am. Elec. Power Co., 582 F.3d 309 (2d Cir. 2009).</w:t>
      </w:r>
    </w:p>
  </w:footnote>
  <w:footnote w:id="19">
    <w:p>
      <w:pPr>
        <w:pStyle w:val="FootnoteText"/>
      </w:pPr>
      <w:r>
        <w:rPr>
          <w:rStyle w:val="FootnoteReference"/>
        </w:rPr>
        <w:footnoteRef/>
      </w:r>
      <w:r>
        <w:t xml:space="preserve"> </w:t>
      </w:r>
      <w:r>
        <w:t xml:space="preserve">See e.g., City of St. Louis</w:t>
      </w:r>
      <w:r>
        <w:t xml:space="preserve"> </w:t>
      </w:r>
      <w:r>
        <w:t xml:space="preserve">v. Benjamin Moore &amp; Co., 226 S.W.3d 110 (Mo. 2007).</w:t>
      </w:r>
    </w:p>
  </w:footnote>
  <w:footnote w:id="20">
    <w:p>
      <w:pPr>
        <w:pStyle w:val="FootnoteText"/>
      </w:pPr>
      <w:r>
        <w:rPr>
          <w:rStyle w:val="FootnoteReference"/>
        </w:rPr>
        <w:footnoteRef/>
      </w:r>
      <w:r>
        <w:t xml:space="preserve"> </w:t>
      </w:r>
      <w:r>
        <w:t xml:space="preserve">See, e.g., Detroit Bd.</w:t>
      </w:r>
      <w:r>
        <w:t xml:space="preserve"> </w:t>
      </w:r>
      <w:r>
        <w:t xml:space="preserve">of Educ. v. Celotex Corp., 493 N.W.2d 513 (Mich. Ct. App. 1992).</w:t>
      </w:r>
    </w:p>
  </w:footnote>
  <w:footnote w:id="21">
    <w:p>
      <w:pPr>
        <w:pStyle w:val="FootnoteText"/>
      </w:pPr>
      <w:r>
        <w:rPr>
          <w:rStyle w:val="FootnoteReference"/>
        </w:rPr>
        <w:footnoteRef/>
      </w:r>
      <w:r>
        <w:t xml:space="preserve"> </w:t>
      </w:r>
      <w:r>
        <w:t xml:space="preserve">See, e.g., Texas v.</w:t>
      </w:r>
      <w:r>
        <w:t xml:space="preserve"> </w:t>
      </w:r>
      <w:r>
        <w:t xml:space="preserve">Am. Tobacco Co., 14 F. Supp. 2d 956 (E.D. Tex. 1997).</w:t>
      </w:r>
    </w:p>
  </w:footnote>
  <w:footnote w:id="22">
    <w:p>
      <w:pPr>
        <w:pStyle w:val="FootnoteText"/>
      </w:pPr>
      <w:r>
        <w:rPr>
          <w:rStyle w:val="FootnoteReference"/>
        </w:rPr>
        <w:footnoteRef/>
      </w:r>
      <w:r>
        <w:t xml:space="preserve"> </w:t>
      </w:r>
      <w:r>
        <w:t xml:space="preserve">See generally Schwartz, Game Over?, 62 Okla. L. Rev. at 637–59; Philip Goldberg,</w:t>
      </w:r>
      <w:r>
        <w:t xml:space="preserve"> </w:t>
      </w:r>
      <w:r>
        <w:t xml:space="preserve">Is Today’s Attempt at a Public Nuisance “Super Tort” the Emperor’s New Clothes of Modern Litigation? 37 Mealey’s Personal Injury Report 1, 8 (2022); Tioga</w:t>
      </w:r>
      <w:r>
        <w:t xml:space="preserve"> </w:t>
      </w:r>
      <w:r>
        <w:t xml:space="preserve">Pub. Sch. Dist. #15 v. U.S. Bypsum Co., 984 F.2d 915, 920 (8th Cir. 1993) (asbestos); Celotex Corp., 493 N.W.2d 513 (asbestos); In re Lead Paint Litig., 924 A2d 484,</w:t>
      </w:r>
      <w:r>
        <w:t xml:space="preserve"> </w:t>
      </w:r>
      <w:r>
        <w:t xml:space="preserve">494–95 (N.J. 2007) (lead paint); State v. Lead Indus. Ass’n, 951 A.2d 428, 455</w:t>
      </w:r>
      <w:r>
        <w:t xml:space="preserve"> </w:t>
      </w:r>
      <w:r>
        <w:t xml:space="preserve">(R.I. 2008) (lead paint); Benjamin Moore &amp; Co., 226 S.W.3d 110 (lead paint); City of Chi.</w:t>
      </w:r>
      <w:r>
        <w:t xml:space="preserve"> </w:t>
      </w:r>
      <w:r>
        <w:t xml:space="preserve">v. Beretta U.S.A. Corp., 821 N.E.2d 1099, 1116 (Ill. 2004) (firearms); Camden Cnty.</w:t>
      </w:r>
      <w:r>
        <w:t xml:space="preserve"> </w:t>
      </w:r>
      <w:r>
        <w:t xml:space="preserve">Bd. of Chosen Freeholders v. Beretta, U.S.A. Corp., 273 F.3d 536, 541 (3d Cir. 2001) (firearms).</w:t>
      </w:r>
    </w:p>
  </w:footnote>
  <w:footnote w:id="23">
    <w:p>
      <w:pPr>
        <w:pStyle w:val="FootnoteText"/>
      </w:pPr>
      <w:r>
        <w:rPr>
          <w:rStyle w:val="FootnoteReference"/>
        </w:rPr>
        <w:footnoteRef/>
      </w:r>
      <w:r>
        <w:t xml:space="preserve"> </w:t>
      </w:r>
      <w:r>
        <w:t xml:space="preserve">Schwartz, Game Over?, 62 Okla. L. Rev. at 638.</w:t>
      </w:r>
    </w:p>
  </w:footnote>
  <w:footnote w:id="24">
    <w:p>
      <w:pPr>
        <w:pStyle w:val="FootnoteText"/>
      </w:pPr>
      <w:r>
        <w:rPr>
          <w:rStyle w:val="FootnoteReference"/>
        </w:rPr>
        <w:footnoteRef/>
      </w:r>
      <w:r>
        <w:t xml:space="preserve"> </w:t>
      </w:r>
      <w:r>
        <w:t xml:space="preserve">Texas v.</w:t>
      </w:r>
      <w:r>
        <w:t xml:space="preserve"> </w:t>
      </w:r>
      <w:r>
        <w:t xml:space="preserve">Am. Tobacco Co., 14 F. Supp. 2d 956, 973–74 (E.D. Tex. 1997) (the court was “unwilling to accept the state’s invitation to expand a claim for public nuisance”).</w:t>
      </w:r>
    </w:p>
  </w:footnote>
  <w:footnote w:id="25">
    <w:p>
      <w:pPr>
        <w:pStyle w:val="FootnoteText"/>
      </w:pPr>
      <w:r>
        <w:rPr>
          <w:rStyle w:val="FootnoteReference"/>
        </w:rPr>
        <w:footnoteRef/>
      </w:r>
      <w:r>
        <w:t xml:space="preserve"> </w:t>
      </w:r>
      <w:r>
        <w:t xml:space="preserve">Goldberg, 37 Mealey’s Personal Injury Report at 3.</w:t>
      </w:r>
    </w:p>
  </w:footnote>
  <w:footnote w:id="26">
    <w:p>
      <w:pPr>
        <w:pStyle w:val="FootnoteText"/>
      </w:pPr>
      <w:r>
        <w:rPr>
          <w:rStyle w:val="FootnoteReference"/>
        </w:rPr>
        <w:footnoteRef/>
      </w:r>
      <w:r>
        <w:t xml:space="preserve"> </w:t>
      </w:r>
      <w:r>
        <w:t xml:space="preserve">Aneri Pattani,</w:t>
      </w:r>
      <w:r>
        <w:t xml:space="preserve"> </w:t>
      </w:r>
      <w:r>
        <w:t xml:space="preserve">Opioid Settlement Payouts Are Now Public—And We Know How Much Local Governments Got, available at https://www.npr.org/​sections/​health-shots/2023/06/16/1182580973/​opioid-settlement-fund-amounts#:~:text=The%20national%20opioid%20settlements%20are%20the%20second-largest%20public,now%20largely%20transitioned%20to%20illicit%20drugs%2C%20like%20fentanyl, last visited on May 19, 2024.</w:t>
      </w:r>
    </w:p>
  </w:footnote>
  <w:footnote w:id="27">
    <w:p>
      <w:pPr>
        <w:pStyle w:val="FootnoteText"/>
      </w:pPr>
      <w:r>
        <w:rPr>
          <w:rStyle w:val="FootnoteReference"/>
        </w:rPr>
        <w:footnoteRef/>
      </w:r>
      <w:r>
        <w:t xml:space="preserve"> </w:t>
      </w:r>
      <w:r>
        <w:t xml:space="preserve">On certified question from the Sixth Circuit, the Ohio Supreme Court is currently reviewing whether the distribution of opioids can serve as the basis of a public nuisance claim. See Nat’l Prescription Opiate Litig. v. Purdue Pharma,</w:t>
      </w:r>
      <w:r>
        <w:t xml:space="preserve"> </w:t>
      </w:r>
      <w:r>
        <w:t xml:space="preserve">L.P., 222 N.E.3d 661 (Ohio 2023).</w:t>
      </w:r>
    </w:p>
  </w:footnote>
  <w:footnote w:id="28">
    <w:p>
      <w:pPr>
        <w:pStyle w:val="FootnoteText"/>
      </w:pPr>
      <w:r>
        <w:rPr>
          <w:rStyle w:val="FootnoteReference"/>
        </w:rPr>
        <w:footnoteRef/>
      </w:r>
      <w:r>
        <w:t xml:space="preserve"> </w:t>
      </w:r>
      <w:r>
        <w:t xml:space="preserve">Disapproved of on other grounds by State ex rel. Morrisey</w:t>
      </w:r>
      <w:r>
        <w:t xml:space="preserve"> </w:t>
      </w:r>
      <w:r>
        <w:t xml:space="preserve">v. W. Va. Off. of Disciplinary Couns., 234 W. Va. 238, 764 S.E.2d 769 (2014).</w:t>
      </w:r>
    </w:p>
  </w:footnote>
  <w:footnote w:id="29">
    <w:p>
      <w:pPr>
        <w:pStyle w:val="FootnoteText"/>
      </w:pPr>
      <w:r>
        <w:rPr>
          <w:rStyle w:val="FootnoteReference"/>
        </w:rPr>
        <w:footnoteRef/>
      </w:r>
      <w:r>
        <w:t xml:space="preserve"> </w:t>
      </w:r>
      <w:r>
        <w:t xml:space="preserve">Schwartz, The Law of Public Nuisance, 45 Washburn L.J. at 578.</w:t>
      </w:r>
    </w:p>
  </w:footnote>
  <w:footnote w:id="30">
    <w:p>
      <w:pPr>
        <w:pStyle w:val="FootnoteText"/>
      </w:pPr>
      <w:r>
        <w:rPr>
          <w:rStyle w:val="FootnoteReference"/>
        </w:rPr>
        <w:footnoteRef/>
      </w:r>
      <w:r>
        <w:t xml:space="preserve"> </w:t>
      </w:r>
      <w:r>
        <w:t xml:space="preserve">See, e.g., Restatement (Third) of Torts: Products Liabilty §§ 1</w:t>
      </w:r>
      <w:r>
        <w:noBreakHyphen/>
      </w:r>
      <w:r>
        <w:t xml:space="preserve">2, 15 (1998).</w:t>
      </w:r>
    </w:p>
  </w:footnote>
  <w:footnote w:id="31">
    <w:p>
      <w:pPr>
        <w:pStyle w:val="FootnoteText"/>
      </w:pPr>
      <w:r>
        <w:rPr>
          <w:rStyle w:val="FootnoteReference"/>
        </w:rPr>
        <w:footnoteRef/>
      </w:r>
      <w:r>
        <w:t xml:space="preserve"> </w:t>
      </w:r>
      <w:r>
        <w:t xml:space="preserve">The Honorable Luther J. Strange</w:t>
      </w:r>
      <w:r>
        <w:t xml:space="preserve"> </w:t>
      </w:r>
      <w:r>
        <w:t xml:space="preserve">III, A Prescription for Disaster: How Local Governments’ Abuse of Public Nuisance Claims Wrongly Elevates Courts and Litigants into a Policy-Making Role and Subverts the Equitable Administration of Justice, 70 S.C. L. Rev. 517, 537 (2019).</w:t>
      </w:r>
    </w:p>
  </w:footnote>
  <w:footnote w:id="32">
    <w:p>
      <w:pPr>
        <w:pStyle w:val="FootnoteText"/>
      </w:pPr>
      <w:r>
        <w:rPr>
          <w:rStyle w:val="FootnoteReference"/>
        </w:rPr>
        <w:footnoteRef/>
      </w:r>
      <w:r>
        <w:t xml:space="preserve"> </w:t>
      </w:r>
      <w:r>
        <w:t xml:space="preserve">See, e.g., State v. Hutton,</w:t>
      </w:r>
      <w:r>
        <w:t xml:space="preserve"> </w:t>
      </w:r>
      <w:r>
        <w:t xml:space="preserve">235 W. Va. 724, 737, 776 S.E.2d 621, 634 (2015) (“This Court has made clear that we have authority to alter the common law.”).</w:t>
      </w:r>
    </w:p>
  </w:footnote>
  <w:footnote w:id="33">
    <w:p>
      <w:pPr>
        <w:pStyle w:val="FootnoteText"/>
      </w:pPr>
      <w:r>
        <w:rPr>
          <w:rStyle w:val="FootnoteReference"/>
        </w:rPr>
        <w:footnoteRef/>
      </w:r>
      <w:r>
        <w:t xml:space="preserve"> </w:t>
      </w:r>
      <w:r>
        <w:t xml:space="preserve">See also State v. Louk,</w:t>
      </w:r>
      <w:r>
        <w:t xml:space="preserve"> </w:t>
      </w:r>
      <w:r>
        <w:t xml:space="preserve">237 W. Va. 200, 207, 786 S.E.2d 219, 226 (2016) (born-alive rule); State v. Nixon,</w:t>
      </w:r>
      <w:r>
        <w:t xml:space="preserve"> </w:t>
      </w:r>
      <w:r>
        <w:t xml:space="preserve">178 W. Va. 338, 340, 359 S.E.2d 566, 568 (1987) (jury disqualification); Elmore</w:t>
      </w:r>
      <w:r>
        <w:t xml:space="preserve"> </w:t>
      </w:r>
      <w:r>
        <w:t xml:space="preserve">v. State Farm Mut. Auto. Ins. Co., 202 W. Va. 430, 434, 504 S.E.2d 893, 897 (1998) (insurance good faith and fair dealings); City of Fairmont v. Retail,</w:t>
      </w:r>
      <w:r>
        <w:t xml:space="preserve"> </w:t>
      </w:r>
      <w:r>
        <w:t xml:space="preserve">Wholesale, &amp; Dep’t Store Union, AFL-CIO, 166 W. Va. 1, 10–12, 283 S.E.2d 589, 594–95 (1980) (damages for public employees striking).</w:t>
      </w:r>
    </w:p>
  </w:footnote>
  <w:footnote w:id="34">
    <w:p>
      <w:pPr>
        <w:pStyle w:val="FootnoteText"/>
      </w:pPr>
      <w:r>
        <w:rPr>
          <w:rStyle w:val="FootnoteReference"/>
        </w:rPr>
        <w:footnoteRef/>
      </w:r>
      <w:r>
        <w:t xml:space="preserve"> </w:t>
      </w:r>
      <w:r>
        <w:t xml:space="preserve">Rylands</w:t>
      </w:r>
      <w:r>
        <w:t xml:space="preserve"> </w:t>
      </w:r>
      <w:r>
        <w:t xml:space="preserve">v. Fletcher, L.R. 3 H.L. 330 (1868) is an English case involving mining operations.</w:t>
      </w:r>
    </w:p>
  </w:footnote>
  <w:footnote w:id="35">
    <w:p>
      <w:pPr>
        <w:pStyle w:val="FootnoteText"/>
      </w:pPr>
      <w:r>
        <w:rPr>
          <w:rStyle w:val="FootnoteReference"/>
        </w:rPr>
        <w:footnoteRef/>
      </w:r>
      <w:r>
        <w:t xml:space="preserve"> </w:t>
      </w:r>
      <w:r>
        <w:t xml:space="preserve">See Whitney</w:t>
      </w:r>
      <w:r>
        <w:t xml:space="preserve"> </w:t>
      </w:r>
      <w:r>
        <w:t xml:space="preserve">v. Ralph Myers Contracting Corp., 146 W. Va. 130, 139, 118 S.E.2d 622, 627 (1961) (stating that if a defendant undertakes “unusual hazards” or “a risk, which he ought not to take without also taking upon his shoulders the consequence of that risk, he shall pay for any damage that ensues”).</w:t>
      </w:r>
    </w:p>
  </w:footnote>
  <w:footnote w:id="36">
    <w:p>
      <w:pPr>
        <w:pStyle w:val="FootnoteText"/>
      </w:pPr>
      <w:r>
        <w:rPr>
          <w:rStyle w:val="FootnoteReference"/>
        </w:rPr>
        <w:footnoteRef/>
      </w:r>
      <w:r>
        <w:t xml:space="preserve"> </w:t>
      </w:r>
      <w:r>
        <w:t xml:space="preserve">See Weaver</w:t>
      </w:r>
      <w:r>
        <w:t xml:space="preserve"> </w:t>
      </w:r>
      <w:r>
        <w:t xml:space="preserve">Mercantile Co. v. Thurmond, 68 W. Va. 530, 70 S.E. 126, 127 (1911).</w:t>
      </w:r>
    </w:p>
  </w:footnote>
  <w:footnote w:id="37">
    <w:p>
      <w:pPr>
        <w:pStyle w:val="FootnoteText"/>
      </w:pPr>
      <w:r>
        <w:rPr>
          <w:rStyle w:val="FootnoteReference"/>
        </w:rPr>
        <w:footnoteRef/>
      </w:r>
      <w:r>
        <w:t xml:space="preserve"> </w:t>
      </w:r>
      <w:r>
        <w:t xml:space="preserve">See also Martin v. Williams,</w:t>
      </w:r>
      <w:r>
        <w:t xml:space="preserve"> </w:t>
      </w:r>
      <w:r>
        <w:t xml:space="preserve">141 W. Va. 595, 599, 93 S.E.2d 835, 838 (1956) (“The operation of a used car lot is a lawful business, and, as a general rule, it cannot be a nuisance per se.”); Harless</w:t>
      </w:r>
      <w:r>
        <w:t xml:space="preserve"> </w:t>
      </w:r>
      <w:r>
        <w:t xml:space="preserve">v. Workman, 145 W. Va. 266, 280, 114 S.E.2d 548, 556 (1960) (concluding that the lawful operation of a coal crushing and transportation business was not a nuisance per se); Frye</w:t>
      </w:r>
      <w:r>
        <w:t xml:space="preserve"> </w:t>
      </w:r>
      <w:r>
        <w:t xml:space="preserve">v. McCrory Stores Corp., 144 W. Va. 123, 129, 107 S.E.2d 378, 382 (1959) (concluding that because the “vault under the public sidewalk wherein the explosion occurred was constructed and maintained pursuant to proper authority, its existence could not be regarded as a nuisance per se”).</w:t>
      </w:r>
    </w:p>
  </w:footnote>
  <w:footnote w:id="38">
    <w:p>
      <w:pPr>
        <w:pStyle w:val="FootnoteText"/>
      </w:pPr>
      <w:r>
        <w:rPr>
          <w:rStyle w:val="FootnoteReference"/>
        </w:rPr>
        <w:footnoteRef/>
      </w:r>
      <w:r>
        <w:t xml:space="preserve"> </w:t>
      </w:r>
      <w:r>
        <w:t xml:space="preserve">Justice Gorsuch notes that before the American Revolution, the Founders cited vague and “pretended” crimes as one of their reasons for revolution. Sessions, 584 U.S. at 175 (Gorsuch, J., concurring).</w:t>
      </w:r>
    </w:p>
  </w:footnote>
  <w:footnote w:id="39">
    <w:p>
      <w:pPr>
        <w:pStyle w:val="FootnoteText"/>
      </w:pPr>
      <w:r>
        <w:rPr>
          <w:rStyle w:val="FootnoteReference"/>
        </w:rPr>
        <w:footnoteRef/>
      </w:r>
      <w:r>
        <w:t xml:space="preserve"> </w:t>
      </w:r>
      <w:r>
        <w:t xml:space="preserve">See also Rogers</w:t>
      </w:r>
      <w:r>
        <w:t xml:space="preserve"> </w:t>
      </w:r>
      <w:r>
        <w:t xml:space="preserve">v. Tennessee, 532 U.S. 451, 462 (2001) (“a judicial alteration of a common law doctrine of criminal law violates the principle of fair warning, and hence must not be given retroactive effect” where it is “unexpected and indefensible by reference to the law which had been expressed prior to the conduct in issue”) (cleaned up).</w:t>
      </w:r>
    </w:p>
  </w:footnote>
  <w:footnote w:id="40">
    <w:p>
      <w:pPr>
        <w:pStyle w:val="FootnoteText"/>
      </w:pPr>
      <w:r>
        <w:rPr>
          <w:rStyle w:val="FootnoteReference"/>
        </w:rPr>
        <w:footnoteRef/>
      </w:r>
      <w:r>
        <w:t xml:space="preserve"> </w:t>
      </w:r>
      <w:r>
        <w:t xml:space="preserve">Holding modified on other grounds by Gibson</w:t>
      </w:r>
      <w:r>
        <w:t xml:space="preserve"> </w:t>
      </w:r>
      <w:r>
        <w:t xml:space="preserve">v. W. Va. Dep’t of Highways, 185 W. Va. 214, 406 S.E.2d 440 (1991).</w:t>
      </w:r>
    </w:p>
  </w:footnote>
  <w:footnote w:id="41">
    <w:p>
      <w:pPr>
        <w:pStyle w:val="FootnoteText"/>
      </w:pPr>
      <w:r>
        <w:rPr>
          <w:rStyle w:val="FootnoteReference"/>
        </w:rPr>
        <w:footnoteRef/>
      </w:r>
      <w:r>
        <w:t xml:space="preserve"> </w:t>
      </w:r>
      <w:r>
        <w:t xml:space="preserve">See also State v. Ehrlick,</w:t>
      </w:r>
      <w:r>
        <w:t xml:space="preserve"> </w:t>
      </w:r>
      <w:r>
        <w:t xml:space="preserve">65 W. Va. 700, 64 S.E. 935, 938–39 (1909) (describing an “extensive class of cases . . . composed of those having for their object the vindication of public rights in respect to property, such as obstructions to highways, public grounds, harbors, and landings,” in which “the Attorney General may proceed in equity on behalf of the public to abate the nuisance, if it be one”) (emphasis added); State v. Baltimore &amp; O.R.</w:t>
      </w:r>
      <w:r>
        <w:t xml:space="preserve"> </w:t>
      </w:r>
      <w:r>
        <w:t xml:space="preserve">Co., 78 W. Va. 526, 89 S.E. 288, 292 (1916) (holding that for a nuisance to be enjoined “the nuisance, whether public or private, must injure property or substantially interfere with the enjoyment thereof, directly or indirectly, or constitute a purpresture, excluding citizens from the enjoyment of their civil rights in highways and other public grounds and places, or otherwise interfere with the enjoyment of such rights, or obstruct the transaction of public business”) (emphasis added); Foley</w:t>
      </w:r>
      <w:r>
        <w:t xml:space="preserve"> </w:t>
      </w:r>
      <w:r>
        <w:t xml:space="preserve">v. Doddridge Cnty. Ct., 54 W. Va. 16, 46 S.E. 246, 251 (1903) (discussing the “general rule, hoary with age, founded on public policy and necessity, that the obstruction of a public way is a public indictable nuisance, and that no lapse of time will legitimate it”), holding modified on other grounds by State ex rel. Smith v. Kermit Lumber</w:t>
      </w:r>
      <w:r>
        <w:t xml:space="preserve"> </w:t>
      </w:r>
      <w:r>
        <w:t xml:space="preserve">&amp; Pressure Treating Co., 200 W. Va. 221, 488 S.E.2d 901 (1997).</w:t>
      </w:r>
    </w:p>
  </w:footnote>
  <w:footnote w:id="42">
    <w:p>
      <w:pPr>
        <w:pStyle w:val="FootnoteText"/>
      </w:pPr>
      <w:r>
        <w:rPr>
          <w:rStyle w:val="FootnoteReference"/>
        </w:rPr>
        <w:footnoteRef/>
      </w:r>
      <w:r>
        <w:t xml:space="preserve"> </w:t>
      </w:r>
      <w:r>
        <w:t xml:space="preserve">See also Lead Indus., Ass’n, Inc., 951 A.2d at 453 (holding that the “health, safety, peace, comfort or convenience of the residents of the [s]tate,” including to be free from lead point poisoning, “standing alone does not constitute an allegation of interference with a public right”); City of Chi.,</w:t>
      </w:r>
      <w:r>
        <w:t xml:space="preserve"> </w:t>
      </w:r>
      <w:r>
        <w:t xml:space="preserve">821 N.E.2d at 1114 (holding there is no public right “to be free from unreasonable jeopardy to health, welfare, and safety, and from unreasonable threats of danger to person and property, caused by the presence of illegal weapons”); Benjamin Moore &amp; Co., 226 S.W.3d at 116 (holding harm caused by lead paint did not involve interference to a public right to health); 4 Restatement (Second) Torts § 821B, cmt. g at 92 (the individual right that everyone has not to be assaulted or defamed or defrauded or negligently injured is not a public right).</w:t>
      </w:r>
    </w:p>
  </w:footnote>
  <w:footnote w:id="43">
    <w:p>
      <w:pPr>
        <w:pStyle w:val="FootnoteText"/>
      </w:pPr>
      <w:r>
        <w:rPr>
          <w:rStyle w:val="FootnoteReference"/>
        </w:rPr>
        <w:footnoteRef/>
      </w:r>
      <w:r>
        <w:t xml:space="preserve"> </w:t>
      </w:r>
      <w:r>
        <w:t xml:space="preserve">See, e.g., Lead Indus., Ass’n, Inc., 951 A.2d at 454 (refusing to violate the “widely recognized principle that the evolution of the common law should occur gradually, predictably, and incrementally,” by changing the “meaning of public right to encompass all behavior that causes a widespread interference with the private rights of numerous individuals.”).</w:t>
      </w:r>
    </w:p>
  </w:footnote>
  <w:footnote w:id="44">
    <w:p>
      <w:pPr>
        <w:pStyle w:val="FootnoteText"/>
      </w:pPr>
      <w:r>
        <w:rPr>
          <w:rStyle w:val="FootnoteReference"/>
        </w:rPr>
        <w:footnoteRef/>
      </w:r>
      <w:r>
        <w:t xml:space="preserve"> </w:t>
      </w:r>
      <w:r>
        <w:t xml:space="preserve">Thomas W. Merrill,</w:t>
      </w:r>
      <w:r>
        <w:t xml:space="preserve"> </w:t>
      </w:r>
      <w:r>
        <w:t xml:space="preserve">The New Public Nuisance: Illegitimate and Dysfunctional, 132 Yale L.J. Forum 985, 989–90 (2023).</w:t>
      </w:r>
    </w:p>
  </w:footnote>
  <w:footnote w:id="45">
    <w:p>
      <w:pPr>
        <w:pStyle w:val="FootnoteText"/>
      </w:pPr>
      <w:r>
        <w:rPr>
          <w:rStyle w:val="FootnoteReference"/>
        </w:rPr>
        <w:footnoteRef/>
      </w:r>
      <w:r>
        <w:t xml:space="preserve"> </w:t>
      </w:r>
      <w:r>
        <w:t xml:space="preserve">In re Lead Paint Litig., 924 A.2d at 499</w:t>
      </w:r>
      <w:r>
        <w:t xml:space="preserve"> </w:t>
      </w:r>
      <w:r>
        <w:t xml:space="preserve">(stating “a public nuisance, by definition, is related to conduct, performed in a location within the actor’s control, which has an adverse effect on a common right,” and “a public entity which proceeds against the one in control of the nuisance may only seek to abate, at the expense of the one in control of the nuisance”) (emphasis added).</w:t>
      </w:r>
    </w:p>
  </w:footnote>
  <w:footnote w:id="46">
    <w:p>
      <w:pPr>
        <w:pStyle w:val="FootnoteText"/>
      </w:pPr>
      <w:r>
        <w:rPr>
          <w:rStyle w:val="FootnoteReference"/>
        </w:rPr>
        <w:footnoteRef/>
      </w:r>
      <w:r>
        <w:t xml:space="preserve"> </w:t>
      </w:r>
      <w:r>
        <w:t xml:space="preserve">These claimed damages include “billions in governmental and economic costs allegedly incurred in providing a wide array of public services in response to the influx of opioids into their communities such as increased expenses for first responders, autopsies, morgues, drug rehabilitation, foster care, and drug-related criminal activity.” St. Paul Fire</w:t>
      </w:r>
      <w:r>
        <w:t xml:space="preserve"> </w:t>
      </w:r>
      <w:r>
        <w:t xml:space="preserve">&amp; Marine Ins. Co. v. AmerisourceBergen Drug Corp., 246 W. Va. 245, 249, 868 S.E.2d 724, 728 (2021).</w:t>
      </w:r>
    </w:p>
  </w:footnote>
  <w:footnote w:id="47">
    <w:p>
      <w:pPr>
        <w:pStyle w:val="FootnoteText"/>
      </w:pPr>
      <w:r>
        <w:rPr>
          <w:rStyle w:val="FootnoteReference"/>
        </w:rPr>
        <w:footnoteRef/>
      </w:r>
      <w:r>
        <w:t xml:space="preserve"> </w:t>
      </w:r>
      <w:r>
        <w:t xml:space="preserve">It is worth noting that the damages petitioners seek are also barred by the economic loss rule and the free public services doctrine. Under West Virginia law, the economic loss rule bars recovery in tort for purely economic damage, not accompanied by damage to property or involving personal injury. Aikens,</w:t>
      </w:r>
      <w:r>
        <w:t xml:space="preserve"> </w:t>
      </w:r>
      <w:r>
        <w:t xml:space="preserve">208 W. Va. at 495, 541 S.E.2d at 585. And under the seminal case of City of Flagstaff v. Atchison, Topeka &amp; Santa Fe Ry. Co. authored by future Supreme Court Justice Anthony Kennedy, public expenditures made in the performance of governmental functions are not recoverable in tort. 719 F.2d 322, 323 (9th Cir. 1983).</w:t>
      </w:r>
    </w:p>
  </w:footnote>
  <w:footnote w:id="48">
    <w:p>
      <w:pPr>
        <w:pStyle w:val="FootnoteText"/>
      </w:pPr>
      <w:r>
        <w:rPr>
          <w:rStyle w:val="FootnoteReference"/>
        </w:rPr>
        <w:footnoteRef/>
      </w:r>
      <w:r>
        <w:t xml:space="preserve"> </w:t>
      </w:r>
      <w:r>
        <w:t xml:space="preserve">See also Lead Indus., Ass’n, Inc., 951 A.2d at 452–53 (holding that control is an element of public nuisance); City of Chi.,</w:t>
      </w:r>
      <w:r>
        <w:t xml:space="preserve"> </w:t>
      </w:r>
      <w:r>
        <w:t xml:space="preserve">821 N.E.2d at 1113 (same).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