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spacing w:before="0" w:after="420" w:line="294" w:lineRule="exact"/>
      </w:pPr>
      <w:r>
        <w:rPr>
          <w:b/>
          <w:bCs/>
        </w:rPr>
        <w:t xml:space="preserve">UNITED STATES TAX COURT</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5760"/>
        <w:gridCol w:w="432"/>
        <w:gridCol w:w="3168"/>
      </w:tblGrid>
      <w:tr>
        <w:trPr>
          <w:cantSplit/>
        </w:trPr>
        <w:tc>
          <w:tcPr>
            <w:tcW w:w="5760" w:type="dxa"/>
          </w:tcPr>
          <w:p>
            <w:pPr>
              <w:pStyle w:val="CaptionCell"/>
            </w:pPr>
            <w:r>
              <w:t xml:space="preserve">Dana L. Example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Mira T. Example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Petitioners,</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864" w:firstLine="0"/>
            </w:pPr>
            <w:r>
              <w:t xml:space="preserve">v.</w:t>
            </w:r>
          </w:p>
        </w:tc>
        <w:tc>
          <w:tcPr>
            <w:tcW w:w="432" w:type="dxa"/>
          </w:tcPr>
          <w:p>
            <w:pPr>
              <w:pStyle w:val="CaptionCell"/>
              <w:jc w:val="center"/>
            </w:pPr>
            <w:r>
              <w:t xml:space="preserve">)</w:t>
            </w:r>
          </w:p>
        </w:tc>
        <w:tc>
          <w:tcPr>
            <w:tcW w:w="3168" w:type="dxa"/>
          </w:tcPr>
          <w:p>
            <w:pPr>
              <w:pStyle w:val="CaptionCell"/>
            </w:pPr>
            <w:r>
              <w:t xml:space="preserve">Docket No. 4321-26</w:t>
            </w: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r>
              <w:t xml:space="preserve">COMMISSIONER OF INTERNAL REVENUE,</w:t>
            </w: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pPr>
          </w:p>
        </w:tc>
        <w:tc>
          <w:tcPr>
            <w:tcW w:w="432" w:type="dxa"/>
          </w:tcPr>
          <w:p>
            <w:pPr>
              <w:pStyle w:val="CaptionCell"/>
              <w:jc w:val="center"/>
            </w:pPr>
            <w:r>
              <w:t xml:space="preserve">)</w:t>
            </w:r>
          </w:p>
        </w:tc>
        <w:tc>
          <w:tcPr>
            <w:tcW w:w="3168" w:type="dxa"/>
          </w:tcPr>
          <w:p>
            <w:pPr>
              <w:pStyle w:val="CaptionCell"/>
            </w:pPr>
          </w:p>
        </w:tc>
      </w:tr>
      <w:tr>
        <w:trPr>
          <w:cantSplit/>
        </w:trPr>
        <w:tc>
          <w:tcPr>
            <w:tcW w:w="5760" w:type="dxa"/>
          </w:tcPr>
          <w:p>
            <w:pPr>
              <w:pStyle w:val="CaptionCell"/>
              <w:ind w:left="1728" w:firstLine="0"/>
            </w:pPr>
            <w:r>
              <w:t xml:space="preserve">Respondent.</w:t>
            </w:r>
          </w:p>
        </w:tc>
        <w:tc>
          <w:tcPr>
            <w:tcW w:w="432" w:type="dxa"/>
          </w:tcPr>
          <w:p>
            <w:pPr>
              <w:pStyle w:val="CaptionCell"/>
              <w:jc w:val="center"/>
            </w:pPr>
            <w:r>
              <w:t xml:space="preserve">)</w:t>
            </w:r>
          </w:p>
        </w:tc>
        <w:tc>
          <w:tcPr>
            <w:tcW w:w="3168" w:type="dxa"/>
          </w:tcPr>
          <w:p>
            <w:pPr>
              <w:pStyle w:val="CaptionCell"/>
            </w:pPr>
          </w:p>
        </w:tc>
      </w:tr>
    </w:tbl>
    <w:p>
      <w:pPr>
        <w:pStyle w:val="CourtTitle"/>
        <w:keepNext/>
        <w:spacing w:before="560" w:after="280" w:line="294" w:lineRule="exact"/>
      </w:pPr>
      <w:r>
        <w:rPr>
          <w:b/>
          <w:bCs/>
        </w:rPr>
        <w:t xml:space="preserve">PRETRIAL MEMORANDUM FOR PETITIONER</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5184"/>
        <w:gridCol w:w="4176"/>
      </w:tblGrid>
      <w:tr>
        <w:trPr>
          <w:cantSplit/>
        </w:trPr>
        <w:tc>
          <w:tcPr>
            <w:tcW w:w="5184" w:type="dxa"/>
          </w:tcPr>
          <w:p>
            <w:pPr>
              <w:pStyle w:val="CaptionCell"/>
              <w:spacing w:before="0" w:after="252" w:line="294" w:lineRule="exact"/>
            </w:pPr>
            <w:r>
              <w:rPr>
                <w:b/>
                <w:bCs/>
              </w:rPr>
              <w:t xml:space="preserve">NAME OF CASE:</w:t>
            </w:r>
          </w:p>
        </w:tc>
        <w:tc>
          <w:tcPr>
            <w:tcW w:w="4176" w:type="dxa"/>
          </w:tcPr>
          <w:p>
            <w:pPr>
              <w:pStyle w:val="CaptionCell"/>
              <w:spacing w:before="0" w:after="252" w:line="294" w:lineRule="exact"/>
            </w:pPr>
            <w:r>
              <w:t xml:space="preserve">Dana L. Example and Mira T. Example v. Commissioner of Internal Revenue</w:t>
            </w:r>
          </w:p>
        </w:tc>
      </w:tr>
      <w:tr>
        <w:trPr>
          <w:cantSplit/>
        </w:trPr>
        <w:tc>
          <w:tcPr>
            <w:tcW w:w="5184" w:type="dxa"/>
          </w:tcPr>
          <w:p>
            <w:pPr>
              <w:pStyle w:val="CaptionCell"/>
              <w:spacing w:before="0" w:after="252" w:line="294" w:lineRule="exact"/>
            </w:pPr>
            <w:r>
              <w:rPr>
                <w:b/>
                <w:bCs/>
              </w:rPr>
              <w:t xml:space="preserve">DOCKET NO(S).:</w:t>
            </w:r>
          </w:p>
        </w:tc>
        <w:tc>
          <w:tcPr>
            <w:tcW w:w="4176" w:type="dxa"/>
          </w:tcPr>
          <w:p>
            <w:pPr>
              <w:pStyle w:val="CaptionCell"/>
              <w:spacing w:before="0" w:after="252" w:line="294" w:lineRule="exact"/>
            </w:pPr>
            <w:r>
              <w:t xml:space="preserve">4321-26</w:t>
            </w:r>
          </w:p>
        </w:tc>
      </w:tr>
      <w:tr>
        <w:trPr>
          <w:cantSplit/>
        </w:trPr>
        <w:tc>
          <w:tcPr>
            <w:tcW w:w="5184" w:type="dxa"/>
          </w:tcPr>
          <w:p>
            <w:pPr>
              <w:pStyle w:val="CaptionCell"/>
              <w:spacing w:before="0" w:after="252" w:line="294" w:lineRule="exact"/>
            </w:pPr>
            <w:r>
              <w:rPr>
                <w:b/>
                <w:bCs/>
              </w:rPr>
              <w:t xml:space="preserve">TRIAL CALENDAR:</w:t>
            </w:r>
          </w:p>
        </w:tc>
        <w:tc>
          <w:tcPr>
            <w:tcW w:w="4176" w:type="dxa"/>
          </w:tcPr>
          <w:p>
            <w:pPr>
              <w:pStyle w:val="CaptionCell"/>
              <w:spacing w:before="0" w:after="252" w:line="294" w:lineRule="exact"/>
            </w:pPr>
            <w:r>
              <w:t xml:space="preserve">Portland, Oregon, January 11, 2027</w:t>
            </w:r>
          </w:p>
        </w:tc>
      </w:tr>
    </w:tbl>
    <w:p>
      <w:pPr>
        <w:pStyle w:val="CaptionCell"/>
        <w:keepNext/>
        <w:spacing w:before="0" w:after="84" w:line="294" w:lineRule="exact"/>
      </w:pPr>
      <w:r>
        <w:rPr>
          <w:b/>
          <w:bCs/>
        </w:rPr>
        <w:t xml:space="preserve">ATTORNEYS:</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464"/>
        <w:gridCol w:w="432"/>
        <w:gridCol w:w="4464"/>
      </w:tblGrid>
      <w:tr>
        <w:trPr>
          <w:cantSplit/>
        </w:trPr>
        <w:tc>
          <w:tcPr>
            <w:tcW w:w="4464" w:type="dxa"/>
          </w:tcPr>
          <w:p>
            <w:pPr>
              <w:pStyle w:val="CaptionCell"/>
              <w:keepNext/>
            </w:pPr>
            <w:r>
              <w:rPr>
                <w:b/>
                <w:bCs/>
              </w:rPr>
              <w:t xml:space="preserve">Petitioner:</w:t>
            </w:r>
          </w:p>
          <w:p>
            <w:pPr>
              <w:pStyle w:val="CaptionCell"/>
              <w:keepNext/>
            </w:pPr>
            <w:r>
              <w:t xml:space="preserve">Ruth A. Sampleton</w:t>
            </w:r>
          </w:p>
          <w:p>
            <w:pPr>
              <w:pStyle w:val="CaptionCell"/>
              <w:keepNext/>
            </w:pPr>
            <w:r>
              <w:t xml:space="preserve">Tel. No.: (555) 010-2001</w:t>
            </w:r>
          </w:p>
          <w:p>
            <w:pPr>
              <w:pStyle w:val="CaptionCell"/>
              <w:keepNext/>
            </w:pPr>
            <w:r>
              <w:t xml:space="preserve">Email: rsampleton@example.invalid</w:t>
            </w:r>
          </w:p>
        </w:tc>
        <w:tc>
          <w:tcPr>
            <w:tcW w:w="432" w:type="dxa"/>
          </w:tcPr>
          <w:p>
            <w:pPr>
              <w:pStyle w:val="CaptionCell"/>
            </w:pPr>
          </w:p>
        </w:tc>
        <w:tc>
          <w:tcPr>
            <w:tcW w:w="4464" w:type="dxa"/>
          </w:tcPr>
          <w:p>
            <w:pPr>
              <w:pStyle w:val="CaptionCell"/>
              <w:keepNext/>
            </w:pPr>
            <w:r>
              <w:rPr>
                <w:b/>
                <w:bCs/>
              </w:rPr>
              <w:t xml:space="preserve">Respondent:</w:t>
            </w:r>
          </w:p>
          <w:p>
            <w:pPr>
              <w:pStyle w:val="CaptionCell"/>
              <w:keepNext/>
            </w:pPr>
            <w:r>
              <w:t xml:space="preserve">Jordan P. Hale, Trial Attorney</w:t>
            </w:r>
          </w:p>
          <w:p>
            <w:pPr>
              <w:pStyle w:val="CaptionCell"/>
              <w:keepNext/>
            </w:pPr>
            <w:r>
              <w:t xml:space="preserve">Tel. No.: (555) 010-3300</w:t>
            </w:r>
          </w:p>
          <w:p>
            <w:pPr>
              <w:pStyle w:val="CaptionCell"/>
              <w:keepNext/>
            </w:pPr>
            <w:r>
              <w:t xml:space="preserve">Email: jhale@example.invalid</w:t>
            </w:r>
          </w:p>
        </w:tc>
      </w:tr>
    </w:tbl>
    <w:p>
      <w:pPr>
        <w:pStyle w:val="CaptionCell"/>
        <w:spacing w:before="0" w:after="0" w:line="252" w:lineRule="exact"/>
      </w:pPr>
    </w:p>
    <w:p>
      <w:pPr>
        <w:pStyle w:val="CaptionCell"/>
        <w:keepNext/>
        <w:spacing w:before="0" w:after="84" w:line="294" w:lineRule="exact"/>
      </w:pPr>
      <w:r>
        <w:rPr>
          <w:b/>
          <w:bCs/>
        </w:rPr>
        <w:t xml:space="preserve">AMOUNTS IN DISPUTE:</w:t>
      </w:r>
    </w:p>
    <w:tbl>
      <w:tblPr>
        <w:tblStyle w:val="Table"/>
        <w:tblW w:w="9360" w:type="dxa"/>
        <w:tblLayout w:type="fixed"/>
        <w:tblLook w:val="0000" w:firstRow="0" w:lastRow="0" w:firstColumn="0" w:lastColumn="0" w:noHBand="1" w:noVBand="1"/>
      </w:tblPr>
      <w:tblGrid>
        <w:gridCol w:w="2229"/>
        <w:gridCol w:w="3566"/>
        <w:gridCol w:w="3565"/>
      </w:tblGrid>
      <w:tr>
        <w:trPr>
          <w:cantSplit/>
          <w:tblHeader/>
        </w:trPr>
        <w:tc>
          <w:tcPr>
            <w:tcW w:w="2229" w:type="dxa"/>
          </w:tcPr>
          <w:p>
            <w:pPr>
              <w:pStyle w:val="CaptionCell"/>
            </w:pPr>
            <w:r>
              <w:rPr>
                <w:b/>
                <w:bCs/>
              </w:rPr>
              <w:t xml:space="preserve">Year(s)/Period(s)</w:t>
            </w:r>
          </w:p>
        </w:tc>
        <w:tc>
          <w:tcPr>
            <w:tcW w:w="3566" w:type="dxa"/>
          </w:tcPr>
          <w:p>
            <w:pPr>
              <w:pStyle w:val="CaptionCell"/>
            </w:pPr>
            <w:r>
              <w:rPr>
                <w:b/>
                <w:bCs/>
              </w:rPr>
              <w:t xml:space="preserve">Deficiencies/Liabilities</w:t>
            </w:r>
          </w:p>
        </w:tc>
        <w:tc>
          <w:tcPr>
            <w:tcW w:w="3565" w:type="dxa"/>
          </w:tcPr>
          <w:p>
            <w:pPr>
              <w:pStyle w:val="CaptionCell"/>
            </w:pPr>
            <w:r>
              <w:rPr>
                <w:b/>
                <w:bCs/>
              </w:rPr>
              <w:t xml:space="preserve">Additions/Penalties</w:t>
            </w:r>
          </w:p>
        </w:tc>
      </w:tr>
      <w:tr>
        <w:trPr>
          <w:cantSplit/>
        </w:trPr>
        <w:tc>
          <w:tcPr>
            <w:tcW w:w="2229" w:type="dxa"/>
          </w:tcPr>
          <w:p>
            <w:pPr>
              <w:pStyle w:val="CaptionCell"/>
            </w:pPr>
            <w:r>
              <w:t xml:space="preserve">2023</w:t>
            </w:r>
          </w:p>
        </w:tc>
        <w:tc>
          <w:tcPr>
            <w:tcW w:w="3566" w:type="dxa"/>
          </w:tcPr>
          <w:p>
            <w:pPr>
              <w:pStyle w:val="CaptionCell"/>
            </w:pPr>
            <w:r>
              <w:t xml:space="preserve">$18,420.00</w:t>
            </w:r>
          </w:p>
        </w:tc>
        <w:tc>
          <w:tcPr>
            <w:tcW w:w="3565" w:type="dxa"/>
          </w:tcPr>
          <w:p>
            <w:pPr>
              <w:pStyle w:val="CaptionCell"/>
            </w:pPr>
            <w:r>
              <w:t xml:space="preserve">$3,684.00 (sec. 6662(a))</w:t>
            </w:r>
          </w:p>
        </w:tc>
      </w:tr>
    </w:tbl>
    <w:p>
      <w:pPr>
        <w:pStyle w:val="CaptionCell"/>
        <w:spacing w:before="0" w:after="0" w:line="252" w:lineRule="exact"/>
      </w:pPr>
    </w:p>
    <w:p>
      <w:pPr>
        <w:pStyle w:val="CaptionCell"/>
        <w:keepNext/>
        <w:spacing w:before="0" w:after="84" w:line="294" w:lineRule="exact"/>
      </w:pPr>
      <w:r>
        <w:rPr>
          <w:b/>
          <w:bCs/>
        </w:rPr>
        <w:t xml:space="preserve">STATUS OF CASE:</w:t>
      </w:r>
    </w:p>
    <w:p>
      <w:pPr>
        <w:pStyle w:val="CaptionCell"/>
        <w:keepNext/>
        <w:tabs>
          <w:tab w:val="left" w:pos="3120"/>
          <w:tab w:val="left" w:pos="6240"/>
        </w:tabs>
        <w:spacing w:before="0" w:after="252" w:line="294" w:lineRule="exact"/>
      </w:pPr>
      <w:r>
        <w:rPr>
          <w:bdr w:val="single" w:sz="4" w:space="0" w:color="000000"/>
        </w:rPr>
        <w:t xml:space="preserve">   </w:t>
      </w:r>
      <w:r>
        <w:t xml:space="preserve"> Probable Settlement</w:t>
      </w:r>
      <w:r>
        <w:tab/>
      </w:r>
      <w:r>
        <w:rPr>
          <w:bdr w:val="single" w:sz="4" w:space="0" w:color="000000"/>
        </w:rPr>
        <w:t xml:space="preserve"> X </w:t>
      </w:r>
      <w:r>
        <w:t xml:space="preserve"> Probable Trial</w:t>
      </w:r>
      <w:r>
        <w:tab/>
      </w:r>
      <w:r>
        <w:rPr>
          <w:bdr w:val="single" w:sz="4" w:space="0" w:color="000000"/>
        </w:rPr>
        <w:t xml:space="preserve">   </w:t>
      </w:r>
      <w:r>
        <w:t xml:space="preserve"> Definite Trial</w:t>
      </w:r>
    </w:p>
    <w:p>
      <w:pPr>
        <w:pStyle w:val="CaptionCell"/>
        <w:spacing w:before="0" w:after="252" w:line="294" w:lineRule="exact"/>
      </w:pPr>
      <w:r>
        <w:rPr>
          <w:b/>
          <w:bCs/>
        </w:rPr>
        <w:t xml:space="preserve">CURRENT ESTIMATE OF TRIAL TIME:</w:t>
      </w:r>
      <w:r>
        <w:t xml:space="preserve"> 3 hour(s)</w:t>
      </w:r>
    </w:p>
    <w:p>
      <w:pPr>
        <w:pStyle w:val="CaptionCell"/>
        <w:keepNext/>
        <w:spacing w:before="0" w:after="84" w:line="294" w:lineRule="exact"/>
      </w:pPr>
      <w:r>
        <w:rPr>
          <w:b/>
          <w:bCs/>
        </w:rPr>
        <w:t xml:space="preserve">STATUS OF STIPULATION OF FACTS:</w:t>
      </w:r>
    </w:p>
    <w:p>
      <w:pPr>
        <w:pStyle w:val="CaptionCell"/>
        <w:tabs>
          <w:tab w:val="left" w:pos="4680"/>
        </w:tabs>
        <w:spacing w:before="0" w:after="252" w:line="294" w:lineRule="exact"/>
      </w:pPr>
      <w:r>
        <w:rPr>
          <w:bdr w:val="single" w:sz="4" w:space="0" w:color="000000"/>
        </w:rPr>
        <w:t xml:space="preserve">   </w:t>
      </w:r>
      <w:r>
        <w:t xml:space="preserve"> Completed, will be filed electronically</w:t>
      </w:r>
      <w:r>
        <w:tab/>
      </w:r>
      <w:r>
        <w:rPr>
          <w:bdr w:val="single" w:sz="4" w:space="0" w:color="000000"/>
        </w:rPr>
        <w:t xml:space="preserve"> X </w:t>
      </w:r>
      <w:r>
        <w:t xml:space="preserve"> In Progress</w:t>
      </w:r>
    </w:p>
    <w:bookmarkStart w:id="20" w:name="motions-you-expect-to-make"/>
    <w:p>
      <w:pPr>
        <w:pStyle w:val="Heading1"/>
      </w:pPr>
      <w:r>
        <w:t xml:space="preserve">MOTIONS YOU EXPECT TO MAKE</w:t>
      </w:r>
    </w:p>
    <w:p>
      <w:pPr>
        <w:pStyle w:val="FirstParagraph"/>
      </w:pPr>
      <w:r>
        <w:t xml:space="preserve">Petitioners expect to move for leave to file a supplemental stipulation of facts after the stipulation deadline in the Standing Pretrial Order, limited to the two bank statements that the respondent produced on the last day of discovery. The motion would not change any other date.</w:t>
      </w:r>
    </w:p>
    <w:p>
      <w:pPr>
        <w:pStyle w:val="BodyText"/>
      </w:pPr>
      <w:r>
        <w:t xml:space="preserve">Petitioners do not expect to move to dismiss or for summary judgment.</w:t>
      </w:r>
    </w:p>
    <w:bookmarkEnd w:id="20"/>
    <w:bookmarkStart w:id="21" w:name="issues"/>
    <w:p>
      <w:pPr>
        <w:pStyle w:val="Heading1"/>
      </w:pPr>
      <w:r>
        <w:t xml:space="preserve">ISSUES</w:t>
      </w:r>
    </w:p>
    <w:p>
      <w:pPr>
        <w:pStyle w:val="FirstParagraph"/>
      </w:pPr>
      <w:r>
        <w:t xml:space="preserve">1. Whether the Commissioner’s determination that petitioners had unreported gross receipts of $61,200.00 in 2023 is correct.</w:t>
      </w:r>
    </w:p>
    <w:p>
      <w:pPr>
        <w:pStyle w:val="BodyText"/>
      </w:pPr>
      <w:r>
        <w:t xml:space="preserve">2. Whether petitioners are entitled to deduct business expenses of $27,350.00 claimed on Schedule C for 2023.</w:t>
      </w:r>
    </w:p>
    <w:p>
      <w:pPr>
        <w:pStyle w:val="BodyText"/>
      </w:pPr>
      <w:r>
        <w:t xml:space="preserve">3. Whether petitioners had reasonable cause and acted in good faith under section 6664(c), so that the accuracy-related penalty under section 6662(a) does not apply.</w:t>
      </w:r>
    </w:p>
    <w:bookmarkEnd w:id="21"/>
    <w:bookmarkStart w:id="22" w:name="witnesses-you-expect-to-call"/>
    <w:p>
      <w:pPr>
        <w:pStyle w:val="Heading1"/>
      </w:pPr>
      <w:r>
        <w:t xml:space="preserve">WITNESSES YOU EXPECT TO CALL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Summary of expected testimony</w:t>
            </w:r>
          </w:p>
        </w:tc>
      </w:tr>
      <w:tr>
        <w:tc>
          <w:tcPr/>
          <w:p>
            <w:pPr>
              <w:pStyle w:val="Compact"/>
            </w:pPr>
            <w:r>
              <w:t xml:space="preserve">Dana L. Example</w:t>
            </w:r>
          </w:p>
        </w:tc>
        <w:tc>
          <w:tcPr/>
          <w:p>
            <w:pPr>
              <w:pStyle w:val="Compact"/>
            </w:pPr>
            <w:r>
              <w:t xml:space="preserve">Petitioner. Operation of Example Books in 2023, the business records kept, and the expenses claimed on Schedule C.</w:t>
            </w:r>
          </w:p>
        </w:tc>
      </w:tr>
      <w:tr>
        <w:tc>
          <w:tcPr/>
          <w:p>
            <w:pPr>
              <w:pStyle w:val="Compact"/>
            </w:pPr>
            <w:r>
              <w:t xml:space="preserve">Mira T. Example</w:t>
            </w:r>
          </w:p>
        </w:tc>
        <w:tc>
          <w:tcPr/>
          <w:p>
            <w:pPr>
              <w:pStyle w:val="Compact"/>
            </w:pPr>
            <w:r>
              <w:t xml:space="preserve">Petitioner. Household finances, the bank accounts used for the business, and the reliance on the return preparer.</w:t>
            </w:r>
          </w:p>
        </w:tc>
      </w:tr>
      <w:tr>
        <w:tc>
          <w:tcPr/>
          <w:p>
            <w:pPr>
              <w:pStyle w:val="Compact"/>
            </w:pPr>
            <w:r>
              <w:t xml:space="preserve">Lee K. Oduya</w:t>
            </w:r>
          </w:p>
        </w:tc>
        <w:tc>
          <w:tcPr/>
          <w:p>
            <w:pPr>
              <w:pStyle w:val="Compact"/>
            </w:pPr>
            <w:r>
              <w:t xml:space="preserve">Return preparer for 2023. Preparation of the return from the records provided, and the advice given on the expenses.</w:t>
            </w:r>
          </w:p>
        </w:tc>
      </w:tr>
    </w:tbl>
    <w:bookmarkEnd w:id="22"/>
    <w:bookmarkStart w:id="23" w:name="summary-of-facts"/>
    <w:p>
      <w:pPr>
        <w:pStyle w:val="Heading1"/>
      </w:pPr>
      <w:r>
        <w:t xml:space="preserve">SUMMARY OF FACTS</w:t>
      </w:r>
    </w:p>
    <w:p>
      <w:pPr>
        <w:pStyle w:val="FirstParagraph"/>
      </w:pPr>
      <w:r>
        <w:t xml:space="preserve">Petitioners operated a bookkeeping business as a sole proprietorship from 2019 through 2024 under the name Example Books. Dana L. Example kept the business books and issued the invoices to customers.</w:t>
      </w:r>
    </w:p>
    <w:p>
      <w:pPr>
        <w:pStyle w:val="BodyText"/>
      </w:pPr>
      <w:r>
        <w:t xml:space="preserve">Petitioners filed their 2023 return on April 15, 2024, with the assistance of Lee K. Oduya, a return preparer. The return reported the business income and the expenses shown on Schedule C.</w:t>
      </w:r>
    </w:p>
    <w:p>
      <w:pPr>
        <w:pStyle w:val="BodyText"/>
      </w:pPr>
      <w:r>
        <w:t xml:space="preserve">The notice of deficiency, dated March 3, 2026, determined a deficiency of $18,420.00 and an accuracy-related penalty of $3,684.00. Petitioners filed a timely petition in response. The parties have exchanged informal discovery, and the respondent produced the bank statements described in the motion above.</w:t>
      </w:r>
    </w:p>
    <w:p>
      <w:pPr>
        <w:pStyle w:val="CaptionCell"/>
        <w:keepNext/>
        <w:spacing w:before="0" w:after="0" w:line="56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752"/>
        <w:gridCol w:w="4608"/>
      </w:tblGrid>
      <w:tr>
        <w:trPr>
          <w:cantSplit/>
        </w:trPr>
        <w:tc>
          <w:tcPr>
            <w:tcW w:w="4752" w:type="dxa"/>
          </w:tcPr>
          <w:p>
            <w:pPr>
              <w:pStyle w:val="CaptionCell"/>
              <w:keepNext/>
            </w:pPr>
            <w:r>
              <w:t xml:space="preserve">Dated: October 6, 2026</w:t>
            </w:r>
          </w:p>
        </w:tc>
        <w:tc>
          <w:tcPr>
            <w:tcW w:w="4608" w:type="dxa"/>
            <w:tcBorders>
              <w:top w:val="single" w:sz="6" w:space="0" w:color="000000"/>
            </w:tcBorders>
          </w:tcPr>
          <w:p>
            <w:pPr>
              <w:pStyle w:val="CaptionCell"/>
              <w:keepNext/>
              <w:spacing w:before="0" w:after="0" w:line="168" w:lineRule="exact"/>
            </w:pPr>
          </w:p>
          <w:p>
            <w:pPr>
              <w:pStyle w:val="CaptionCell"/>
              <w:keepNext/>
              <w:spacing w:before="0" w:after="0" w:line="294" w:lineRule="exact"/>
            </w:pPr>
            <w:r>
              <w:t xml:space="preserve">Ruth A. Sampleton</w:t>
            </w:r>
          </w:p>
          <w:p>
            <w:pPr>
              <w:pStyle w:val="CaptionCell"/>
              <w:keepNext/>
            </w:pPr>
            <w:r>
              <w:t xml:space="preserve">Tax Court Bar No. SA0000</w:t>
            </w:r>
          </w:p>
          <w:p>
            <w:pPr>
              <w:pStyle w:val="CaptionCell"/>
              <w:keepNext/>
            </w:pPr>
            <w:r>
              <w:t xml:space="preserve">Sampleton &amp; Rivera PC</w:t>
            </w:r>
          </w:p>
          <w:p>
            <w:pPr>
              <w:pStyle w:val="CaptionCell"/>
              <w:keepNext/>
            </w:pPr>
            <w:r>
              <w:t xml:space="preserve">1200 Fictional Plaza, Suite 400</w:t>
            </w:r>
          </w:p>
          <w:p>
            <w:pPr>
              <w:pStyle w:val="CaptionCell"/>
              <w:keepNext/>
            </w:pPr>
            <w:r>
              <w:t xml:space="preserve">Portland, Oregon 97201</w:t>
            </w:r>
          </w:p>
          <w:p>
            <w:pPr>
              <w:pStyle w:val="CaptionCell"/>
              <w:keepNext/>
            </w:pPr>
            <w:r>
              <w:t xml:space="preserve">(555) 010-2001</w:t>
            </w:r>
          </w:p>
          <w:p>
            <w:pPr>
              <w:pStyle w:val="CaptionCell"/>
              <w:keepNext/>
            </w:pPr>
            <w:r>
              <w:t xml:space="preserve">rsampleton@example.invalid</w:t>
            </w:r>
          </w:p>
          <w:p>
            <w:pPr>
              <w:pStyle w:val="CaptionCell"/>
              <w:keepNext/>
            </w:pPr>
            <w:r>
              <w:t xml:space="preserve">Counsel for Petitioners</w:t>
            </w:r>
          </w:p>
        </w:tc>
      </w:tr>
    </w:tbl>
    <w:bookmarkEnd w:id="23"/>
    <w:sectPr>
      <w:footerReference r:id="rId9" w:type="default"/>
      <w:footnotePr>
        <w:numRestart w:val="eachSect"/>
      </w:footnotePr>
      <w:pgSz w:h="15840" w:w="12240"/>
      <w:pgMar w:bottom="1440" w:footer="108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56"/>
      <w:szCs w:val="56"/>
    </w:rPr>
  </w:style>
  <w:style w:customStyle="1" w:styleId="TitleChar" w:type="character">
    <w:name w:val="Title Char"/>
    <w:basedOn w:val="DefaultParagraphFont"/>
    <w:link w:val="Title"/>
    <w:uiPriority w:val="10"/>
    <w:rsid w:val="00A10FD9"/>
    <w:rPr>
      <w:rFonts w:ascii="EB Garamond" w:cs="EB Garamond" w:eastAsia="EB Garamond" w:hAnsi="EB Garamond"/>
      <w:sz w:val="56"/>
      <w:szCs w:val="56"/>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8"/>
      <w:szCs w:val="28"/>
    </w:rPr>
  </w:style>
  <w:style w:customStyle="1" w:styleId="SubtitleChar" w:type="character">
    <w:name w:val="Subtitle Char"/>
    <w:basedOn w:val="DefaultParagraphFont"/>
    <w:link w:val="Subtitle"/>
    <w:uiPriority w:val="11"/>
    <w:rsid w:val="00A10FD9"/>
    <w:rPr>
      <w:rFonts w:ascii="EB Garamond" w:cs="EB Garamond" w:eastAsia="EB Garamond" w:hAnsi="EB Garamond"/>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themeColor="text1" w:themeTint="D8" w:val="272727"/>
    </w:rPr>
  </w:style>
  <w:style w:customStyle="1" w:styleId="Heading1Char" w:type="character">
    <w:name w:val="Heading 1 Char"/>
    <w:basedOn w:val="DefaultParagraphFont"/>
    <w:link w:val="Heading1"/>
    <w:uiPriority w:val="9"/>
    <w:rsid w:val="00A10FD9"/>
    <w:rPr>
      <w:rFonts w:ascii="EB Garamond" w:cs="EB Garamond" w:eastAsia="EB Garamond" w:hAnsi="EB Garamond"/>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themeColor="accent1" w:themeShade="BF" w:val="0F4761"/>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themeColor="accent1" w:themeShade="BF" w:val="0F4761"/>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themeColor="text1" w:themeTint="A6" w:val="595959"/>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themeColor="text1" w:themeTint="A6" w:val="595959"/>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themeColor="text1" w:themeTint="D8" w:val="272727"/>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themeColor="accent1" w:themeShade="BF" w:val="365F91"/>
    </w:rPr>
  </w:style>
  <w:style w:default="1" w:styleId="Normal" w:type="paragraph">
    <w:name w:val="Normal"/>
    <w:qFormat/>
    <w:pPr>
      <w:widowControl/>
      <w:spacing w:after="0" w:before="0" w:line="240" w:lineRule="auto"/>
      <w:jc w:val="left"/>
    </w:pPr>
    <w:rPr>
      <w:rFonts w:ascii="EB Garamond" w:cs="EB Garamond" w:eastAsia="EB Garamond" w:hAnsi="EB Garamond"/>
      <w:sz w:val="28"/>
      <w:szCs w:val="28"/>
    </w:rPr>
  </w:style>
  <w:style w:styleId="BodyText" w:type="paragraph">
    <w:name w:val="Body Text"/>
    <w:basedOn w:val="Normal"/>
    <w:qFormat/>
    <w:pPr>
      <w:widowControl/>
      <w:spacing w:after="0" w:before="0" w:line="482" w:lineRule="exact"/>
      <w:ind w:firstLine="720"/>
      <w:jc w:val="left"/>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294" w:lineRule="exact"/>
      <w:ind w:firstLine="0" w:left="0"/>
    </w:pPr>
  </w:style>
  <w:style w:styleId="Heading1" w:type="paragraph">
    <w:name w:val="heading 1"/>
    <w:basedOn w:val="Normal"/>
    <w:next w:val="BodyText"/>
    <w:uiPriority w:val="9"/>
    <w:qFormat/>
    <w:pPr>
      <w:keepNext/>
      <w:keepLines/>
      <w:spacing w:after="252" w:before="280" w:line="294" w:lineRule="exact"/>
      <w:ind w:firstLine="0"/>
      <w:jc w:val="left"/>
      <w:outlineLvl w:val="0"/>
    </w:pPr>
    <w:rPr>
      <w:rFonts w:ascii="EB Garamond" w:cs="EB Garamond" w:eastAsia="EB Garamond" w:hAnsi="EB Garamond"/>
      <w:b/>
      <w:bCs/>
      <w:sz w:val="28"/>
      <w:szCs w:val="28"/>
    </w:rPr>
  </w:style>
  <w:style w:styleId="Heading2" w:type="paragraph">
    <w:name w:val="heading 2"/>
    <w:basedOn w:val="Heading1"/>
    <w:next w:val="BodyText"/>
    <w:uiPriority w:val="9"/>
    <w:qFormat/>
    <w:pPr>
      <w:outlineLvl w:val="1"/>
    </w:pPr>
  </w:style>
  <w:style w:styleId="Heading3" w:type="paragraph">
    <w:name w:val="heading 3"/>
    <w:basedOn w:val="Heading1"/>
    <w:next w:val="BodyText"/>
    <w:uiPriority w:val="9"/>
    <w:qFormat/>
    <w:pPr>
      <w:outlineLvl w:val="2"/>
    </w:pPr>
  </w:style>
  <w:style w:styleId="BlockText" w:type="paragraph">
    <w:name w:val="Block Text"/>
    <w:basedOn w:val="Normal"/>
    <w:next w:val="BodyText"/>
    <w:qFormat/>
    <w:pPr>
      <w:spacing w:after="252" w:before="0" w:line="294" w:lineRule="exact"/>
      <w:ind w:firstLine="0" w:left="720" w:right="720"/>
    </w:pPr>
  </w:style>
  <w:style w:styleId="FootnoteText" w:type="paragraph">
    <w:name w:val="footnote text"/>
    <w:basedOn w:val="Normal"/>
    <w:uiPriority w:val="99"/>
    <w:unhideWhenUsed/>
    <w:pPr>
      <w:spacing w:after="60" w:before="0" w:line="240" w:lineRule="auto"/>
      <w:ind w:firstLine="0"/>
    </w:pPr>
    <w:rPr>
      <w:rFonts w:ascii="EB Garamond" w:cs="EB Garamond" w:eastAsia="EB Garamond" w:hAnsi="EB Garamond"/>
      <w:sz w:val="28"/>
      <w:szCs w:val="28"/>
    </w:rPr>
  </w:style>
  <w:style w:styleId="Footer" w:type="paragraph">
    <w:name w:val="footer"/>
    <w:basedOn w:val="Normal"/>
    <w:uiPriority w:val="99"/>
    <w:unhideWhenUsed/>
    <w:pPr>
      <w:tabs>
        <w:tab w:pos="4680" w:val="center"/>
        <w:tab w:pos="9360" w:val="right"/>
      </w:tabs>
      <w:spacing w:after="0" w:before="0" w:line="240" w:lineRule="auto"/>
      <w:jc w:val="center"/>
    </w:pPr>
  </w:style>
  <w:style w:customStyle="1" w:styleId="CaptionCell" w:type="paragraph">
    <w:name w:val="Caption Cell"/>
    <w:basedOn w:val="Normal"/>
    <w:qFormat/>
    <w:pPr>
      <w:spacing w:after="0" w:before="0" w:line="294" w:lineRule="exact"/>
      <w:ind w:firstLine="0" w:left="0"/>
      <w:jc w:val="left"/>
    </w:pPr>
  </w:style>
  <w:style w:customStyle="1" w:styleId="CourtTitle" w:type="paragraph">
    <w:name w:val="Court Title"/>
    <w:basedOn w:val="Normal"/>
    <w:qFormat/>
    <w:pPr>
      <w:keepNext/>
      <w:keepLines/>
      <w:spacing w:after="0" w:before="0" w:line="294" w:lineRule="exact"/>
      <w:ind w:firstLine="0"/>
      <w:jc w:val="center"/>
    </w:pPr>
    <w:rPr>
      <w:b/>
      <w:bCs/>
    </w:rPr>
  </w:style>
  <w:style w:default="1" w:styleId="Table" w:type="table">
    <w:name w:val="Table"/>
    <w:uiPriority w:val="59"/>
    <w:pPr>
      <w:spacing w:after="0" w:before="0" w:line="240" w:lineRule="auto"/>
    </w:p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12"/>
        <w:bottom w:type="dxa" w:w="40"/>
        <w:right w:type="dxa" w:w="112"/>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2026-10-15T13:19:41Z</dcterms:created>
  <dcterms:modified xsi:type="dcterms:W3CDTF">2026-10-15T13:19:41Z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ounts">
    <vt:lpwstr/>
  </property>
  <property fmtid="{D5CDD505-2E9C-101B-9397-08002B2CF9AE}" pid="3" name="attorneys">
    <vt:lpwstr/>
  </property>
  <property fmtid="{D5CDD505-2E9C-101B-9397-08002B2CF9AE}" pid="4" name="docket_no">
    <vt:lpwstr>4321-26</vt:lpwstr>
  </property>
  <property fmtid="{D5CDD505-2E9C-101B-9397-08002B2CF9AE}" pid="5" name="party">
    <vt:lpwstr>petitioner</vt:lpwstr>
  </property>
  <property fmtid="{D5CDD505-2E9C-101B-9397-08002B2CF9AE}" pid="6" name="petitioners">
    <vt:lpwstr/>
  </property>
  <property fmtid="{D5CDD505-2E9C-101B-9397-08002B2CF9AE}" pid="7" name="signature">
    <vt:lpwstr/>
  </property>
  <property fmtid="{D5CDD505-2E9C-101B-9397-08002B2CF9AE}" pid="8" name="status">
    <vt:lpwstr>probable-trial</vt:lpwstr>
  </property>
  <property fmtid="{D5CDD505-2E9C-101B-9397-08002B2CF9AE}" pid="9" name="stipulation_status">
    <vt:lpwstr>in-progress</vt:lpwstr>
  </property>
  <property fmtid="{D5CDD505-2E9C-101B-9397-08002B2CF9AE}" pid="10" name="trial_calendar">
    <vt:lpwstr>Portland, Oregon, January 11, 2027</vt:lpwstr>
  </property>
  <property fmtid="{D5CDD505-2E9C-101B-9397-08002B2CF9AE}" pid="11" name="trial_time">
    <vt:lpwstr>3</vt:lpwstr>
  </property>
</Properties>
</file>