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IDAHO</w:t>
      </w:r>
    </w:p>
    <w:p>
      <w:pPr>
        <w:spacing w:before="864" w:after="0" w:line="322" w:lineRule="exact"/>
        <w:ind w:left="0" w:firstLine="0"/>
        <w:jc w:val="center"/>
      </w:pPr>
      <w:r>
        <w:rPr>
          <w:b/>
          <w:bCs/>
        </w:rPr>
        <w:t xml:space="preserve">Docket</w:t>
      </w:r>
      <w:r>
        <w:rPr>
          <w:b/>
          <w:bCs/>
        </w:rPr>
        <w:t xml:space="preserve"> </w:t>
      </w:r>
      <w:r>
        <w:rPr>
          <w:b/>
          <w:bCs/>
        </w:rPr>
        <w:t xml:space="preserve">No.</w:t>
      </w:r>
      <w:r>
        <w:rPr>
          <w:b/>
          <w:bCs/>
        </w:rPr>
        <w:t xml:space="preserve"> </w:t>
      </w:r>
      <w:r>
        <w:rPr>
          <w:b/>
          <w:bCs/>
        </w:rPr>
        <w:t xml:space="preserve">45679</w:t>
      </w:r>
    </w:p>
    <w:p>
      <w:pPr>
        <w:spacing w:before="864" w:after="0" w:line="322" w:lineRule="exact"/>
        <w:ind w:left="0" w:firstLine="0"/>
        <w:jc w:val="center"/>
      </w:pPr>
      <w:r>
        <w:t xml:space="preserve">ASPEN</w:t>
      </w:r>
      <w:r>
        <w:t xml:space="preserve"> </w:t>
      </w:r>
      <w:r>
        <w:t xml:space="preserve">PARK</w:t>
      </w:r>
      <w:r>
        <w:t xml:space="preserve"> </w:t>
      </w:r>
      <w:r>
        <w:t xml:space="preserve">INC.,</w:t>
      </w:r>
    </w:p>
    <w:p>
      <w:pPr>
        <w:spacing w:before="0" w:after="0" w:line="322" w:lineRule="exact"/>
        <w:ind w:left="0" w:firstLine="0"/>
        <w:jc w:val="center"/>
      </w:pPr>
      <w:r>
        <w:rPr>
          <w:i/>
          <w:iCs/>
        </w:rPr>
        <w:t xml:space="preserve">Plaintiff-Appellant,</w:t>
      </w:r>
    </w:p>
    <w:p>
      <w:pPr>
        <w:spacing w:before="288" w:after="288" w:line="322" w:lineRule="exact"/>
        <w:ind w:left="0" w:firstLine="0"/>
        <w:jc w:val="center"/>
      </w:pPr>
      <w:r>
        <w:t xml:space="preserve">v.</w:t>
      </w:r>
    </w:p>
    <w:p>
      <w:pPr>
        <w:spacing w:before="0" w:after="0" w:line="322" w:lineRule="exact"/>
        <w:ind w:left="0" w:firstLine="0"/>
        <w:jc w:val="center"/>
      </w:pPr>
      <w:r>
        <w:t xml:space="preserve">BONNEVILLE</w:t>
      </w:r>
      <w:r>
        <w:t xml:space="preserve"> </w:t>
      </w:r>
      <w:r>
        <w:t xml:space="preserve">COUNTY,</w:t>
      </w:r>
    </w:p>
    <w:p>
      <w:pPr>
        <w:spacing w:before="0" w:after="0" w:line="322" w:lineRule="exact"/>
        <w:ind w:left="0" w:firstLine="0"/>
        <w:jc w:val="center"/>
      </w:pPr>
      <w:r>
        <w:rPr>
          <w:i/>
          <w:iCs/>
        </w:rPr>
        <w:t xml:space="preserve">Defendant-Respondent.</w:t>
      </w:r>
    </w:p>
    <w:p>
      <w:pPr>
        <w:spacing w:before="864"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District</w:t>
      </w:r>
      <w:r>
        <w:t xml:space="preserve"> </w:t>
      </w:r>
      <w:r>
        <w:t xml:space="preserve">Court</w:t>
      </w:r>
      <w:r>
        <w:t xml:space="preserve"> </w:t>
      </w:r>
      <w:r>
        <w:t xml:space="preserve">of</w:t>
      </w:r>
      <w:r>
        <w:t xml:space="preserve"> </w:t>
      </w:r>
      <w:r>
        <w:t xml:space="preserve">the</w:t>
      </w:r>
      <w:r>
        <w:t xml:space="preserve"> </w:t>
      </w:r>
      <w:r>
        <w:t xml:space="preserve">Seventh</w:t>
      </w:r>
      <w:r>
        <w:t xml:space="preserve"> </w:t>
      </w:r>
      <w:r>
        <w:t xml:space="preserve">Judicial</w:t>
      </w:r>
      <w:r>
        <w:t xml:space="preserve"> </w:t>
      </w:r>
      <w:r>
        <w:t xml:space="preserve">District</w:t>
      </w:r>
      <w:r>
        <w:t xml:space="preserve"> </w:t>
      </w:r>
      <w:r>
        <w:t xml:space="preserve">of</w:t>
      </w:r>
      <w:r>
        <w:t xml:space="preserve"> </w:t>
      </w:r>
      <w:r>
        <w:t xml:space="preserve">the</w:t>
      </w:r>
      <w:r>
        <w:t xml:space="preserve"> </w:t>
      </w:r>
      <w:r>
        <w:t xml:space="preserve">State</w:t>
      </w:r>
      <w:r>
        <w:t xml:space="preserve"> </w:t>
      </w:r>
      <w:r>
        <w:t xml:space="preserve">of</w:t>
      </w:r>
      <w:r>
        <w:t xml:space="preserve"> </w:t>
      </w:r>
      <w:r>
        <w:t xml:space="preserve">Idaho,</w:t>
      </w:r>
      <w:r>
        <w:t xml:space="preserve"> </w:t>
      </w:r>
      <w:r>
        <w:t xml:space="preserve">in</w:t>
      </w:r>
      <w:r>
        <w:t xml:space="preserve"> </w:t>
      </w:r>
      <w:r>
        <w:t xml:space="preserve">and</w:t>
      </w:r>
      <w:r>
        <w:t xml:space="preserve"> </w:t>
      </w:r>
      <w:r>
        <w:t xml:space="preserve">for</w:t>
      </w:r>
      <w:r>
        <w:t xml:space="preserve"> </w:t>
      </w:r>
      <w:r>
        <w:t xml:space="preserve">the</w:t>
      </w:r>
      <w:r>
        <w:t xml:space="preserve"> </w:t>
      </w:r>
      <w:r>
        <w:t xml:space="preserve">County</w:t>
      </w:r>
      <w:r>
        <w:t xml:space="preserve"> </w:t>
      </w:r>
      <w:r>
        <w:t xml:space="preserve">of</w:t>
      </w:r>
      <w:r>
        <w:t xml:space="preserve"> </w:t>
      </w:r>
      <w:r>
        <w:t xml:space="preserve">Bonneville</w:t>
      </w:r>
    </w:p>
    <w:p>
      <w:pPr>
        <w:spacing w:before="0" w:after="0" w:line="322" w:lineRule="exact"/>
        <w:ind w:left="0" w:firstLine="0"/>
        <w:jc w:val="center"/>
      </w:pPr>
      <w:r>
        <w:t xml:space="preserve">HONORABLE</w:t>
      </w:r>
      <w:r>
        <w:t xml:space="preserve"> </w:t>
      </w:r>
      <w:r>
        <w:t xml:space="preserve">JOEL</w:t>
      </w:r>
      <w:r>
        <w:t xml:space="preserve"> </w:t>
      </w:r>
      <w:r>
        <w:t xml:space="preserve">E.</w:t>
      </w:r>
      <w:r>
        <w:t xml:space="preserve"> </w:t>
      </w:r>
      <w:r>
        <w:t xml:space="preserve">TINGEY,</w:t>
      </w:r>
      <w:r>
        <w:t xml:space="preserve"> </w:t>
      </w:r>
      <w:r>
        <w:t xml:space="preserve">District</w:t>
      </w:r>
      <w:r>
        <w:t xml:space="preserve"> </w:t>
      </w:r>
      <w:r>
        <w:t xml:space="preserve">Judge</w:t>
      </w:r>
    </w:p>
    <w:p>
      <w:pPr>
        <w:spacing w:before="1440" w:after="0" w:line="368" w:lineRule="exact"/>
        <w:ind w:left="0" w:firstLine="0"/>
        <w:jc w:val="center"/>
      </w:pPr>
      <w:r>
        <w:rPr>
          <w:b/>
          <w:bCs/>
          <w:sz w:val="32"/>
          <w:szCs w:val="32"/>
        </w:rPr>
        <w:t xml:space="preserve">APPELLANT’S</w:t>
      </w:r>
      <w:r>
        <w:rPr>
          <w:b/>
          <w:bCs/>
          <w:sz w:val="32"/>
          <w:szCs w:val="32"/>
        </w:rPr>
        <w:t xml:space="preserve"> </w:t>
      </w:r>
      <w:r>
        <w:rPr>
          <w:b/>
          <w:bCs/>
          <w:sz w:val="32"/>
          <w:szCs w:val="32"/>
        </w:rPr>
        <w:t xml:space="preserve">REPLY</w:t>
      </w:r>
      <w:r>
        <w:rPr>
          <w:b/>
          <w:bCs/>
          <w:sz w:val="32"/>
          <w:szCs w:val="32"/>
        </w:rPr>
        <w:t xml:space="preserve"> </w:t>
      </w:r>
      <w:r>
        <w:rPr>
          <w:b/>
          <w:bCs/>
          <w:sz w:val="32"/>
          <w:szCs w:val="32"/>
        </w:rPr>
        <w:t xml:space="preserve">BRIEF</w:t>
      </w:r>
    </w:p>
    <w:p>
      <w:pPr>
        <w:spacing w:before="0" w:after="0" w:line="14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rPr>
                <w:b/>
                <w:bCs/>
              </w:rPr>
              <w:t xml:space="preserve">HOPKINS</w:t>
            </w:r>
            <w:r>
              <w:rPr>
                <w:b/>
                <w:bCs/>
              </w:rPr>
              <w:t xml:space="preserve"> </w:t>
            </w:r>
            <w:r>
              <w:rPr>
                <w:b/>
                <w:bCs/>
              </w:rPr>
              <w:t xml:space="preserve">RODEN</w:t>
            </w:r>
            <w:r>
              <w:rPr>
                <w:b/>
                <w:bCs/>
              </w:rPr>
              <w:t xml:space="preserve"> </w:t>
            </w:r>
            <w:r>
              <w:rPr>
                <w:b/>
                <w:bCs/>
              </w:rPr>
              <w:t xml:space="preserve">CROCKETT</w:t>
            </w:r>
            <w:r>
              <w:rPr>
                <w:b/>
                <w:bCs/>
              </w:rPr>
              <w:t xml:space="preserve"> </w:t>
            </w:r>
            <w:r>
              <w:rPr>
                <w:b/>
                <w:bCs/>
              </w:rPr>
              <w:t xml:space="preserve">HANSEN</w:t>
            </w:r>
            <w:r>
              <w:rPr>
                <w:b/>
                <w:bCs/>
              </w:rPr>
              <w:t xml:space="preserve"> </w:t>
            </w:r>
            <w:r>
              <w:rPr>
                <w:b/>
                <w:bCs/>
              </w:rPr>
              <w:t xml:space="preserve">&amp;</w:t>
            </w:r>
            <w:r>
              <w:rPr>
                <w:b/>
                <w:bCs/>
              </w:rPr>
              <w:t xml:space="preserve"> </w:t>
            </w:r>
            <w:r>
              <w:rPr>
                <w:b/>
                <w:bCs/>
              </w:rPr>
              <w:t xml:space="preserve">HOOPES,</w:t>
            </w:r>
            <w:r>
              <w:rPr>
                <w:b/>
                <w:bCs/>
              </w:rPr>
              <w:t xml:space="preserve"> </w:t>
            </w:r>
            <w:r>
              <w:rPr>
                <w:b/>
                <w:bCs/>
              </w:rPr>
              <w:t xml:space="preserve">PLLC</w:t>
            </w:r>
          </w:p>
          <w:p>
            <w:pPr>
              <w:spacing w:before="0" w:after="0" w:line="322" w:lineRule="exact"/>
              <w:ind w:left="0" w:firstLine="0"/>
              <w:jc w:val="left"/>
            </w:pPr>
            <w:r>
              <w:t xml:space="preserve">C.</w:t>
            </w:r>
            <w:r>
              <w:t xml:space="preserve"> </w:t>
            </w:r>
            <w:r>
              <w:t xml:space="preserve">Timothy</w:t>
            </w:r>
            <w:r>
              <w:t xml:space="preserve"> </w:t>
            </w:r>
            <w:r>
              <w:t xml:space="preserve">Hopkins,</w:t>
            </w:r>
            <w:r>
              <w:t xml:space="preserve"> </w:t>
            </w:r>
            <w:r>
              <w:t xml:space="preserve">Esq.</w:t>
            </w:r>
          </w:p>
          <w:p>
            <w:pPr>
              <w:spacing w:before="0" w:after="0" w:line="322" w:lineRule="exact"/>
              <w:ind w:left="0" w:firstLine="0"/>
              <w:jc w:val="left"/>
            </w:pPr>
            <w:r>
              <w:t xml:space="preserve">Sean</w:t>
            </w:r>
            <w:r>
              <w:t xml:space="preserve"> </w:t>
            </w:r>
            <w:r>
              <w:t xml:space="preserve">J.</w:t>
            </w:r>
            <w:r>
              <w:t xml:space="preserve"> </w:t>
            </w:r>
            <w:r>
              <w:t xml:space="preserve">Coletti,</w:t>
            </w:r>
            <w:r>
              <w:t xml:space="preserve"> </w:t>
            </w:r>
            <w:r>
              <w:t xml:space="preserve">Esq.</w:t>
            </w:r>
          </w:p>
          <w:p>
            <w:pPr>
              <w:spacing w:before="0" w:after="0" w:line="322" w:lineRule="exact"/>
              <w:ind w:left="0" w:firstLine="0"/>
              <w:jc w:val="left"/>
            </w:pPr>
            <w:r>
              <w:t xml:space="preserve">428</w:t>
            </w:r>
            <w:r>
              <w:t xml:space="preserve"> </w:t>
            </w:r>
            <w:r>
              <w:t xml:space="preserve">Park</w:t>
            </w:r>
            <w:r>
              <w:t xml:space="preserve"> </w:t>
            </w:r>
            <w:r>
              <w:t xml:space="preserve">Avenue</w:t>
            </w:r>
          </w:p>
          <w:p>
            <w:pPr>
              <w:spacing w:before="0" w:after="0" w:line="322" w:lineRule="exact"/>
              <w:ind w:left="0" w:firstLine="0"/>
              <w:jc w:val="left"/>
            </w:pPr>
            <w:r>
              <w:t xml:space="preserve">Idaho</w:t>
            </w:r>
            <w:r>
              <w:t xml:space="preserve"> </w:t>
            </w:r>
            <w:r>
              <w:t xml:space="preserve">Falls,</w:t>
            </w:r>
            <w:r>
              <w:t xml:space="preserve"> </w:t>
            </w:r>
            <w:r>
              <w:t xml:space="preserve">ID</w:t>
            </w:r>
            <w:r>
              <w:t xml:space="preserve"> </w:t>
            </w:r>
            <w:r>
              <w:t xml:space="preserve">83402</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c>
          <w:tcPr>
            <w:tcW w:w="4968" w:type="dxa"/>
            <w:tcMar>
              <w:left w:w="576" w:type="dxa"/>
            </w:tcMar>
          </w:tcPr>
          <w:p>
            <w:pPr>
              <w:spacing w:before="0" w:after="0" w:line="322" w:lineRule="exact"/>
              <w:ind w:left="0" w:firstLine="0"/>
              <w:jc w:val="left"/>
            </w:pPr>
            <w:r>
              <w:rPr>
                <w:b/>
                <w:bCs/>
              </w:rPr>
              <w:t xml:space="preserve">NELSON</w:t>
            </w:r>
            <w:r>
              <w:rPr>
                <w:b/>
                <w:bCs/>
              </w:rPr>
              <w:t xml:space="preserve"> </w:t>
            </w:r>
            <w:r>
              <w:rPr>
                <w:b/>
                <w:bCs/>
              </w:rPr>
              <w:t xml:space="preserve">HALL</w:t>
            </w:r>
            <w:r>
              <w:rPr>
                <w:b/>
                <w:bCs/>
              </w:rPr>
              <w:t xml:space="preserve"> </w:t>
            </w:r>
            <w:r>
              <w:rPr>
                <w:b/>
                <w:bCs/>
              </w:rPr>
              <w:t xml:space="preserve">PARRY</w:t>
            </w:r>
            <w:r>
              <w:rPr>
                <w:b/>
                <w:bCs/>
              </w:rPr>
              <w:t xml:space="preserve"> </w:t>
            </w:r>
            <w:r>
              <w:rPr>
                <w:b/>
                <w:bCs/>
              </w:rPr>
              <w:t xml:space="preserve">TUCKER,</w:t>
            </w:r>
            <w:r>
              <w:rPr>
                <w:b/>
                <w:bCs/>
              </w:rPr>
              <w:t xml:space="preserve"> </w:t>
            </w:r>
            <w:r>
              <w:rPr>
                <w:b/>
                <w:bCs/>
              </w:rPr>
              <w:t xml:space="preserve">PLLC</w:t>
            </w:r>
          </w:p>
          <w:p>
            <w:pPr>
              <w:spacing w:before="0" w:after="0" w:line="322" w:lineRule="exact"/>
              <w:ind w:left="0" w:firstLine="0"/>
              <w:jc w:val="left"/>
            </w:pPr>
            <w:r>
              <w:t xml:space="preserve">Weston</w:t>
            </w:r>
            <w:r>
              <w:t xml:space="preserve"> </w:t>
            </w:r>
            <w:r>
              <w:t xml:space="preserve">Davis,</w:t>
            </w:r>
            <w:r>
              <w:t xml:space="preserve"> </w:t>
            </w:r>
            <w:r>
              <w:t xml:space="preserve">Esq.</w:t>
            </w:r>
          </w:p>
          <w:p>
            <w:pPr>
              <w:spacing w:before="0" w:after="0" w:line="322" w:lineRule="exact"/>
              <w:ind w:left="0" w:firstLine="0"/>
              <w:jc w:val="left"/>
            </w:pPr>
            <w:r>
              <w:t xml:space="preserve">P.O.</w:t>
            </w:r>
            <w:r>
              <w:t xml:space="preserve"> </w:t>
            </w:r>
            <w:r>
              <w:t xml:space="preserve">Box</w:t>
            </w:r>
            <w:r>
              <w:t xml:space="preserve"> </w:t>
            </w:r>
            <w:r>
              <w:t xml:space="preserve">51630</w:t>
            </w:r>
          </w:p>
          <w:p>
            <w:pPr>
              <w:spacing w:before="0" w:after="0" w:line="322" w:lineRule="exact"/>
              <w:ind w:left="0" w:firstLine="0"/>
              <w:jc w:val="left"/>
            </w:pPr>
            <w:r>
              <w:t xml:space="preserve">490</w:t>
            </w:r>
            <w:r>
              <w:t xml:space="preserve"> </w:t>
            </w:r>
            <w:r>
              <w:t xml:space="preserve">Memorial</w:t>
            </w:r>
            <w:r>
              <w:t xml:space="preserve"> </w:t>
            </w:r>
            <w:r>
              <w:t xml:space="preserve">Drive</w:t>
            </w:r>
          </w:p>
          <w:p>
            <w:pPr>
              <w:spacing w:before="0" w:after="0" w:line="322" w:lineRule="exact"/>
              <w:ind w:left="0" w:firstLine="0"/>
              <w:jc w:val="left"/>
            </w:pPr>
            <w:r>
              <w:t xml:space="preserve">Idaho</w:t>
            </w:r>
            <w:r>
              <w:t xml:space="preserve"> </w:t>
            </w:r>
            <w:r>
              <w:t xml:space="preserve">Falls,</w:t>
            </w:r>
            <w:r>
              <w:t xml:space="preserve"> </w:t>
            </w:r>
            <w:r>
              <w:t xml:space="preserve">Idaho</w:t>
            </w:r>
            <w:r>
              <w:t xml:space="preserve"> </w:t>
            </w:r>
            <w:r>
              <w:t xml:space="preserve">83402</w:t>
            </w:r>
          </w:p>
          <w:p>
            <w:pPr>
              <w:spacing w:before="0" w:after="0" w:line="322"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Respondent</w:t>
            </w: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420" w:right="720" w:hanging="420"/>
      </w:pPr>
      <w:r>
        <w:t xml:space="preserve">Argument</w:t>
      </w:r>
      <w:r>
        <w:t xml:space="preserve">   </w:t>
      </w:r>
      <w:r>
        <w:tab/>
      </w:r>
      <w:r>
        <w:t xml:space="preserve">4</w:t>
      </w:r>
    </w:p>
    <w:p>
      <w:pPr>
        <w:keepLines/>
        <w:tabs>
          <w:tab w:val="right" w:leader="dot" w:pos="9360"/>
        </w:tabs>
        <w:spacing w:before="252" w:after="0" w:line="322" w:lineRule="exact"/>
        <w:ind w:left="840" w:right="720" w:hanging="420"/>
      </w:pPr>
      <w:r>
        <w:t xml:space="preserve">1.</w:t>
      </w:r>
      <w:r>
        <w:t xml:space="preserve"> </w:t>
      </w:r>
      <w:r>
        <w:t xml:space="preserve">This</w:t>
      </w:r>
      <w:r>
        <w:t xml:space="preserve"> </w:t>
      </w:r>
      <w:r>
        <w:t xml:space="preserve">Court</w:t>
      </w:r>
      <w:r>
        <w:t xml:space="preserve"> </w:t>
      </w:r>
      <w:r>
        <w:t xml:space="preserve">has</w:t>
      </w:r>
      <w:r>
        <w:t xml:space="preserve"> </w:t>
      </w:r>
      <w:r>
        <w:t xml:space="preserve">complete</w:t>
      </w:r>
      <w:r>
        <w:t xml:space="preserve"> </w:t>
      </w:r>
      <w:r>
        <w:t xml:space="preserve">authority</w:t>
      </w:r>
      <w:r>
        <w:t xml:space="preserve"> </w:t>
      </w:r>
      <w:r>
        <w:t xml:space="preserve">to</w:t>
      </w:r>
      <w:r>
        <w:t xml:space="preserve"> </w:t>
      </w:r>
      <w:r>
        <w:t xml:space="preserve">say</w:t>
      </w:r>
      <w:r>
        <w:t xml:space="preserve"> </w:t>
      </w:r>
      <w:r>
        <w:t xml:space="preserve">what</w:t>
      </w:r>
      <w:r>
        <w:t xml:space="preserve"> </w:t>
      </w:r>
      <w:r>
        <w:t xml:space="preserve">the</w:t>
      </w:r>
      <w:r>
        <w:t xml:space="preserve"> </w:t>
      </w:r>
      <w:r>
        <w:t xml:space="preserve">law</w:t>
      </w:r>
      <w:r>
        <w:t xml:space="preserve"> </w:t>
      </w:r>
      <w:r>
        <w:t xml:space="preserve">is.</w:t>
      </w:r>
      <w:r>
        <w:t xml:space="preserve">   </w:t>
      </w:r>
      <w:r>
        <w:tab/>
      </w:r>
      <w:r>
        <w:t xml:space="preserve">4</w:t>
      </w:r>
    </w:p>
    <w:p>
      <w:pPr>
        <w:keepLines/>
        <w:tabs>
          <w:tab w:val="right" w:leader="dot" w:pos="9360"/>
        </w:tabs>
        <w:spacing w:before="252" w:after="0" w:line="322" w:lineRule="exact"/>
        <w:ind w:left="840" w:right="720" w:hanging="420"/>
      </w:pPr>
      <w:r>
        <w:t xml:space="preserve">2.</w:t>
      </w:r>
      <w:r>
        <w:t xml:space="preserve"> </w:t>
      </w:r>
      <w:r>
        <w:t xml:space="preserve">This</w:t>
      </w:r>
      <w:r>
        <w:t xml:space="preserve"> </w:t>
      </w:r>
      <w:r>
        <w:t xml:space="preserve">case</w:t>
      </w:r>
      <w:r>
        <w:t xml:space="preserve"> </w:t>
      </w:r>
      <w:r>
        <w:t xml:space="preserve">is</w:t>
      </w:r>
      <w:r>
        <w:t xml:space="preserve"> </w:t>
      </w:r>
      <w:r>
        <w:t xml:space="preserve">all</w:t>
      </w:r>
      <w:r>
        <w:t xml:space="preserve"> </w:t>
      </w:r>
      <w:r>
        <w:t xml:space="preserve">about</w:t>
      </w:r>
      <w:r>
        <w:t xml:space="preserve"> </w:t>
      </w:r>
      <w:r>
        <w:t xml:space="preserve">a</w:t>
      </w:r>
      <w:r>
        <w:t xml:space="preserve"> </w:t>
      </w:r>
      <w:r>
        <w:t xml:space="preserve">statute</w:t>
      </w:r>
      <w:r>
        <w:t xml:space="preserve"> </w:t>
      </w:r>
      <w:r>
        <w:t xml:space="preserve">capable</w:t>
      </w:r>
      <w:r>
        <w:t xml:space="preserve"> </w:t>
      </w:r>
      <w:r>
        <w:t xml:space="preserve">of</w:t>
      </w:r>
      <w:r>
        <w:t xml:space="preserve"> </w:t>
      </w:r>
      <w:r>
        <w:t xml:space="preserve">more</w:t>
      </w:r>
      <w:r>
        <w:t xml:space="preserve"> </w:t>
      </w:r>
      <w:r>
        <w:t xml:space="preserve">than</w:t>
      </w:r>
      <w:r>
        <w:t xml:space="preserve"> </w:t>
      </w:r>
      <w:r>
        <w:t xml:space="preserve">one</w:t>
      </w:r>
      <w:r>
        <w:t xml:space="preserve"> </w:t>
      </w:r>
      <w:r>
        <w:t xml:space="preserve">conflicting</w:t>
      </w:r>
      <w:r>
        <w:t xml:space="preserve"> </w:t>
      </w:r>
      <w:r>
        <w:t xml:space="preserve">construction.</w:t>
      </w:r>
      <w:r>
        <w:t xml:space="preserve">   </w:t>
      </w:r>
      <w:r>
        <w:tab/>
      </w:r>
      <w:r>
        <w:t xml:space="preserve">5</w:t>
      </w:r>
    </w:p>
    <w:p>
      <w:pPr>
        <w:keepLines/>
        <w:tabs>
          <w:tab w:val="right" w:leader="dot" w:pos="9360"/>
        </w:tabs>
        <w:spacing w:before="252" w:after="0" w:line="322" w:lineRule="exact"/>
        <w:ind w:left="840" w:right="720" w:hanging="420"/>
      </w:pPr>
      <w:r>
        <w:t xml:space="preserve">3.</w:t>
      </w:r>
      <w:r>
        <w:t xml:space="preserve"> </w:t>
      </w:r>
      <w:r>
        <w:t xml:space="preserve">All</w:t>
      </w:r>
      <w:r>
        <w:t xml:space="preserve"> </w:t>
      </w:r>
      <w:r>
        <w:t xml:space="preserve">of</w:t>
      </w:r>
      <w:r>
        <w:t xml:space="preserve"> </w:t>
      </w:r>
      <w:r>
        <w:t xml:space="preserve">Appellant’s</w:t>
      </w:r>
      <w:r>
        <w:t xml:space="preserve"> </w:t>
      </w:r>
      <w:r>
        <w:t xml:space="preserve">rental</w:t>
      </w:r>
      <w:r>
        <w:t xml:space="preserve"> </w:t>
      </w:r>
      <w:r>
        <w:t xml:space="preserve">units</w:t>
      </w:r>
      <w:r>
        <w:t xml:space="preserve"> </w:t>
      </w:r>
      <w:r>
        <w:t xml:space="preserve">are</w:t>
      </w:r>
      <w:r>
        <w:t xml:space="preserve"> </w:t>
      </w:r>
      <w:r>
        <w:t xml:space="preserve">dedicated</w:t>
      </w:r>
      <w:r>
        <w:t xml:space="preserve"> </w:t>
      </w:r>
      <w:r>
        <w:t xml:space="preserve">to</w:t>
      </w:r>
      <w:r>
        <w:t xml:space="preserve"> </w:t>
      </w:r>
      <w:r>
        <w:t xml:space="preserve">low-income</w:t>
      </w:r>
      <w:r>
        <w:t xml:space="preserve"> </w:t>
      </w:r>
      <w:r>
        <w:t xml:space="preserve">housing</w:t>
      </w:r>
      <w:r>
        <w:t xml:space="preserve"> </w:t>
      </w:r>
      <w:r>
        <w:t xml:space="preserve">as</w:t>
      </w:r>
      <w:r>
        <w:t xml:space="preserve"> </w:t>
      </w:r>
      <w:r>
        <w:t xml:space="preserve">required</w:t>
      </w:r>
      <w:r>
        <w:t xml:space="preserve"> </w:t>
      </w:r>
      <w:r>
        <w:t xml:space="preserve">by</w:t>
      </w:r>
      <w:r>
        <w:t xml:space="preserve"> </w:t>
      </w:r>
      <w:r>
        <w:t xml:space="preserve">Idaho</w:t>
      </w:r>
      <w:r>
        <w:t xml:space="preserve"> </w:t>
      </w:r>
      <w:r>
        <w:t xml:space="preserve">Code</w:t>
      </w:r>
      <w:r>
        <w:t xml:space="preserve"> </w:t>
      </w:r>
      <w:r>
        <w:t xml:space="preserve">Sec.</w:t>
      </w:r>
      <w:r>
        <w:t xml:space="preserve"> </w:t>
      </w:r>
      <w:r>
        <w:t xml:space="preserve">63</w:t>
        <w:noBreakHyphen/>
        <w:t xml:space="preserve">602GG(3)⁠(c).</w:t>
      </w:r>
      <w:r>
        <w:t xml:space="preserve">   </w:t>
      </w:r>
      <w:r>
        <w:tab/>
      </w:r>
      <w:r>
        <w:t xml:space="preserve">6</w:t>
      </w:r>
    </w:p>
    <w:p>
      <w:pPr>
        <w:keepLines/>
        <w:tabs>
          <w:tab w:val="right" w:leader="dot" w:pos="9360"/>
        </w:tabs>
        <w:spacing w:before="252" w:after="0" w:line="322" w:lineRule="exact"/>
        <w:ind w:left="840" w:right="720" w:hanging="420"/>
      </w:pPr>
      <w:r>
        <w:t xml:space="preserve">4.</w:t>
      </w:r>
      <w:r>
        <w:t xml:space="preserve"> </w:t>
      </w:r>
      <w:r>
        <w:t xml:space="preserve">Aspen</w:t>
      </w:r>
      <w:r>
        <w:t xml:space="preserve"> </w:t>
      </w:r>
      <w:r>
        <w:t xml:space="preserve">Park</w:t>
      </w:r>
      <w:r>
        <w:t xml:space="preserve"> </w:t>
      </w:r>
      <w:r>
        <w:t xml:space="preserve">is</w:t>
      </w:r>
      <w:r>
        <w:t xml:space="preserve"> </w:t>
      </w:r>
      <w:r>
        <w:t xml:space="preserve">entitled</w:t>
      </w:r>
      <w:r>
        <w:t xml:space="preserve"> </w:t>
      </w:r>
      <w:r>
        <w:t xml:space="preserve">to</w:t>
      </w:r>
      <w:r>
        <w:t xml:space="preserve"> </w:t>
      </w:r>
      <w:r>
        <w:t xml:space="preserve">its</w:t>
      </w:r>
      <w:r>
        <w:t xml:space="preserve"> </w:t>
      </w:r>
      <w:r>
        <w:t xml:space="preserve">costs</w:t>
      </w:r>
      <w:r>
        <w:t xml:space="preserve"> </w:t>
      </w:r>
      <w:r>
        <w:t xml:space="preserve">on</w:t>
      </w:r>
      <w:r>
        <w:t xml:space="preserve"> </w:t>
      </w:r>
      <w:r>
        <w:t xml:space="preserve">appeal.</w:t>
      </w:r>
      <w:r>
        <w:t xml:space="preserve">   </w:t>
      </w:r>
      <w:r>
        <w:tab/>
      </w:r>
      <w:r>
        <w:t xml:space="preserve">10</w:t>
      </w:r>
    </w:p>
    <w:p>
      <w:pPr>
        <w:keepLines/>
        <w:tabs>
          <w:tab w:val="right" w:leader="dot" w:pos="9360"/>
        </w:tabs>
        <w:spacing w:before="252" w:after="0" w:line="322" w:lineRule="exact"/>
        <w:ind w:left="420" w:right="720" w:hanging="420"/>
      </w:pPr>
      <w:r>
        <w:t xml:space="preserve">Conclusion</w:t>
      </w:r>
      <w:r>
        <w:t xml:space="preserve">   </w:t>
      </w:r>
      <w:r>
        <w:tab/>
      </w:r>
      <w:r>
        <w:t xml:space="preserve">11</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56" w:line="322" w:lineRule="exact"/>
        <w:ind w:left="0" w:firstLine="0"/>
        <w:jc w:val="left"/>
      </w:pPr>
      <w:r>
        <w:rPr>
          <w:b/>
          <w:bCs/>
        </w:rPr>
        <w:t xml:space="preserve">Cases</w:t>
      </w:r>
    </w:p>
    <w:p>
      <w:pPr>
        <w:keepLines/>
        <w:tabs>
          <w:tab w:val="right" w:leader="dot" w:pos="9360"/>
        </w:tabs>
        <w:spacing w:before="252" w:after="0" w:line="322" w:lineRule="exact"/>
        <w:ind w:left="420" w:right="1120" w:hanging="420"/>
      </w:pPr>
      <w:r>
        <w:rPr>
          <w:i/>
          <w:iCs/>
        </w:rPr>
        <w:t xml:space="preserve">Marbury</w:t>
      </w:r>
      <w:r>
        <w:rPr>
          <w:i/>
          <w:iCs/>
        </w:rPr>
        <w:t xml:space="preserve"> </w:t>
      </w:r>
      <w:r>
        <w:rPr>
          <w:i/>
          <w:iCs/>
        </w:rPr>
        <w:t xml:space="preserve">v.</w:t>
      </w:r>
      <w:r>
        <w:rPr>
          <w:i/>
          <w:iCs/>
        </w:rPr>
        <w:t xml:space="preserve"> </w:t>
      </w:r>
      <w:r>
        <w:rPr>
          <w:i/>
          <w:iCs/>
        </w:rPr>
        <w:t xml:space="preserve">Madison</w:t>
      </w:r>
      <w:r>
        <w:t xml:space="preserve">,</w:t>
      </w:r>
      <w:r>
        <w:t xml:space="preserve"> </w:t>
      </w:r>
      <w:r>
        <w:t xml:space="preserve">5</w:t>
      </w:r>
      <w:r>
        <w:t xml:space="preserve"> </w:t>
      </w:r>
      <w:r>
        <w:t xml:space="preserve">U.S.</w:t>
      </w:r>
      <w:r>
        <w:t xml:space="preserve"> </w:t>
      </w:r>
      <w:r>
        <w:t xml:space="preserve">(1</w:t>
      </w:r>
      <w:r>
        <w:t xml:space="preserve"> </w:t>
      </w:r>
      <w:r>
        <w:t xml:space="preserve">Cranch)</w:t>
      </w:r>
      <w:r>
        <w:t xml:space="preserve"> </w:t>
      </w:r>
      <w:r>
        <w:t xml:space="preserve">137,</w:t>
      </w:r>
      <w:r>
        <w:t xml:space="preserve"> </w:t>
      </w:r>
      <w:r>
        <w:t xml:space="preserve">2</w:t>
      </w:r>
      <w:r>
        <w:t xml:space="preserve"> </w:t>
      </w:r>
      <w:r>
        <w:t xml:space="preserve">L.Ed.</w:t>
      </w:r>
      <w:r>
        <w:t xml:space="preserve"> </w:t>
      </w:r>
      <w:r>
        <w:t xml:space="preserve">60</w:t>
      </w:r>
      <w:r>
        <w:t xml:space="preserve"> </w:t>
      </w:r>
      <w:r>
        <w:t xml:space="preserve">(1803)</w:t>
      </w:r>
      <w:r>
        <w:t xml:space="preserve">   </w:t>
      </w:r>
      <w:r>
        <w:tab/>
      </w:r>
      <w:r>
        <w:t xml:space="preserve">4</w:t>
      </w:r>
    </w:p>
    <w:p>
      <w:pPr>
        <w:keepLines/>
        <w:tabs>
          <w:tab w:val="right" w:leader="dot" w:pos="9360"/>
        </w:tabs>
        <w:spacing w:before="252" w:after="0" w:line="322" w:lineRule="exact"/>
        <w:ind w:left="420" w:right="1120" w:hanging="420"/>
      </w:pPr>
      <w:r>
        <w:rPr>
          <w:i/>
          <w:iCs/>
        </w:rPr>
        <w:t xml:space="preserve">Hammer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Sun</w:t>
      </w:r>
      <w:r>
        <w:rPr>
          <w:i/>
          <w:iCs/>
        </w:rPr>
        <w:t xml:space="preserve"> </w:t>
      </w:r>
      <w:r>
        <w:rPr>
          <w:i/>
          <w:iCs/>
        </w:rPr>
        <w:t xml:space="preserve">Valley</w:t>
      </w:r>
      <w:r>
        <w:t xml:space="preserve">,</w:t>
      </w:r>
      <w:r>
        <w:t xml:space="preserve"> </w:t>
      </w:r>
      <w:r>
        <w:t xml:space="preserve">163</w:t>
      </w:r>
      <w:r>
        <w:t xml:space="preserve"> </w:t>
      </w:r>
      <w:r>
        <w:t xml:space="preserve">Idaho</w:t>
      </w:r>
      <w:r>
        <w:t xml:space="preserve"> </w:t>
      </w:r>
      <w:r>
        <w:t xml:space="preserve">439,</w:t>
      </w:r>
      <w:r>
        <w:t xml:space="preserve"> </w:t>
      </w:r>
      <w:r>
        <w:t xml:space="preserve">414</w:t>
      </w:r>
      <w:r>
        <w:t xml:space="preserve"> </w:t>
      </w:r>
      <w:r>
        <w:t xml:space="preserve">P.3d</w:t>
      </w:r>
      <w:r>
        <w:t xml:space="preserve"> </w:t>
      </w:r>
      <w:r>
        <w:t xml:space="preserve">1178</w:t>
      </w:r>
      <w:r>
        <w:t xml:space="preserve"> </w:t>
      </w:r>
      <w:r>
        <w:t xml:space="preserve">(2016)</w:t>
      </w:r>
      <w:r>
        <w:t xml:space="preserve">   </w:t>
      </w:r>
      <w:r>
        <w:tab/>
      </w:r>
      <w:r>
        <w:t xml:space="preserve">10</w:t>
      </w:r>
    </w:p>
    <w:p>
      <w:pPr>
        <w:keepNext/>
        <w:keepLines/>
        <w:spacing w:before="336" w:after="56" w:line="322" w:lineRule="exact"/>
        <w:ind w:left="0" w:firstLine="0"/>
        <w:jc w:val="left"/>
      </w:pPr>
      <w:r>
        <w:rPr>
          <w:b/>
          <w:bCs/>
        </w:rPr>
        <w:t xml:space="preserve">Rules</w:t>
      </w:r>
    </w:p>
    <w:p>
      <w:pPr>
        <w:keepLines/>
        <w:tabs>
          <w:tab w:val="right" w:leader="dot" w:pos="9360"/>
        </w:tabs>
        <w:spacing w:before="252" w:after="0" w:line="322" w:lineRule="exact"/>
        <w:ind w:left="420" w:right="1120" w:hanging="420"/>
      </w:pPr>
      <w:r>
        <w:t xml:space="preserve">I.A.R.</w:t>
      </w:r>
      <w:r>
        <w:t xml:space="preserve"> </w:t>
      </w:r>
      <w:r>
        <w:t xml:space="preserve">40</w:t>
      </w:r>
      <w:r>
        <w:t xml:space="preserve">   </w:t>
      </w:r>
      <w:r>
        <w:tab/>
      </w:r>
      <w:r>
        <w:t xml:space="preserve">10</w:t>
      </w:r>
    </w:p>
    <w:p>
      <w:pPr>
        <w:keepNext/>
        <w:keepLines/>
        <w:spacing w:before="336" w:after="56" w:line="322" w:lineRule="exact"/>
        <w:ind w:left="0" w:firstLine="0"/>
        <w:jc w:val="left"/>
      </w:pPr>
      <w:r>
        <w:rPr>
          <w:b/>
          <w:bCs/>
        </w:rPr>
        <w:t xml:space="preserve">Statutes</w:t>
      </w:r>
    </w:p>
    <w:p>
      <w:pPr>
        <w:keepLines/>
        <w:tabs>
          <w:tab w:val="right" w:leader="dot" w:pos="9360"/>
        </w:tabs>
        <w:spacing w:before="252" w:after="0" w:line="322" w:lineRule="exact"/>
        <w:ind w:left="420" w:right="1120" w:hanging="420"/>
      </w:pPr>
      <w:r>
        <w:t xml:space="preserve">Idaho</w:t>
      </w:r>
      <w:r>
        <w:t xml:space="preserve"> </w:t>
      </w:r>
      <w:r>
        <w:t xml:space="preserve">Code</w:t>
      </w:r>
      <w:r>
        <w:t xml:space="preserve"> </w:t>
      </w:r>
      <w:r>
        <w:t xml:space="preserve">§</w:t>
      </w:r>
      <w:r>
        <w:t xml:space="preserve"> </w:t>
      </w:r>
      <w:r>
        <w:t xml:space="preserve">63</w:t>
        <w:noBreakHyphen/>
        <w:t xml:space="preserve">602GG</w:t>
      </w:r>
      <w:r>
        <w:t xml:space="preserve">   </w:t>
      </w:r>
      <w:r>
        <w:tab/>
      </w:r>
      <w:r>
        <w:t xml:space="preserve">4, 6, 7, 11</w:t>
      </w:r>
    </w:p>
    <w:p>
      <w:pPr>
        <w:keepLines/>
        <w:tabs>
          <w:tab w:val="right" w:leader="dot" w:pos="9360"/>
        </w:tabs>
        <w:spacing w:before="252" w:after="0" w:line="322" w:lineRule="exact"/>
        <w:ind w:left="420" w:right="1120" w:hanging="420"/>
      </w:pPr>
      <w:r>
        <w:t xml:space="preserve">Idaho</w:t>
      </w:r>
      <w:r>
        <w:t xml:space="preserve"> </w:t>
      </w:r>
      <w:r>
        <w:t xml:space="preserve">Code</w:t>
      </w:r>
      <w:r>
        <w:t xml:space="preserve"> </w:t>
      </w:r>
      <w:r>
        <w:t xml:space="preserve">§</w:t>
      </w:r>
      <w:r>
        <w:t xml:space="preserve"> </w:t>
      </w:r>
      <w:r>
        <w:t xml:space="preserve">73</w:t>
        <w:noBreakHyphen/>
        <w:t xml:space="preserve">113</w:t>
      </w:r>
      <w:r>
        <w:t xml:space="preserve">   </w:t>
      </w:r>
      <w:r>
        <w:tab/>
      </w:r>
      <w:r>
        <w:t xml:space="preserve">4</w:t>
      </w:r>
    </w:p>
    <w:p>
      <w:pPr>
        <w:keepLines/>
        <w:tabs>
          <w:tab w:val="right" w:leader="dot" w:pos="9360"/>
        </w:tabs>
        <w:spacing w:before="252" w:after="0" w:line="322" w:lineRule="exact"/>
        <w:ind w:left="420" w:right="1120" w:hanging="420"/>
      </w:pPr>
      <w:r>
        <w:t xml:space="preserve">Idaho</w:t>
      </w:r>
      <w:r>
        <w:t xml:space="preserve"> </w:t>
      </w:r>
      <w:r>
        <w:t xml:space="preserve">Code</w:t>
      </w:r>
      <w:r>
        <w:t xml:space="preserve"> </w:t>
      </w:r>
      <w:r>
        <w:t xml:space="preserve">§</w:t>
      </w:r>
      <w:r>
        <w:t xml:space="preserve"> </w:t>
      </w:r>
      <w:r>
        <w:t xml:space="preserve">67</w:t>
        <w:noBreakHyphen/>
        <w:t xml:space="preserve">6201</w:t>
      </w:r>
      <w:r>
        <w:t xml:space="preserve">   </w:t>
      </w:r>
      <w:r>
        <w:tab/>
      </w:r>
      <w:r>
        <w:t xml:space="preserve">5, 10</w:t>
      </w:r>
    </w:p>
    <w:p>
      <w:pPr>
        <w:keepLines/>
        <w:tabs>
          <w:tab w:val="right" w:leader="dot" w:pos="9360"/>
        </w:tabs>
        <w:spacing w:before="252" w:after="0" w:line="322" w:lineRule="exact"/>
        <w:ind w:left="420" w:right="1120" w:hanging="420"/>
      </w:pPr>
      <w:r>
        <w:t xml:space="preserve">Idaho</w:t>
      </w:r>
      <w:r>
        <w:t xml:space="preserve"> </w:t>
      </w:r>
      <w:r>
        <w:t xml:space="preserve">Code</w:t>
      </w:r>
      <w:r>
        <w:t xml:space="preserve"> </w:t>
      </w:r>
      <w:r>
        <w:t xml:space="preserve">§</w:t>
      </w:r>
      <w:r>
        <w:t xml:space="preserve"> </w:t>
      </w:r>
      <w:r>
        <w:t xml:space="preserve">67</w:t>
        <w:noBreakHyphen/>
        <w:t xml:space="preserve">6202</w:t>
      </w:r>
      <w:r>
        <w:t xml:space="preserve">   </w:t>
      </w:r>
      <w:r>
        <w:tab/>
      </w:r>
      <w:r>
        <w:t xml:space="preserve">5</w:t>
      </w:r>
    </w:p>
    <w:p>
      <w:pPr>
        <w:keepLines/>
        <w:tabs>
          <w:tab w:val="right" w:leader="dot" w:pos="9360"/>
        </w:tabs>
        <w:spacing w:before="252" w:after="0" w:line="322" w:lineRule="exact"/>
        <w:ind w:left="420" w:right="1120" w:hanging="420"/>
      </w:pPr>
      <w:r>
        <w:t xml:space="preserve">Idaho</w:t>
      </w:r>
      <w:r>
        <w:t xml:space="preserve"> </w:t>
      </w:r>
      <w:r>
        <w:t xml:space="preserve">Code</w:t>
      </w:r>
      <w:r>
        <w:t xml:space="preserve"> </w:t>
      </w:r>
      <w:r>
        <w:t xml:space="preserve">§</w:t>
      </w:r>
      <w:r>
        <w:t xml:space="preserve"> </w:t>
      </w:r>
      <w:r>
        <w:t xml:space="preserve">42</w:t>
        <w:noBreakHyphen/>
        <w:t xml:space="preserve">401</w:t>
      </w:r>
      <w:r>
        <w:t xml:space="preserve">   </w:t>
      </w:r>
      <w:r>
        <w:tab/>
      </w:r>
      <w:r>
        <w:t xml:space="preserve">7</w:t>
      </w:r>
    </w:p>
    <w:p>
      <w:pPr>
        <w:keepLines/>
        <w:tabs>
          <w:tab w:val="right" w:leader="dot" w:pos="9360"/>
        </w:tabs>
        <w:spacing w:before="252" w:after="0" w:line="322" w:lineRule="exact"/>
        <w:ind w:left="420" w:right="1120" w:hanging="420"/>
      </w:pPr>
      <w:r>
        <w:t xml:space="preserve">Idaho</w:t>
      </w:r>
      <w:r>
        <w:t xml:space="preserve"> </w:t>
      </w:r>
      <w:r>
        <w:t xml:space="preserve">Code</w:t>
      </w:r>
      <w:r>
        <w:t xml:space="preserve"> </w:t>
      </w:r>
      <w:r>
        <w:t xml:space="preserve">§</w:t>
      </w:r>
      <w:r>
        <w:t xml:space="preserve"> </w:t>
      </w:r>
      <w:r>
        <w:t xml:space="preserve">36</w:t>
        <w:noBreakHyphen/>
        <w:t xml:space="preserve">408</w:t>
      </w:r>
      <w:r>
        <w:t xml:space="preserve">   </w:t>
      </w:r>
      <w:r>
        <w:tab/>
      </w:r>
      <w:r>
        <w:t xml:space="preserve">7</w:t>
      </w:r>
    </w:p>
    <w:p>
      <w:pPr>
        <w:keepLines/>
        <w:tabs>
          <w:tab w:val="right" w:leader="dot" w:pos="9360"/>
        </w:tabs>
        <w:spacing w:before="252" w:after="0" w:line="322" w:lineRule="exact"/>
        <w:ind w:left="420" w:right="1120" w:hanging="420"/>
      </w:pPr>
      <w:r>
        <w:t xml:space="preserve">Idaho</w:t>
      </w:r>
      <w:r>
        <w:t xml:space="preserve"> </w:t>
      </w:r>
      <w:r>
        <w:t xml:space="preserve">Code</w:t>
      </w:r>
      <w:r>
        <w:t xml:space="preserve"> </w:t>
      </w:r>
      <w:r>
        <w:t xml:space="preserve">§</w:t>
      </w:r>
      <w:r>
        <w:t xml:space="preserve"> </w:t>
      </w:r>
      <w:r>
        <w:t xml:space="preserve">63</w:t>
        <w:noBreakHyphen/>
        <w:t xml:space="preserve">605</w:t>
      </w:r>
      <w:r>
        <w:t xml:space="preserve">   </w:t>
      </w:r>
      <w:r>
        <w:tab/>
      </w:r>
      <w:r>
        <w:t xml:space="preserve">7</w:t>
      </w:r>
    </w:p>
    <w:p>
      <w:pPr>
        <w:keepLines/>
        <w:tabs>
          <w:tab w:val="right" w:leader="dot" w:pos="9360"/>
        </w:tabs>
        <w:spacing w:before="252" w:after="0" w:line="322" w:lineRule="exact"/>
        <w:ind w:left="420" w:right="1120" w:hanging="420"/>
      </w:pPr>
      <w:r>
        <w:t xml:space="preserve">Idaho</w:t>
      </w:r>
      <w:r>
        <w:t xml:space="preserve"> </w:t>
      </w:r>
      <w:r>
        <w:t xml:space="preserve">Code</w:t>
      </w:r>
      <w:r>
        <w:t xml:space="preserve"> </w:t>
      </w:r>
      <w:r>
        <w:t xml:space="preserve">§</w:t>
      </w:r>
      <w:r>
        <w:t xml:space="preserve"> </w:t>
      </w:r>
      <w:r>
        <w:t xml:space="preserve">48</w:t>
        <w:noBreakHyphen/>
        <w:t xml:space="preserve">1501</w:t>
      </w:r>
      <w:r>
        <w:t xml:space="preserve">   </w:t>
      </w:r>
      <w:r>
        <w:tab/>
      </w:r>
      <w:r>
        <w:t xml:space="preserve">7</w:t>
      </w:r>
    </w:p>
    <w:p>
      <w:pPr>
        <w:pageBreakBefore/>
        <w:spacing w:before="0" w:after="0" w:line="1" w:lineRule="exact"/>
      </w:pPr>
    </w:p>
    <w:p>
      <w:pPr>
        <w:pStyle w:val="BodyText"/>
      </w:pPr>
      <w:r>
        <w:t xml:space="preserve">The Appellant (“Aspen Park”), by and through its attorneys of record, HOPKINS RODEN CROCKETT HANSEN &amp; HOOPES, PLLC, appeals from the decision of the District Court, and submits this Reply Brief in support of its Appeal.</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1.</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complete</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say</w:t>
      </w:r>
      <w:r>
        <w:rPr>
          <w:b/>
          <w:bCs/>
        </w:rPr>
        <w:t xml:space="preserve"> </w:t>
      </w:r>
      <w:r>
        <w:rPr>
          <w:b/>
          <w:bCs/>
        </w:rPr>
        <w:t xml:space="preserve">what</w:t>
      </w:r>
      <w:r>
        <w:rPr>
          <w:b/>
          <w:bCs/>
        </w:rPr>
        <w:t xml:space="preserve"> </w:t>
      </w:r>
      <w:r>
        <w:rPr>
          <w:b/>
          <w:bCs/>
        </w:rPr>
        <w:t xml:space="preserve">the</w:t>
      </w:r>
      <w:r>
        <w:rPr>
          <w:b/>
          <w:bCs/>
        </w:rPr>
        <w:t xml:space="preserve"> </w:t>
      </w:r>
      <w:r>
        <w:rPr>
          <w:b/>
          <w:bCs/>
        </w:rPr>
        <w:t xml:space="preserve">law</w:t>
      </w:r>
      <w:r>
        <w:rPr>
          <w:b/>
          <w:bCs/>
        </w:rPr>
        <w:t xml:space="preserve"> </w:t>
      </w:r>
      <w:r>
        <w:rPr>
          <w:b/>
          <w:bCs/>
        </w:rPr>
        <w:t xml:space="preserve">is.</w:t>
      </w:r>
    </w:p>
    <w:p>
      <w:pPr>
        <w:pStyle w:val="BodyText"/>
      </w:pPr>
      <w:r>
        <w:t xml:space="preserve">Aspen Park asks that this Court construe Idaho Code § 63</w:t>
      </w:r>
      <w:r>
        <w:noBreakHyphen/>
      </w:r>
      <w:r>
        <w:t xml:space="preserve">602GG(3)⁠(c)</w:t>
      </w:r>
      <w:r>
        <w:t xml:space="preserve"> </w:t>
      </w:r>
      <w:r>
        <w:t xml:space="preserve">in a reasonable manner—a request which is no more than what was promised by Justice John Marshall in</w:t>
      </w:r>
      <w:r>
        <w:t xml:space="preserve"> </w:t>
      </w:r>
      <w:r>
        <w:rPr>
          <w:i/>
          <w:iCs/>
        </w:rPr>
        <w:t xml:space="preserve">Marbury v. Madison</w:t>
      </w:r>
      <w:r>
        <w:t xml:space="preserve">, 5 U.S. 137, 163, 2 L.Ed. 60 (1803) when he stated: “It is emphatically the province and duty of the judicial department to say what the law is. Those who apply the rule to particular cases, must of necessity expound and interpret that rule. If two laws conflict with each other, the courts must decide on the operation of each.”</w:t>
      </w:r>
    </w:p>
    <w:p>
      <w:pPr>
        <w:pStyle w:val="BodyText"/>
      </w:pPr>
      <w:r>
        <w:t xml:space="preserve">Idaho Code § 73</w:t>
      </w:r>
      <w:r>
        <w:noBreakHyphen/>
      </w:r>
      <w:r>
        <w:t xml:space="preserve">113</w:t>
      </w:r>
      <w:r>
        <w:t xml:space="preserve"> </w:t>
      </w:r>
      <w:r>
        <w:t xml:space="preserve">provides the court with the tool for application in this case. It reads, in part:</w:t>
      </w:r>
    </w:p>
    <w:p>
      <w:pPr>
        <w:pStyle w:val="XdQuoteFirst"/>
      </w:pPr>
      <w:r>
        <w:t xml:space="preserve">73</w:t>
      </w:r>
      <w:r>
        <w:noBreakHyphen/>
      </w:r>
      <w:r>
        <w:t xml:space="preserve">113.</w:t>
      </w:r>
      <w:r>
        <w:t xml:space="preserve"> </w:t>
      </w:r>
      <w:r>
        <w:t xml:space="preserve">CONSTRUCTION OF WORDS AND PHRASES.</w:t>
      </w:r>
    </w:p>
    <w:p>
      <w:pPr>
        <w:pStyle w:val="XdQuote"/>
      </w:pPr>
      <w:r>
        <w:t xml:space="preserve">(1) The language of a statute should be given its plain, usual and ordinary meaning. Where a statute is clear and unambiguous, the expressed intent of the legislature shall be given effect without engaging in statutory construction. The literal words of a statute are the best guide to determining legislative intent.</w:t>
      </w:r>
    </w:p>
    <w:p>
      <w:pPr>
        <w:pStyle w:val="XdQuoteLast"/>
      </w:pPr>
      <w:r>
        <w:t xml:space="preserve">(2) If a statute is capable of more than one (1) conflicting construction, the reasonableness of the proposed interpretations shall be considered, and the statute must be construed as a whole. Interpretations which would render the statute a nullity, or which would lead to absurd results, are disfavored[.]</w:t>
      </w:r>
    </w:p>
    <w:p>
      <w:pPr>
        <w:keepNext/>
        <w:keepLines/>
        <w:spacing w:before="336" w:after="224" w:line="322" w:lineRule="exact"/>
        <w:ind w:left="720" w:hanging="720"/>
        <w:jc w:val="left"/>
      </w:pPr>
      <w:r>
        <w:rPr>
          <w:b/>
          <w:bCs/>
        </w:rPr>
        <w:t xml:space="preserve">2.</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is</w:t>
      </w:r>
      <w:r>
        <w:rPr>
          <w:b/>
          <w:bCs/>
        </w:rPr>
        <w:t xml:space="preserve"> </w:t>
      </w:r>
      <w:r>
        <w:rPr>
          <w:b/>
          <w:bCs/>
        </w:rPr>
        <w:t xml:space="preserve">all</w:t>
      </w:r>
      <w:r>
        <w:rPr>
          <w:b/>
          <w:bCs/>
        </w:rPr>
        <w:t xml:space="preserve"> </w:t>
      </w:r>
      <w:r>
        <w:rPr>
          <w:b/>
          <w:bCs/>
        </w:rPr>
        <w:t xml:space="preserve">about</w:t>
      </w:r>
      <w:r>
        <w:rPr>
          <w:b/>
          <w:bCs/>
        </w:rPr>
        <w:t xml:space="preserve"> </w:t>
      </w:r>
      <w:r>
        <w:rPr>
          <w:b/>
          <w:bCs/>
        </w:rPr>
        <w:t xml:space="preserve">a</w:t>
      </w:r>
      <w:r>
        <w:rPr>
          <w:b/>
          <w:bCs/>
        </w:rPr>
        <w:t xml:space="preserve"> </w:t>
      </w:r>
      <w:r>
        <w:rPr>
          <w:b/>
          <w:bCs/>
        </w:rPr>
        <w:t xml:space="preserve">statute</w:t>
      </w:r>
      <w:r>
        <w:rPr>
          <w:b/>
          <w:bCs/>
        </w:rPr>
        <w:t xml:space="preserve"> </w:t>
      </w:r>
      <w:r>
        <w:rPr>
          <w:b/>
          <w:bCs/>
        </w:rPr>
        <w:t xml:space="preserve">capable</w:t>
      </w:r>
      <w:r>
        <w:rPr>
          <w:b/>
          <w:bCs/>
        </w:rPr>
        <w:t xml:space="preserve"> </w:t>
      </w:r>
      <w:r>
        <w:rPr>
          <w:b/>
          <w:bCs/>
        </w:rPr>
        <w:t xml:space="preserve">of</w:t>
      </w:r>
      <w:r>
        <w:rPr>
          <w:b/>
          <w:bCs/>
        </w:rPr>
        <w:t xml:space="preserve"> </w:t>
      </w:r>
      <w:r>
        <w:rPr>
          <w:b/>
          <w:bCs/>
        </w:rPr>
        <w:t xml:space="preserve">more</w:t>
      </w:r>
      <w:r>
        <w:rPr>
          <w:b/>
          <w:bCs/>
        </w:rPr>
        <w:t xml:space="preserve"> </w:t>
      </w:r>
      <w:r>
        <w:rPr>
          <w:b/>
          <w:bCs/>
        </w:rPr>
        <w:t xml:space="preserve">than</w:t>
      </w:r>
      <w:r>
        <w:rPr>
          <w:b/>
          <w:bCs/>
        </w:rPr>
        <w:t xml:space="preserve"> </w:t>
      </w:r>
      <w:r>
        <w:rPr>
          <w:b/>
          <w:bCs/>
        </w:rPr>
        <w:t xml:space="preserve">one</w:t>
      </w:r>
      <w:r>
        <w:rPr>
          <w:b/>
          <w:bCs/>
        </w:rPr>
        <w:t xml:space="preserve"> </w:t>
      </w:r>
      <w:r>
        <w:rPr>
          <w:b/>
          <w:bCs/>
        </w:rPr>
        <w:t xml:space="preserve">conflicting</w:t>
      </w:r>
      <w:r>
        <w:rPr>
          <w:b/>
          <w:bCs/>
        </w:rPr>
        <w:t xml:space="preserve"> </w:t>
      </w:r>
      <w:r>
        <w:rPr>
          <w:b/>
          <w:bCs/>
        </w:rPr>
        <w:t xml:space="preserve">construction.</w:t>
      </w:r>
    </w:p>
    <w:p>
      <w:pPr>
        <w:pStyle w:val="BodyText"/>
      </w:pPr>
      <w:r>
        <w:t xml:space="preserve">In some important particulars, the Legislature has spoken clearly and unmistakably in the matters before this Court.</w:t>
      </w:r>
    </w:p>
    <w:p>
      <w:pPr>
        <w:pStyle w:val="XdQuoteFirst"/>
      </w:pPr>
      <w:r>
        <w:t xml:space="preserve">“It is hereby declared:</w:t>
      </w:r>
    </w:p>
    <w:p>
      <w:pPr>
        <w:pStyle w:val="XdQuoteLast"/>
      </w:pPr>
      <w:r>
        <w:t xml:space="preserve">(a) That within the state there is a shortage of safe or sanitary dwelling accommodations available which persons of low incomes can afford and that such persons are forced to occupy overcrowded and congested dwelling accommodations; that the aforesaid conditions cause an increase in and spread of disease and crime, and constitute a menace to the health, safety, morals and welfare of the residents of the state and impair economic values[.]</w:t>
      </w:r>
    </w:p>
    <w:p>
      <w:pPr>
        <w:pStyle w:val="BodyText"/>
      </w:pPr>
      <w:r>
        <w:t xml:space="preserve">IDAHO CODE § 67</w:t>
      </w:r>
      <w:r>
        <w:noBreakHyphen/>
      </w:r>
      <w:r>
        <w:t xml:space="preserve">6201.</w:t>
      </w:r>
    </w:p>
    <w:p>
      <w:pPr>
        <w:pStyle w:val="BodyText"/>
      </w:pPr>
      <w:r>
        <w:t xml:space="preserve">To address these low-income housing conditions, the Legislature created the Idaho Housing and Finance Association (IHFA) and gave it powers to help alleviate unacceptable housing conditions. Furthermore, contrary to Respondent’s argument, the Legislature also gave the IHFA the power to coordinate the development and maintenance of low-income housing policy for the State of Idaho, both publically and privately owned. IDAHO CODE § 67</w:t>
      </w:r>
      <w:r>
        <w:noBreakHyphen/>
      </w:r>
      <w:r>
        <w:t xml:space="preserve">6202</w:t>
      </w:r>
      <w:r>
        <w:t xml:space="preserve"> </w:t>
      </w:r>
      <w:r>
        <w:rPr>
          <w:i/>
          <w:iCs/>
        </w:rPr>
        <w:t xml:space="preserve">et seq.</w:t>
      </w:r>
    </w:p>
    <w:p>
      <w:pPr>
        <w:pStyle w:val="BodyText"/>
      </w:pPr>
      <w:r>
        <w:t xml:space="preserve">The Legislature further provided that low-income housing owned by nonprofit organizations, such as Aspen Park in this case, is to be exempt from taxation. IDAHO CODE § 63</w:t>
      </w:r>
      <w:r>
        <w:noBreakHyphen/>
      </w:r>
      <w:r>
        <w:t xml:space="preserve">602GG.</w:t>
      </w:r>
    </w:p>
    <w:p>
      <w:pPr>
        <w:pStyle w:val="BodyText"/>
      </w:pPr>
      <w:r>
        <w:t xml:space="preserve">Respondent incorrectly argues that Aspen Park is not entitled to tax exempt status because it took advantage of federal tax credit assistance provided by 26 U.S.C., Chapter 42 in constructing Aspen Park. Respondent fails to recognize that once federal tax credits have been exhausted and the property is solely owned by a non-profit, as is true of the Aspen Park’s ownership of its apartments, it is entitled to the tax exemption. Idaho Code § 63</w:t>
      </w:r>
      <w:r>
        <w:noBreakHyphen/>
      </w:r>
      <w:r>
        <w:t xml:space="preserve">602GG(4)⁠(c).</w:t>
      </w:r>
      <w:r>
        <w:t xml:space="preserve"> </w:t>
      </w:r>
      <w:r>
        <w:t xml:space="preserve">That legislative prescription is explicit.</w:t>
      </w:r>
    </w:p>
    <w:p>
      <w:pPr>
        <w:pStyle w:val="BodyText"/>
      </w:pPr>
      <w:r>
        <w:t xml:space="preserve">The foregoing legislative framework for development of low-income housing in the State of Idaho is clear, it could not be more plain. The Legislature need not be asked to speak again. By definition, Appellant is entitled to tax exempt status under Idaho Code § 63</w:t>
      </w:r>
      <w:r>
        <w:noBreakHyphen/>
      </w:r>
      <w:r>
        <w:t xml:space="preserve">602GG.</w:t>
      </w:r>
    </w:p>
    <w:p>
      <w:pPr>
        <w:keepNext/>
        <w:keepLines/>
        <w:spacing w:before="336" w:after="224" w:line="322" w:lineRule="exact"/>
        <w:ind w:left="720" w:hanging="720"/>
        <w:jc w:val="left"/>
      </w:pPr>
      <w:r>
        <w:rPr>
          <w:b/>
          <w:bCs/>
        </w:rPr>
        <w:t xml:space="preserve">3.</w:t>
      </w:r>
      <w:r>
        <w:rPr>
          <w:b/>
          <w:bCs/>
        </w:rPr>
        <w:t xml:space="preserve"> </w:t>
      </w:r>
      <w:r>
        <w:rPr>
          <w:b/>
          <w:bCs/>
        </w:rPr>
        <w:t xml:space="preserve">All</w:t>
      </w:r>
      <w:r>
        <w:rPr>
          <w:b/>
          <w:bCs/>
        </w:rPr>
        <w:t xml:space="preserve"> </w:t>
      </w:r>
      <w:r>
        <w:rPr>
          <w:b/>
          <w:bCs/>
        </w:rPr>
        <w:t xml:space="preserve">of</w:t>
      </w:r>
      <w:r>
        <w:rPr>
          <w:b/>
          <w:bCs/>
        </w:rPr>
        <w:t xml:space="preserve"> </w:t>
      </w:r>
      <w:r>
        <w:rPr>
          <w:b/>
          <w:bCs/>
        </w:rPr>
        <w:t xml:space="preserve">Appellant’s</w:t>
      </w:r>
      <w:r>
        <w:rPr>
          <w:b/>
          <w:bCs/>
        </w:rPr>
        <w:t xml:space="preserve"> </w:t>
      </w:r>
      <w:r>
        <w:rPr>
          <w:b/>
          <w:bCs/>
        </w:rPr>
        <w:t xml:space="preserve">rental</w:t>
      </w:r>
      <w:r>
        <w:rPr>
          <w:b/>
          <w:bCs/>
        </w:rPr>
        <w:t xml:space="preserve"> </w:t>
      </w:r>
      <w:r>
        <w:rPr>
          <w:b/>
          <w:bCs/>
        </w:rPr>
        <w:t xml:space="preserve">units</w:t>
      </w:r>
      <w:r>
        <w:rPr>
          <w:b/>
          <w:bCs/>
        </w:rPr>
        <w:t xml:space="preserve"> </w:t>
      </w:r>
      <w:r>
        <w:rPr>
          <w:b/>
          <w:bCs/>
        </w:rPr>
        <w:t xml:space="preserve">are</w:t>
      </w:r>
      <w:r>
        <w:rPr>
          <w:b/>
          <w:bCs/>
        </w:rPr>
        <w:t xml:space="preserve"> </w:t>
      </w:r>
      <w:r>
        <w:rPr>
          <w:b/>
          <w:bCs/>
        </w:rPr>
        <w:t xml:space="preserve">dedicated</w:t>
      </w:r>
      <w:r>
        <w:rPr>
          <w:b/>
          <w:bCs/>
        </w:rPr>
        <w:t xml:space="preserve"> </w:t>
      </w:r>
      <w:r>
        <w:rPr>
          <w:b/>
          <w:bCs/>
        </w:rPr>
        <w:t xml:space="preserve">to</w:t>
      </w:r>
      <w:r>
        <w:rPr>
          <w:b/>
          <w:bCs/>
        </w:rPr>
        <w:t xml:space="preserve"> </w:t>
      </w:r>
      <w:r>
        <w:rPr>
          <w:b/>
          <w:bCs/>
        </w:rPr>
        <w:t xml:space="preserve">low-income</w:t>
      </w:r>
      <w:r>
        <w:rPr>
          <w:b/>
          <w:bCs/>
        </w:rPr>
        <w:t xml:space="preserve"> </w:t>
      </w:r>
      <w:r>
        <w:rPr>
          <w:b/>
          <w:bCs/>
        </w:rPr>
        <w:t xml:space="preserve">housing</w:t>
      </w:r>
      <w:r>
        <w:rPr>
          <w:b/>
          <w:bCs/>
        </w:rPr>
        <w:t xml:space="preserve"> </w:t>
      </w:r>
      <w:r>
        <w:rPr>
          <w:b/>
          <w:bCs/>
        </w:rPr>
        <w:t xml:space="preserve">as</w:t>
      </w:r>
      <w:r>
        <w:rPr>
          <w:b/>
          <w:bCs/>
        </w:rPr>
        <w:t xml:space="preserve"> </w:t>
      </w:r>
      <w:r>
        <w:rPr>
          <w:b/>
          <w:bCs/>
        </w:rPr>
        <w:t xml:space="preserve">required</w:t>
      </w:r>
      <w:r>
        <w:rPr>
          <w:b/>
          <w:bCs/>
        </w:rPr>
        <w:t xml:space="preserve"> </w:t>
      </w:r>
      <w:r>
        <w:rPr>
          <w:b/>
          <w:bCs/>
        </w:rPr>
        <w:t xml:space="preserve">by</w:t>
      </w:r>
      <w:r>
        <w:rPr>
          <w:b/>
          <w:bCs/>
        </w:rPr>
        <w:t xml:space="preserve"> </w:t>
      </w:r>
      <w:r>
        <w:rPr>
          <w:b/>
          <w:bCs/>
        </w:rPr>
        <w:t xml:space="preserve">Idaho</w:t>
      </w:r>
      <w:r>
        <w:rPr>
          <w:b/>
          <w:bCs/>
        </w:rPr>
        <w:t xml:space="preserve"> </w:t>
      </w:r>
      <w:r>
        <w:rPr>
          <w:b/>
          <w:bCs/>
        </w:rPr>
        <w:t xml:space="preserve">Code</w:t>
      </w:r>
      <w:r>
        <w:rPr>
          <w:b/>
          <w:bCs/>
        </w:rPr>
        <w:t xml:space="preserve"> </w:t>
      </w:r>
      <w:r>
        <w:rPr>
          <w:b/>
          <w:bCs/>
        </w:rPr>
        <w:t xml:space="preserve">Sec.</w:t>
      </w:r>
      <w:r>
        <w:rPr>
          <w:b/>
          <w:bCs/>
        </w:rPr>
        <w:t xml:space="preserve"> </w:t>
      </w:r>
      <w:r>
        <w:rPr>
          <w:b/>
          <w:bCs/>
        </w:rPr>
        <w:t xml:space="preserve">63</w:t>
        <w:noBreakHyphen/>
        <w:t xml:space="preserve">602GG(3)⁠(c).</w:t>
      </w:r>
    </w:p>
    <w:p>
      <w:pPr>
        <w:pStyle w:val="BodyTextNote"/>
      </w:pPr>
      <w:r>
        <w:t xml:space="preserve">The positions taken by Respondent and by the Amicus Curiae in this case make clear that this specific statutory provision, and in particular the word “dedicate” are capable of more than one conflicting construction.</w:t>
      </w:r>
      <w:r>
        <w:rPr>
          <w:rStyle w:val="FootnoteReference"/>
        </w:rPr>
        <w:footnoteReference w:id="9"/>
      </w:r>
    </w:p>
    <w:p>
      <w:pPr>
        <w:pStyle w:val="BodyText"/>
      </w:pPr>
      <w:r>
        <w:t xml:space="preserve">The Statute requires, and Aspen Park complies by renting its low-income housing units to persons of various income levels in percentages equal to, or greater than required. All units are dedicated to low-income housing, and at times are rented to more or fewer qualifying residents, but never in percentages less than are required by the statute. Aspen Park’s compliance with the statute is subject to an annual audit by IHFA, and it has never failed. The supply of such units is dedicated to low-income rentals. The demand varies.</w:t>
      </w:r>
    </w:p>
    <w:p>
      <w:pPr>
        <w:pStyle w:val="BodyText"/>
      </w:pPr>
      <w:r>
        <w:t xml:space="preserve">Respondent’s argument concerning the income requirements in Idaho Code § 63</w:t>
      </w:r>
      <w:r>
        <w:noBreakHyphen/>
      </w:r>
      <w:r>
        <w:t xml:space="preserve">602GG(3)⁠(c)</w:t>
      </w:r>
      <w:r>
        <w:t xml:space="preserve"> </w:t>
      </w:r>
      <w:r>
        <w:t xml:space="preserve">completely fails to take into account two important words: “or less.”</w:t>
      </w:r>
    </w:p>
    <w:p>
      <w:pPr>
        <w:pStyle w:val="XdQuoteOnly"/>
      </w:pPr>
      <w:r>
        <w:t xml:space="preserve">(c) Except for a manager’s unit, all of the housing units in the low-income housing property are dedicated to low-income housing in the following manner: Fifty-five percent (55%) of the units shall be rented to those earning sixty percent (60%) or less of the median income for the county in which the housing is located; twenty percent (20%) of the units shall be rented to those earning fifty percent (50%). or less of the median income of the county in which the housing is located; and twenty-five percent (25%) of the units shall be rented to those earning thirty percent (30%) or less of the median income for the county in which the housing is located.</w:t>
      </w:r>
    </w:p>
    <w:p>
      <w:pPr>
        <w:pStyle w:val="BodyText"/>
      </w:pPr>
      <w:r>
        <w:t xml:space="preserve">(emphasis added). The only reasonable interpretation of the income categories would be that each category has an income ceiling, but no income floor. For instance, for the first category (“Category A”), fifty-five (55%) of the units must be rented to those earning from 0</w:t>
      </w:r>
      <w:r>
        <w:noBreakHyphen/>
      </w:r>
      <w:r>
        <w:t xml:space="preserve">60% of the median county income. For the second category (“Category B”), twenty percent (20%) of the units must be rented to those earning from 0</w:t>
      </w:r>
      <w:r>
        <w:noBreakHyphen/>
      </w:r>
      <w:r>
        <w:t xml:space="preserve">50% of the median county income. And, for the third category (“Category C”), twenty-five percent (25%) of the units must be rented to those earning from 0</w:t>
      </w:r>
      <w:r>
        <w:noBreakHyphen/>
      </w:r>
      <w:r>
        <w:t xml:space="preserve">30% of the median county income. “Or less” in each case could have no other meaning than an income floor of zero.</w:t>
      </w:r>
    </w:p>
    <w:p>
      <w:pPr>
        <w:pStyle w:val="BodyText"/>
      </w:pPr>
      <w:r>
        <w:t xml:space="preserve">Respondent’s interpretation—that the three categories are completely income independent of each other—would add language and meaning to the statute that is simply not there. For instance, the first category (Category A) would of necessity have to read something like this: “Fifty-five percent (55%) of the units shall be rented to those earning sixty percent (60%) or less of the median income of the county in which the housing is located, but not less than 50% of the median income of the county in which the housing is located.” (language and emphasis added). That interpretation is simply not reasonable. The words “or less” in the statute could not be any clearer.</w:t>
      </w:r>
    </w:p>
    <w:p>
      <w:pPr>
        <w:pStyle w:val="BodyTextNote"/>
      </w:pPr>
      <w:r>
        <w:t xml:space="preserve">Considering that Aspen Park has 72 units, and applying the statutory percentages to those numbers, Aspen Park clearly meets or exceeds every income category. Aspen Park has 51 units rented to those earning “sixty percent (60%) or less” of county median income; 45 units rented to those earning “fifty percent (50%) or less” of county median income, and 20 units rented to those earning “thirty percent or less” of county median income:</w:t>
      </w:r>
      <w:r>
        <w:rPr>
          <w:rStyle w:val="FootnoteReference"/>
        </w:rPr>
        <w:footnoteReference w:id="10"/>
      </w:r>
      <w:r>
        <w:t xml:space="preserve"> </w:t>
      </w:r>
      <w:r>
        <w:t xml:space="preserve">What is to be done with those units for which there is no demand by qualified applicants? Respondent contends they should stand vacant. The Legislature did not think so. It supplied the answer to that question by prescribing the purposes for the Idaho Housing and Finance Association to which it gave the role and responsibility of developing and maintaining low-cost housing for the State, to wit:</w:t>
      </w:r>
    </w:p>
    <w:p>
      <w:pPr>
        <w:pStyle w:val="XdQuoteOnly"/>
      </w:pPr>
      <w:r>
        <w:t xml:space="preserve">That the clearance, replanning and reconstruction of the areas in which unsanitary or unsafe housing conditions exist and the providing of safe and sanitary dwelling accommodations for persons of low incomes (which dwelling accommodations need not be solely for persons of low incomes in order to avoid concentrations of such persons in specific localities), are public uses, and uses and purposes for which public money may be spent and provide property acquired, and are governmental functions.”</w:t>
      </w:r>
    </w:p>
    <w:p>
      <w:pPr>
        <w:pStyle w:val="BodyText"/>
      </w:pPr>
      <w:r>
        <w:t xml:space="preserve">IDAHO CODE § 67</w:t>
      </w:r>
      <w:r>
        <w:noBreakHyphen/>
      </w:r>
      <w:r>
        <w:t xml:space="preserve">6201</w:t>
      </w:r>
      <w:r>
        <w:t xml:space="preserve"> </w:t>
      </w:r>
      <w:r>
        <w:t xml:space="preserve">(c) (emphasis added).</w:t>
      </w:r>
    </w:p>
    <w:p>
      <w:pPr>
        <w:pStyle w:val="BodyText"/>
      </w:pPr>
      <w:r>
        <w:t xml:space="preserve">There can be no misunderstanding that plain language. Appellant’s reference to so-called “safe harbor” rules in federal legislation dealing with low-income housing made in its opening brief was to offer the Court a constructive, analogous example of statutory policy dealing with issues like those before this Court. That example is also consistent with the purposes as stated in Section 67</w:t>
      </w:r>
      <w:r>
        <w:noBreakHyphen/>
      </w:r>
      <w:r>
        <w:t xml:space="preserve">6201.</w:t>
      </w:r>
      <w:r>
        <w:t xml:space="preserve"> </w:t>
      </w:r>
      <w:r>
        <w:t xml:space="preserve">While the Respondent would urge the Court to forfeit its duty to say what the law is, there is no basis for such an argument when the Legislature has expressed itself in such language which is consistent with other analogous legislative expressions arising in similar circumstances.</w:t>
      </w:r>
    </w:p>
    <w:p>
      <w:pPr>
        <w:pStyle w:val="BodyText"/>
      </w:pPr>
      <w:r>
        <w:t xml:space="preserve">If the Court determines that the Legislature has left it with any ambiguity in this case, the Court’s recent decision in</w:t>
      </w:r>
      <w:r>
        <w:t xml:space="preserve"> </w:t>
      </w:r>
      <w:r>
        <w:rPr>
          <w:i/>
          <w:iCs/>
        </w:rPr>
        <w:t xml:space="preserve">Hammer v. City of Sun Valley</w:t>
      </w:r>
      <w:r>
        <w:t xml:space="preserve">, 163 Idaho 439, 414 P.3d 1178, 1184 (2016), should control. There it was held, “to determine [legislative] intent, we examine not only the literal words of the statute, but also the reasonableness of proposed constructions, the public policy behind the statute and its legislative history.”</w:t>
      </w:r>
    </w:p>
    <w:p>
      <w:pPr>
        <w:keepNext/>
        <w:keepLines/>
        <w:spacing w:before="336" w:after="224" w:line="322" w:lineRule="exact"/>
        <w:ind w:left="720" w:hanging="720"/>
        <w:jc w:val="left"/>
      </w:pPr>
      <w:r>
        <w:rPr>
          <w:b/>
          <w:bCs/>
        </w:rPr>
        <w:t xml:space="preserve">4.</w:t>
      </w:r>
      <w:r>
        <w:rPr>
          <w:b/>
          <w:bCs/>
        </w:rPr>
        <w:t xml:space="preserve"> </w:t>
      </w:r>
      <w:r>
        <w:rPr>
          <w:b/>
          <w:bCs/>
        </w:rPr>
        <w:t xml:space="preserve">Aspen</w:t>
      </w:r>
      <w:r>
        <w:rPr>
          <w:b/>
          <w:bCs/>
        </w:rPr>
        <w:t xml:space="preserve"> </w:t>
      </w:r>
      <w:r>
        <w:rPr>
          <w:b/>
          <w:bCs/>
        </w:rPr>
        <w:t xml:space="preserve">Park</w:t>
      </w:r>
      <w:r>
        <w:rPr>
          <w:b/>
          <w:bCs/>
        </w:rPr>
        <w:t xml:space="preserve"> </w:t>
      </w:r>
      <w:r>
        <w:rPr>
          <w:b/>
          <w:bCs/>
        </w:rPr>
        <w:t xml:space="preserve">is</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its</w:t>
      </w:r>
      <w:r>
        <w:rPr>
          <w:b/>
          <w:bCs/>
        </w:rPr>
        <w:t xml:space="preserve"> </w:t>
      </w:r>
      <w:r>
        <w:rPr>
          <w:b/>
          <w:bCs/>
        </w:rPr>
        <w:t xml:space="preserve">costs</w:t>
      </w:r>
      <w:r>
        <w:rPr>
          <w:b/>
          <w:bCs/>
        </w:rPr>
        <w:t xml:space="preserve"> </w:t>
      </w:r>
      <w:r>
        <w:rPr>
          <w:b/>
          <w:bCs/>
        </w:rPr>
        <w:t xml:space="preserve">on</w:t>
      </w:r>
      <w:r>
        <w:rPr>
          <w:b/>
          <w:bCs/>
        </w:rPr>
        <w:t xml:space="preserve"> </w:t>
      </w:r>
      <w:r>
        <w:rPr>
          <w:b/>
          <w:bCs/>
        </w:rPr>
        <w:t xml:space="preserve">appeal.</w:t>
      </w:r>
    </w:p>
    <w:p>
      <w:pPr>
        <w:pStyle w:val="BodyText"/>
      </w:pPr>
      <w:r>
        <w:t xml:space="preserve">As the prevailing party on appeal, Aspen Park is entitled to an award of its costs as a matter of course, pursuant to Idaho Appellate Rule</w:t>
      </w:r>
      <w:r>
        <w:t xml:space="preserve"> </w:t>
      </w:r>
      <w:r>
        <w:t xml:space="preserve">40.</w:t>
      </w:r>
    </w:p>
    <w:p>
      <w:pPr>
        <w:keepNext/>
        <w:keepLines/>
        <w:spacing w:before="448" w:after="336" w:line="322" w:lineRule="exact"/>
        <w:ind w:left="0" w:firstLine="0"/>
        <w:jc w:val="center"/>
      </w:pPr>
      <w:r>
        <w:rPr>
          <w:b/>
          <w:bCs/>
        </w:rPr>
        <w:t xml:space="preserve">CONCLUSION</w:t>
      </w:r>
    </w:p>
    <w:p>
      <w:pPr>
        <w:pStyle w:val="BodyText"/>
      </w:pPr>
      <w:r>
        <w:t xml:space="preserve">Aspen Park has conducted its operations, subject to IHFA’s regulations, supervision and audits, in compliance with all of the controlling provisions of Idaho law, and it is entitled to continue to do so exempt from Bonneville County’s real property taxes.</w:t>
      </w:r>
    </w:p>
    <w:p>
      <w:pPr>
        <w:pStyle w:val="BodyText"/>
      </w:pPr>
      <w:r>
        <w:t xml:space="preserve">For the foregoing reasons, and those stated in Aspen Park’s previously filed Brief, the Court should reverse the Judgment of the Seventh Judicial District Court and declare Aspen Park to be tax exempt under the provision of Idaho Code Sec. 63</w:t>
      </w:r>
      <w:r>
        <w:noBreakHyphen/>
      </w:r>
      <w:r>
        <w:t xml:space="preserve">602GG.</w:t>
      </w:r>
      <w:r>
        <w:t xml:space="preserve"> </w:t>
      </w:r>
      <w:r>
        <w:t xml:space="preserve">Aspen Park should also be awarded its costs on appeal.</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720"/>
              <w:jc w:val="left"/>
            </w:pPr>
            <w:r>
              <w:t xml:space="preserve">Respectfully</w:t>
            </w:r>
            <w:r>
              <w:t xml:space="preserve"> </w:t>
            </w:r>
            <w:r>
              <w:t xml:space="preserve">submitted</w:t>
            </w:r>
            <w:r>
              <w:t xml:space="preserve"> </w:t>
            </w:r>
            <w:r>
              <w:t xml:space="preserve">this</w:t>
            </w:r>
            <w:r>
              <w:t xml:space="preserve"> </w:t>
            </w:r>
            <w:r>
              <w:t xml:space="preserve">11th</w:t>
            </w:r>
            <w:r>
              <w:t xml:space="preserve"> </w:t>
            </w:r>
            <w:r>
              <w:t xml:space="preserve">day</w:t>
            </w:r>
            <w:r>
              <w:t xml:space="preserve"> </w:t>
            </w:r>
            <w:r>
              <w:t xml:space="preserve">of</w:t>
            </w:r>
            <w:r>
              <w:t xml:space="preserve"> </w:t>
            </w:r>
            <w:r>
              <w:t xml:space="preserve">July,</w:t>
            </w:r>
            <w:r>
              <w:t xml:space="preserve"> </w:t>
            </w:r>
            <w:r>
              <w:t xml:space="preserve">2018.</w:t>
            </w:r>
          </w:p>
          <w:p>
            <w:pPr>
              <w:spacing w:before="0" w:after="0" w:line="644" w:lineRule="exact"/>
              <w:ind w:left="0" w:firstLine="720"/>
              <w:jc w:val="left"/>
            </w:pPr>
            <w:r>
              <w:t xml:space="preserve">This</w:t>
            </w:r>
            <w:r>
              <w:t xml:space="preserve"> </w:t>
            </w:r>
            <w:r>
              <w:t xml:space="preserve">brief</w:t>
            </w:r>
            <w:r>
              <w:t xml:space="preserve"> </w:t>
            </w:r>
            <w:r>
              <w:t xml:space="preserve">contains</w:t>
            </w:r>
            <w:r>
              <w:t xml:space="preserve"> </w:t>
            </w:r>
            <w:r>
              <w:t xml:space="preserve">1827</w:t>
            </w:r>
            <w:r>
              <w:t xml:space="preserve"> </w:t>
            </w:r>
            <w:r>
              <w:t xml:space="preserve">words</w:t>
            </w:r>
            <w:r>
              <w:t xml:space="preserve"> </w:t>
            </w:r>
            <w:r>
              <w:t xml:space="preserve">and</w:t>
            </w:r>
            <w:r>
              <w:t xml:space="preserve"> </w:t>
            </w:r>
            <w:r>
              <w:t xml:space="preserve">complies</w:t>
            </w:r>
            <w:r>
              <w:t xml:space="preserve"> </w:t>
            </w:r>
            <w:r>
              <w:t xml:space="preserve">with</w:t>
            </w:r>
            <w:r>
              <w:t xml:space="preserve"> </w:t>
            </w:r>
            <w:r>
              <w:t xml:space="preserve">the</w:t>
            </w:r>
            <w:r>
              <w:t xml:space="preserve"> </w:t>
            </w:r>
            <w:r>
              <w:t xml:space="preserve">word-count</w:t>
            </w:r>
            <w:r>
              <w:t xml:space="preserve"> </w:t>
            </w:r>
            <w:r>
              <w:t xml:space="preserve">limit</w:t>
            </w:r>
            <w:r>
              <w:t xml:space="preserve"> </w:t>
            </w:r>
            <w:r>
              <w:t xml:space="preserve">of</w:t>
            </w:r>
            <w:r>
              <w:t xml:space="preserve"> </w:t>
            </w:r>
            <w:r>
              <w:t xml:space="preserve">I.A.R.</w:t>
            </w:r>
            <w:r>
              <w:t xml:space="preserve"> </w:t>
            </w:r>
            <w:r>
              <w:t xml:space="preserve">34(b).</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b/>
                      <w:bCs/>
                    </w:rPr>
                    <w:t xml:space="preserve">HOPKINS</w:t>
                  </w:r>
                  <w:r>
                    <w:rPr>
                      <w:b/>
                      <w:bCs/>
                    </w:rPr>
                    <w:t xml:space="preserve"> </w:t>
                  </w:r>
                  <w:r>
                    <w:rPr>
                      <w:b/>
                      <w:bCs/>
                    </w:rPr>
                    <w:t xml:space="preserve">RODEN</w:t>
                  </w:r>
                  <w:r>
                    <w:rPr>
                      <w:b/>
                      <w:bCs/>
                    </w:rPr>
                    <w:t xml:space="preserve"> </w:t>
                  </w:r>
                  <w:r>
                    <w:rPr>
                      <w:b/>
                      <w:bCs/>
                    </w:rPr>
                    <w:t xml:space="preserve">CROCKETT</w:t>
                  </w:r>
                  <w:r>
                    <w:rPr>
                      <w:b/>
                      <w:bCs/>
                    </w:rPr>
                    <w:t xml:space="preserve"> </w:t>
                  </w:r>
                  <w:r>
                    <w:rPr>
                      <w:b/>
                      <w:bCs/>
                    </w:rPr>
                    <w:t xml:space="preserve">HANSEN</w:t>
                  </w:r>
                  <w:r>
                    <w:rPr>
                      <w:b/>
                      <w:bCs/>
                    </w:rPr>
                    <w:t xml:space="preserve"> </w:t>
                  </w:r>
                  <w:r>
                    <w:rPr>
                      <w:b/>
                      <w:bCs/>
                    </w:rPr>
                    <w:t xml:space="preserve">&amp;</w:t>
                  </w:r>
                  <w:r>
                    <w:rPr>
                      <w:b/>
                      <w:bCs/>
                    </w:rPr>
                    <w:t xml:space="preserve"> </w:t>
                  </w:r>
                  <w:r>
                    <w:rPr>
                      <w:b/>
                      <w:bCs/>
                    </w:rPr>
                    <w:t xml:space="preserve">HOOPES,</w:t>
                  </w:r>
                  <w:r>
                    <w:rPr>
                      <w:b/>
                      <w:bCs/>
                    </w:rPr>
                    <w:t xml:space="preserve"> </w:t>
                  </w:r>
                  <w:r>
                    <w:rPr>
                      <w:b/>
                      <w:bCs/>
                    </w:rPr>
                    <w:t xml:space="preserve">PLLC</w:t>
                  </w:r>
                </w:p>
                <w:p>
                  <w:pPr>
                    <w:spacing w:before="252" w:after="0" w:line="322" w:lineRule="exact"/>
                    <w:ind w:left="4608" w:firstLine="0"/>
                    <w:jc w:val="left"/>
                  </w:pPr>
                  <w:r>
                    <w:rPr>
                      <w:u w:val="single"/>
                    </w:rPr>
                    <w:t xml:space="preserve">/s/</w:t>
                  </w:r>
                  <w:r>
                    <w:rPr>
                      <w:u w:val="single"/>
                    </w:rPr>
                    <w:t xml:space="preserve"> </w:t>
                  </w:r>
                  <w:r>
                    <w:rPr>
                      <w:i/>
                      <w:iCs/>
                      <w:u w:val="single"/>
                    </w:rPr>
                    <w:t xml:space="preserve">C.</w:t>
                  </w:r>
                  <w:r>
                    <w:rPr>
                      <w:i/>
                      <w:iCs/>
                      <w:u w:val="single"/>
                    </w:rPr>
                    <w:t xml:space="preserve"> </w:t>
                  </w:r>
                  <w:r>
                    <w:rPr>
                      <w:i/>
                      <w:iCs/>
                      <w:u w:val="single"/>
                    </w:rPr>
                    <w:t xml:space="preserve">Timothy</w:t>
                  </w:r>
                  <w:r>
                    <w:rPr>
                      <w:i/>
                      <w:iCs/>
                      <w:u w:val="single"/>
                    </w:rPr>
                    <w:t xml:space="preserve"> </w:t>
                  </w:r>
                  <w:r>
                    <w:rPr>
                      <w:i/>
                      <w:iCs/>
                      <w:u w:val="single"/>
                    </w:rPr>
                    <w:t xml:space="preserve">Hopkins</w:t>
                  </w:r>
                </w:p>
                <w:p>
                  <w:pPr>
                    <w:spacing w:before="0" w:after="0" w:line="322" w:lineRule="exact"/>
                    <w:ind w:left="4608" w:firstLine="0"/>
                    <w:jc w:val="left"/>
                  </w:pPr>
                  <w:r>
                    <w:t xml:space="preserve">C.</w:t>
                  </w:r>
                  <w:r>
                    <w:t xml:space="preserve"> </w:t>
                  </w:r>
                  <w:r>
                    <w:t xml:space="preserve">Timothy</w:t>
                  </w:r>
                  <w:r>
                    <w:t xml:space="preserve"> </w:t>
                  </w:r>
                  <w:r>
                    <w:t xml:space="preserve">Hopkins</w:t>
                  </w:r>
                </w:p>
                <w:p>
                  <w:pPr>
                    <w:spacing w:before="252" w:after="0" w:line="322" w:lineRule="exact"/>
                    <w:ind w:left="4608" w:firstLine="0"/>
                    <w:jc w:val="left"/>
                  </w:pPr>
                  <w:r>
                    <w:rPr>
                      <w:u w:val="single"/>
                    </w:rPr>
                    <w:t xml:space="preserve">/s/</w:t>
                  </w:r>
                  <w:r>
                    <w:rPr>
                      <w:u w:val="single"/>
                    </w:rPr>
                    <w:t xml:space="preserve"> </w:t>
                  </w:r>
                  <w:r>
                    <w:rPr>
                      <w:i/>
                      <w:iCs/>
                      <w:u w:val="single"/>
                    </w:rPr>
                    <w:t xml:space="preserve">Sean</w:t>
                  </w:r>
                  <w:r>
                    <w:rPr>
                      <w:i/>
                      <w:iCs/>
                      <w:u w:val="single"/>
                    </w:rPr>
                    <w:t xml:space="preserve"> </w:t>
                  </w:r>
                  <w:r>
                    <w:rPr>
                      <w:i/>
                      <w:iCs/>
                      <w:u w:val="single"/>
                    </w:rPr>
                    <w:t xml:space="preserve">J.</w:t>
                  </w:r>
                  <w:r>
                    <w:rPr>
                      <w:i/>
                      <w:iCs/>
                      <w:u w:val="single"/>
                    </w:rPr>
                    <w:t xml:space="preserve"> </w:t>
                  </w:r>
                  <w:r>
                    <w:rPr>
                      <w:i/>
                      <w:iCs/>
                      <w:u w:val="single"/>
                    </w:rPr>
                    <w:t xml:space="preserve">Coletti</w:t>
                  </w:r>
                </w:p>
                <w:p>
                  <w:pPr>
                    <w:spacing w:before="0" w:after="0" w:line="322" w:lineRule="exact"/>
                    <w:ind w:left="4608" w:firstLine="0"/>
                    <w:jc w:val="left"/>
                  </w:pPr>
                  <w:r>
                    <w:t xml:space="preserve">Sean</w:t>
                  </w:r>
                  <w:r>
                    <w:t xml:space="preserve"> </w:t>
                  </w:r>
                  <w:r>
                    <w:t xml:space="preserve">J.</w:t>
                  </w:r>
                  <w:r>
                    <w:t xml:space="preserve"> </w:t>
                  </w:r>
                  <w:r>
                    <w:t xml:space="preserve">Coletti</w:t>
                  </w:r>
                </w:p>
                <w:p>
                  <w:pPr>
                    <w:spacing w:before="0" w:after="0" w:line="322"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Appellant</w:t>
                  </w:r>
                </w:p>
              </w:tc>
            </w:tr>
          </w:tbl>
          <w:p>
            <w:pPr>
              <w:spacing w:before="0" w:after="0" w:line="1" w:lineRule="exact"/>
            </w:pP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this</w:t>
      </w:r>
      <w:r>
        <w:t xml:space="preserve"> </w:t>
      </w:r>
      <w:r>
        <w:t xml:space="preserve">11th</w:t>
      </w:r>
      <w:r>
        <w:t xml:space="preserve"> </w:t>
      </w:r>
      <w:r>
        <w:t xml:space="preserve">day</w:t>
      </w:r>
      <w:r>
        <w:t xml:space="preserve"> </w:t>
      </w:r>
      <w:r>
        <w:t xml:space="preserve">of</w:t>
      </w:r>
      <w:r>
        <w:t xml:space="preserve"> </w:t>
      </w:r>
      <w:r>
        <w:t xml:space="preserve">July,</w:t>
      </w:r>
      <w:r>
        <w:t xml:space="preserve"> </w:t>
      </w:r>
      <w:r>
        <w:t xml:space="preserve">2018,</w:t>
      </w:r>
      <w:r>
        <w:t xml:space="preserve"> </w:t>
      </w:r>
      <w:r>
        <w:t xml:space="preserve">I</w:t>
      </w:r>
      <w:r>
        <w:t xml:space="preserve"> </w:t>
      </w:r>
      <w:r>
        <w:t xml:space="preserve">caused</w:t>
      </w:r>
      <w:r>
        <w:t xml:space="preserve"> </w:t>
      </w:r>
      <w:r>
        <w:t xml:space="preserve">to</w:t>
      </w:r>
      <w:r>
        <w:t xml:space="preserve"> </w:t>
      </w:r>
      <w:r>
        <w:t xml:space="preserve">be</w:t>
      </w:r>
      <w:r>
        <w:t xml:space="preserve"> </w:t>
      </w:r>
      <w:r>
        <w:t xml:space="preserve">served</w:t>
      </w:r>
      <w:r>
        <w:t xml:space="preserve"> </w:t>
      </w:r>
      <w:r>
        <w:t xml:space="preserve">a</w:t>
      </w:r>
      <w:r>
        <w:t xml:space="preserve"> </w:t>
      </w:r>
      <w:r>
        <w:t xml:space="preserve">true</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attached</w:t>
      </w:r>
      <w:r>
        <w:t xml:space="preserve"> </w:t>
      </w:r>
      <w:r>
        <w:t xml:space="preserve">document</w:t>
      </w:r>
      <w:r>
        <w:t xml:space="preserve"> </w:t>
      </w:r>
      <w:r>
        <w:t xml:space="preserve">by</w:t>
      </w:r>
      <w:r>
        <w:t xml:space="preserve"> </w:t>
      </w:r>
      <w:r>
        <w:t xml:space="preserve">the</w:t>
      </w:r>
      <w:r>
        <w:t xml:space="preserve"> </w:t>
      </w:r>
      <w:r>
        <w:t xml:space="preserve">method</w:t>
      </w:r>
      <w:r>
        <w:t xml:space="preserve"> </w:t>
      </w:r>
      <w:r>
        <w:t xml:space="preserve">indicated</w:t>
      </w:r>
      <w:r>
        <w:t xml:space="preserve"> </w:t>
      </w:r>
      <w:r>
        <w:t xml:space="preserve">below</w:t>
      </w:r>
      <w:r>
        <w:t xml:space="preserve"> </w:t>
      </w:r>
      <w:r>
        <w:t xml:space="preserve">and</w:t>
      </w:r>
      <w:r>
        <w:t xml:space="preserve"> </w:t>
      </w:r>
      <w:r>
        <w:t xml:space="preserve">addressed</w:t>
      </w:r>
      <w:r>
        <w:t xml:space="preserve"> </w:t>
      </w:r>
      <w:r>
        <w:t xml:space="preserve">to</w:t>
      </w:r>
      <w:r>
        <w:t xml:space="preserve"> </w:t>
      </w:r>
      <w:r>
        <w:t xml:space="preserve">each</w:t>
      </w:r>
      <w:r>
        <w:t xml:space="preserve"> </w:t>
      </w:r>
      <w:r>
        <w:t xml:space="preserve">of</w:t>
      </w:r>
      <w:r>
        <w:t xml:space="preserve"> </w:t>
      </w:r>
      <w:r>
        <w:t xml:space="preserve">the</w:t>
      </w:r>
      <w:r>
        <w:t xml:space="preserve"> </w:t>
      </w:r>
      <w:r>
        <w:t xml:space="preserve">following:</w:t>
      </w:r>
    </w:p>
    <w:p>
      <w:pPr>
        <w:spacing w:before="280" w:after="0" w:line="322" w:lineRule="exact"/>
        <w:ind w:left="1440" w:firstLine="0"/>
        <w:jc w:val="left"/>
      </w:pPr>
      <w:r>
        <w:t xml:space="preserve">Bonneville</w:t>
      </w:r>
      <w:r>
        <w:t xml:space="preserve"> </w:t>
      </w:r>
      <w:r>
        <w:t xml:space="preserve">County</w:t>
      </w:r>
      <w:r>
        <w:t xml:space="preserve"> </w:t>
      </w:r>
      <w:r>
        <w:t xml:space="preserve">Prosecutor</w:t>
      </w:r>
    </w:p>
    <w:p>
      <w:pPr>
        <w:spacing w:before="0" w:after="0" w:line="322" w:lineRule="exact"/>
        <w:ind w:left="1440" w:firstLine="0"/>
        <w:jc w:val="left"/>
      </w:pPr>
      <w:r>
        <w:t xml:space="preserve">Attn:</w:t>
      </w:r>
      <w:r>
        <w:t xml:space="preserve"> </w:t>
      </w:r>
      <w:r>
        <w:t xml:space="preserve">Weston</w:t>
      </w:r>
      <w:r>
        <w:t xml:space="preserve"> </w:t>
      </w:r>
      <w:r>
        <w:t xml:space="preserve">Davis</w:t>
      </w:r>
    </w:p>
    <w:p>
      <w:pPr>
        <w:spacing w:before="0" w:after="0" w:line="322" w:lineRule="exact"/>
        <w:ind w:left="1440" w:firstLine="0"/>
        <w:jc w:val="left"/>
      </w:pPr>
      <w:r>
        <w:t xml:space="preserve">Nelson</w:t>
      </w:r>
      <w:r>
        <w:t xml:space="preserve"> </w:t>
      </w:r>
      <w:r>
        <w:t xml:space="preserve">Hall</w:t>
      </w:r>
      <w:r>
        <w:t xml:space="preserve"> </w:t>
      </w:r>
      <w:r>
        <w:t xml:space="preserve">Parry</w:t>
      </w:r>
      <w:r>
        <w:t xml:space="preserve"> </w:t>
      </w:r>
      <w:r>
        <w:t xml:space="preserve">Tucker,</w:t>
      </w:r>
      <w:r>
        <w:t xml:space="preserve"> </w:t>
      </w:r>
      <w:r>
        <w:t xml:space="preserve">PA</w:t>
      </w:r>
    </w:p>
    <w:p>
      <w:pPr>
        <w:spacing w:before="0" w:after="0" w:line="322" w:lineRule="exact"/>
        <w:ind w:left="1440" w:firstLine="0"/>
        <w:jc w:val="left"/>
      </w:pPr>
      <w:r>
        <w:t xml:space="preserve">490</w:t>
      </w:r>
      <w:r>
        <w:t xml:space="preserve"> </w:t>
      </w:r>
      <w:r>
        <w:t xml:space="preserve">Memorial</w:t>
      </w:r>
      <w:r>
        <w:t xml:space="preserve"> </w:t>
      </w:r>
      <w:r>
        <w:t xml:space="preserve">Drive</w:t>
      </w:r>
    </w:p>
    <w:p>
      <w:pPr>
        <w:spacing w:before="0" w:after="0" w:line="322" w:lineRule="exact"/>
        <w:ind w:left="1440" w:firstLine="0"/>
        <w:jc w:val="left"/>
      </w:pPr>
      <w:r>
        <w:t xml:space="preserve">Idaho</w:t>
      </w:r>
      <w:r>
        <w:t xml:space="preserve"> </w:t>
      </w:r>
      <w:r>
        <w:t xml:space="preserve">Falls,</w:t>
      </w:r>
      <w:r>
        <w:t xml:space="preserve"> </w:t>
      </w:r>
      <w:r>
        <w:t xml:space="preserve">ID</w:t>
      </w:r>
      <w:r>
        <w:t xml:space="preserve"> </w:t>
      </w:r>
      <w:r>
        <w:t xml:space="preserve">83402</w:t>
      </w:r>
    </w:p>
    <w:p>
      <w:pPr>
        <w:spacing w:before="0" w:after="0" w:line="322" w:lineRule="exact"/>
        <w:ind w:left="1440" w:firstLine="0"/>
        <w:jc w:val="left"/>
      </w:pPr>
      <w:r>
        <w:t xml:space="preserve">Fax#:</w:t>
      </w:r>
      <w:r>
        <w:t xml:space="preserve"> </w:t>
      </w:r>
      <w:r>
        <w:t xml:space="preserve">(208)</w:t>
      </w:r>
      <w:r>
        <w:t xml:space="preserve"> </w:t>
      </w:r>
      <w:r>
        <w:t xml:space="preserve">523</w:t>
        <w:noBreakHyphen/>
        <w:t xml:space="preserve">7254</w:t>
      </w:r>
    </w:p>
    <w:p>
      <w:pPr>
        <w:spacing w:before="0" w:after="0" w:line="39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i/>
                <w:iCs/>
                <w:u w:val="single"/>
              </w:rPr>
              <w:t xml:space="preserve">Sean</w:t>
            </w:r>
            <w:r>
              <w:rPr>
                <w:i/>
                <w:iCs/>
                <w:u w:val="single"/>
              </w:rPr>
              <w:t xml:space="preserve"> </w:t>
            </w:r>
            <w:r>
              <w:rPr>
                <w:i/>
                <w:iCs/>
                <w:u w:val="single"/>
              </w:rPr>
              <w:t xml:space="preserve">J.</w:t>
            </w:r>
            <w:r>
              <w:rPr>
                <w:i/>
                <w:iCs/>
                <w:u w:val="single"/>
              </w:rPr>
              <w:t xml:space="preserve"> </w:t>
            </w:r>
            <w:r>
              <w:rPr>
                <w:i/>
                <w:iCs/>
                <w:u w:val="single"/>
              </w:rPr>
              <w:t xml:space="preserve">Coletti</w:t>
            </w:r>
          </w:p>
          <w:p>
            <w:pPr>
              <w:spacing w:before="0" w:after="0" w:line="322" w:lineRule="exact"/>
              <w:ind w:left="4608" w:firstLine="0"/>
              <w:jc w:val="left"/>
            </w:pPr>
            <w:r>
              <w:t xml:space="preserve">Sean</w:t>
            </w:r>
            <w:r>
              <w:t xml:space="preserve"> </w:t>
            </w:r>
            <w:r>
              <w:t xml:space="preserve">J.</w:t>
            </w:r>
            <w:r>
              <w:t xml:space="preserve"> </w:t>
            </w:r>
            <w:r>
              <w:t xml:space="preserve">Coletti</w:t>
            </w:r>
          </w:p>
        </w:tc>
      </w:tr>
    </w:tbl>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See also IDAHO CODE § 42</w:t>
      </w:r>
      <w:r>
        <w:noBreakHyphen/>
      </w:r>
      <w:r>
        <w:t xml:space="preserve">401</w:t>
      </w:r>
      <w:r>
        <w:t xml:space="preserve"> </w:t>
      </w:r>
      <w:r>
        <w:t xml:space="preserve">(stating that “The State of Idaho is dedicated to the conservation of its public waters and the necessity to maintain adequate water supplies for the state’s water requirements.”) (emphasis added); § 36</w:t>
      </w:r>
      <w:r>
        <w:noBreakHyphen/>
      </w:r>
      <w:r>
        <w:t xml:space="preserve">408</w:t>
      </w:r>
      <w:r>
        <w:t xml:space="preserve"> </w:t>
      </w:r>
      <w:r>
        <w:t xml:space="preserve">(stating that the Fish and Game Commission is authorized to issue two special bighorn sheep tags per year, auctioned off or disposed of by lottery by “an incorporated nonprofit organization dedicated to wildlife conservation, selected by the commission.”) (emphasis added); § 63</w:t>
      </w:r>
      <w:r>
        <w:noBreakHyphen/>
      </w:r>
      <w:r>
        <w:t xml:space="preserve">605</w:t>
      </w:r>
      <w:r>
        <w:t xml:space="preserve"> </w:t>
      </w:r>
      <w:r>
        <w:t xml:space="preserve">(providing for a special tax status for land owned and used for wildlife habitat by a private, nonprofit corporation which is “dedicated to the conservation of wildlife or wildlife habitat[.]”) (emphasis added); § 48</w:t>
      </w:r>
      <w:r>
        <w:noBreakHyphen/>
      </w:r>
      <w:r>
        <w:t xml:space="preserve">1501</w:t>
      </w:r>
      <w:r>
        <w:t xml:space="preserve"> </w:t>
      </w:r>
      <w:r>
        <w:t xml:space="preserve">(stating that “nonprofit hospitals hold assets in charitable trust, and are dedicated to the specific charitable purposes set forth in the articles of incorporation of the nonprofit corporations[.]”) (emphasis added).</w:t>
      </w:r>
    </w:p>
  </w:footnote>
  <w:footnote w:id="10">
    <w:p>
      <w:pPr>
        <w:pStyle w:val="FootnoteText"/>
      </w:pPr>
      <w:r>
        <w:rPr>
          <w:rStyle w:val="FootnoteReference"/>
        </w:rPr>
        <w:footnoteRef/>
      </w:r>
      <w:r>
        <w:t xml:space="preserve"> </w:t>
      </w:r>
      <w:r>
        <w:t xml:space="preserve">Furthermore, applying the statutory requirements to Aspen Park’s 72 units creates the following requirements, all of which Aspen Park exceeds: 55% of 72 units is 39.60; 20% of 72 units is 14.40, and 25% of 72 units is 18.</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