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GEORGIA</w:t>
      </w:r>
    </w:p>
    <w:p>
      <w:pPr>
        <w:spacing w:before="432" w:after="0" w:line="322"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A26A1103</w:t>
      </w:r>
    </w:p>
    <w:p>
      <w:pPr>
        <w:spacing w:before="432" w:after="0" w:line="322" w:lineRule="exact"/>
        <w:ind w:left="0" w:firstLine="0"/>
        <w:jc w:val="center"/>
      </w:pPr>
      <w:r>
        <w:t xml:space="preserve">DORIS</w:t>
      </w:r>
      <w:r>
        <w:t xml:space="preserve"> </w:t>
      </w:r>
      <w:r>
        <w:t xml:space="preserve">CAMPBELL,</w:t>
      </w:r>
    </w:p>
    <w:p>
      <w:pPr>
        <w:spacing w:before="0" w:after="0" w:line="322" w:lineRule="exact"/>
        <w:ind w:left="0" w:firstLine="0"/>
        <w:jc w:val="center"/>
      </w:pPr>
      <w:r>
        <w:rPr>
          <w:i/>
          <w:iCs/>
        </w:rPr>
        <w:t xml:space="preserve">Appellant,</w:t>
      </w:r>
    </w:p>
    <w:p>
      <w:pPr>
        <w:spacing w:before="432" w:after="0" w:line="322" w:lineRule="exact"/>
        <w:ind w:left="0" w:firstLine="0"/>
        <w:jc w:val="center"/>
      </w:pPr>
      <w:r>
        <w:t xml:space="preserve">v.</w:t>
      </w:r>
    </w:p>
    <w:p>
      <w:pPr>
        <w:spacing w:before="432" w:after="0" w:line="322" w:lineRule="exact"/>
        <w:ind w:left="0" w:firstLine="0"/>
        <w:jc w:val="center"/>
      </w:pPr>
      <w:r>
        <w:t xml:space="preserve">KAYE</w:t>
      </w:r>
      <w:r>
        <w:t xml:space="preserve"> </w:t>
      </w:r>
      <w:r>
        <w:t xml:space="preserve">SMITH,</w:t>
      </w:r>
      <w:r>
        <w:t xml:space="preserve"> </w:t>
      </w:r>
      <w:r>
        <w:t xml:space="preserve">AS</w:t>
      </w:r>
      <w:r>
        <w:t xml:space="preserve"> </w:t>
      </w:r>
      <w:r>
        <w:t xml:space="preserve">THE</w:t>
      </w:r>
      <w:r>
        <w:t xml:space="preserve"> </w:t>
      </w:r>
      <w:r>
        <w:t xml:space="preserve">ADMINISTRATOR</w:t>
      </w:r>
      <w:r>
        <w:t xml:space="preserve"> </w:t>
      </w:r>
      <w:r>
        <w:t xml:space="preserve">OF</w:t>
      </w:r>
      <w:r>
        <w:t xml:space="preserve"> </w:t>
      </w:r>
      <w:r>
        <w:t xml:space="preserve">THE</w:t>
      </w:r>
      <w:r>
        <w:t xml:space="preserve"> </w:t>
      </w:r>
      <w:r>
        <w:t xml:space="preserve">ESTATE</w:t>
      </w:r>
      <w:r>
        <w:t xml:space="preserve"> </w:t>
      </w:r>
      <w:r>
        <w:t xml:space="preserve">OF</w:t>
      </w:r>
      <w:r>
        <w:t xml:space="preserve"> </w:t>
      </w:r>
      <w:r>
        <w:t xml:space="preserve">SUSAN</w:t>
      </w:r>
      <w:r>
        <w:t xml:space="preserve"> </w:t>
      </w:r>
      <w:r>
        <w:t xml:space="preserve">TAYLOR,</w:t>
      </w:r>
    </w:p>
    <w:p>
      <w:pPr>
        <w:spacing w:before="0" w:after="0" w:line="322" w:lineRule="exact"/>
        <w:ind w:left="0" w:firstLine="0"/>
        <w:jc w:val="center"/>
      </w:pPr>
      <w:r>
        <w:rPr>
          <w:i/>
          <w:iCs/>
        </w:rPr>
        <w:t xml:space="preserve">Appellee.</w:t>
      </w:r>
    </w:p>
    <w:p>
      <w:pPr>
        <w:spacing w:before="432"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Superior</w:t>
      </w:r>
      <w:r>
        <w:t xml:space="preserve"> </w:t>
      </w:r>
      <w:r>
        <w:t xml:space="preserve">Court</w:t>
      </w:r>
      <w:r>
        <w:t xml:space="preserve"> </w:t>
      </w:r>
      <w:r>
        <w:t xml:space="preserve">of</w:t>
      </w:r>
      <w:r>
        <w:t xml:space="preserve"> </w:t>
      </w:r>
      <w:r>
        <w:t xml:space="preserve">Lowndes</w:t>
      </w:r>
      <w:r>
        <w:t xml:space="preserve"> </w:t>
      </w:r>
      <w:r>
        <w:t xml:space="preserve">County</w:t>
      </w:r>
    </w:p>
    <w:p>
      <w:pPr>
        <w:spacing w:before="0" w:after="0" w:line="322" w:lineRule="exact"/>
        <w:ind w:left="0" w:firstLine="0"/>
        <w:jc w:val="center"/>
      </w:pPr>
      <w:r>
        <w:t xml:space="preserve">No.</w:t>
      </w:r>
      <w:r>
        <w:t xml:space="preserve"> </w:t>
      </w:r>
      <w:r>
        <w:t xml:space="preserve">2024CV0039</w:t>
      </w:r>
    </w:p>
    <w:p>
      <w:pPr>
        <w:spacing w:before="1440" w:after="0"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APPELLEE</w:t>
      </w:r>
    </w:p>
    <w:p>
      <w:pPr>
        <w:spacing w:before="1440" w:after="0" w:line="322" w:lineRule="exact"/>
        <w:ind w:left="4608" w:firstLine="0"/>
        <w:jc w:val="left"/>
      </w:pPr>
      <w:r>
        <w:rPr>
          <w:b/>
          <w:bCs/>
        </w:rPr>
        <w:t xml:space="preserve">Austin</w:t>
      </w:r>
      <w:r>
        <w:rPr>
          <w:b/>
          <w:bCs/>
        </w:rPr>
        <w:t xml:space="preserve"> </w:t>
      </w:r>
      <w:r>
        <w:rPr>
          <w:b/>
          <w:bCs/>
        </w:rPr>
        <w:t xml:space="preserve">Atkinson</w:t>
      </w:r>
    </w:p>
    <w:p>
      <w:pPr>
        <w:spacing w:before="0" w:after="0" w:line="322" w:lineRule="exact"/>
        <w:ind w:left="4608" w:firstLine="0"/>
        <w:jc w:val="left"/>
      </w:pPr>
      <w:r>
        <w:rPr>
          <w:b/>
          <w:bCs/>
        </w:rPr>
        <w:t xml:space="preserve">M.</w:t>
      </w:r>
      <w:r>
        <w:rPr>
          <w:b/>
          <w:bCs/>
        </w:rPr>
        <w:t xml:space="preserve"> </w:t>
      </w:r>
      <w:r>
        <w:rPr>
          <w:b/>
          <w:bCs/>
        </w:rPr>
        <w:t xml:space="preserve">Blake</w:t>
      </w:r>
      <w:r>
        <w:rPr>
          <w:b/>
          <w:bCs/>
        </w:rPr>
        <w:t xml:space="preserve"> </w:t>
      </w:r>
      <w:r>
        <w:rPr>
          <w:b/>
          <w:bCs/>
        </w:rPr>
        <w:t xml:space="preserve">Walker</w:t>
      </w:r>
    </w:p>
    <w:p>
      <w:pPr>
        <w:spacing w:before="0" w:after="0" w:line="322" w:lineRule="exact"/>
        <w:ind w:left="4608" w:firstLine="0"/>
        <w:jc w:val="left"/>
      </w:pPr>
      <w:r>
        <w:rPr>
          <w:b/>
          <w:bCs/>
        </w:rPr>
        <w:t xml:space="preserve">Morgan</w:t>
      </w:r>
      <w:r>
        <w:rPr>
          <w:b/>
          <w:bCs/>
        </w:rPr>
        <w:t xml:space="preserve"> </w:t>
      </w:r>
      <w:r>
        <w:rPr>
          <w:b/>
          <w:bCs/>
        </w:rPr>
        <w:t xml:space="preserve">McClure</w:t>
      </w:r>
    </w:p>
    <w:p>
      <w:pPr>
        <w:spacing w:before="0" w:after="0" w:line="322" w:lineRule="exact"/>
        <w:ind w:left="4608" w:firstLine="0"/>
        <w:jc w:val="left"/>
      </w:pPr>
      <w:r>
        <w:t xml:space="preserve">HALL</w:t>
      </w:r>
      <w:r>
        <w:t xml:space="preserve"> </w:t>
      </w:r>
      <w:r>
        <w:t xml:space="preserve">BOOTH</w:t>
      </w:r>
      <w:r>
        <w:t xml:space="preserve"> </w:t>
      </w:r>
      <w:r>
        <w:t xml:space="preserve">SMITH,</w:t>
      </w:r>
      <w:r>
        <w:t xml:space="preserve"> </w:t>
      </w:r>
      <w:r>
        <w:t xml:space="preserve">P.C.</w:t>
      </w:r>
    </w:p>
    <w:p>
      <w:pPr>
        <w:spacing w:before="0" w:after="0" w:line="322" w:lineRule="exact"/>
        <w:ind w:left="4608" w:firstLine="0"/>
        <w:jc w:val="left"/>
      </w:pPr>
      <w:r>
        <w:t xml:space="preserve">191</w:t>
      </w:r>
      <w:r>
        <w:t xml:space="preserve"> </w:t>
      </w:r>
      <w:r>
        <w:t xml:space="preserve">Peachtree</w:t>
      </w:r>
      <w:r>
        <w:t xml:space="preserve"> </w:t>
      </w:r>
      <w:r>
        <w:t xml:space="preserve">St.</w:t>
      </w:r>
      <w:r>
        <w:t xml:space="preserve"> </w:t>
      </w:r>
      <w:r>
        <w:t xml:space="preserve">NE</w:t>
      </w:r>
    </w:p>
    <w:p>
      <w:pPr>
        <w:spacing w:before="0" w:after="0" w:line="322" w:lineRule="exact"/>
        <w:ind w:left="4608" w:firstLine="0"/>
        <w:jc w:val="left"/>
      </w:pPr>
      <w:r>
        <w:t xml:space="preserve">Suite</w:t>
      </w:r>
      <w:r>
        <w:t xml:space="preserve"> </w:t>
      </w:r>
      <w:r>
        <w:t xml:space="preserve">2900</w:t>
      </w:r>
    </w:p>
    <w:p>
      <w:pPr>
        <w:spacing w:before="0" w:after="0" w:line="322" w:lineRule="exact"/>
        <w:ind w:left="4608" w:firstLine="0"/>
        <w:jc w:val="left"/>
      </w:pPr>
      <w:r>
        <w:t xml:space="preserve">Atlanta,</w:t>
      </w:r>
      <w:r>
        <w:t xml:space="preserve"> </w:t>
      </w:r>
      <w:r>
        <w:t xml:space="preserve">GA</w:t>
      </w:r>
      <w:r>
        <w:t xml:space="preserve"> </w:t>
      </w:r>
      <w:r>
        <w:t xml:space="preserve">30303</w:t>
      </w:r>
    </w:p>
    <w:p>
      <w:pPr>
        <w:spacing w:before="0" w:after="0" w:line="322" w:lineRule="exact"/>
        <w:ind w:left="4608" w:firstLine="0"/>
        <w:jc w:val="left"/>
      </w:pPr>
      <w:r>
        <w:t xml:space="preserve">404</w:t>
        <w:noBreakHyphen/>
        <w:t xml:space="preserve">954</w:t>
        <w:noBreakHyphen/>
        <w:t xml:space="preserve">5000</w:t>
      </w:r>
    </w:p>
    <w:p>
      <w:pPr>
        <w:spacing w:before="0" w:after="0" w:line="322" w:lineRule="exact"/>
        <w:ind w:left="4608" w:firstLine="0"/>
        <w:jc w:val="left"/>
      </w:pPr>
      <w:r>
        <w:t xml:space="preserve">aatkinson@hallboothsmith.com</w:t>
      </w:r>
    </w:p>
    <w:p>
      <w:pPr>
        <w:spacing w:before="0" w:after="0" w:line="322" w:lineRule="exact"/>
        <w:ind w:left="4608" w:firstLine="0"/>
        <w:jc w:val="left"/>
      </w:pPr>
      <w:r>
        <w:t xml:space="preserve">bwalker@hallboothsmith.com</w:t>
      </w:r>
    </w:p>
    <w:p>
      <w:pPr>
        <w:spacing w:before="0" w:after="0" w:line="322" w:lineRule="exact"/>
        <w:ind w:left="4608" w:firstLine="0"/>
        <w:jc w:val="left"/>
      </w:pPr>
      <w:r>
        <w:t xml:space="preserve">mmcclure@hallboothsmith.com</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Appellee</w:t>
      </w:r>
    </w:p>
    <w:p>
      <w:pPr>
        <w:pageBreakBefore/>
        <w:spacing w:before="0" w:after="0" w:line="1" w:lineRule="exact"/>
      </w:pPr>
    </w:p>
    <w:p>
      <w:pPr>
        <w:keepNext/>
        <w:keepLines/>
        <w:spacing w:before="0" w:after="32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60" w:after="0" w:line="322"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3</w:t>
      </w:r>
    </w:p>
    <w:p>
      <w:pPr>
        <w:keepLines/>
        <w:tabs>
          <w:tab w:val="right" w:leader="dot" w:pos="9360"/>
        </w:tabs>
        <w:spacing w:before="160" w:after="0" w:line="322" w:lineRule="exact"/>
        <w:ind w:left="720" w:right="720" w:hanging="720"/>
      </w:pPr>
      <w:r>
        <w:t xml:space="preserve">Argument</w:t>
      </w:r>
      <w:r>
        <w:t xml:space="preserve">   </w:t>
      </w:r>
      <w:r>
        <w:tab/>
      </w:r>
      <w:r>
        <w:t xml:space="preserve">4</w:t>
      </w:r>
    </w:p>
    <w:p>
      <w:pPr>
        <w:keepLines/>
        <w:tabs>
          <w:tab w:val="right" w:leader="dot" w:pos="9360"/>
        </w:tabs>
        <w:spacing w:before="160" w:after="0" w:line="322" w:lineRule="exact"/>
        <w:ind w:left="1440" w:right="720" w:hanging="720"/>
      </w:pPr>
      <w:r>
        <w:t xml:space="preserve">I.</w:t>
      </w:r>
      <w:r>
        <w:t xml:space="preserve"> </w:t>
      </w:r>
      <w:r>
        <w:t xml:space="preserve">The</w:t>
      </w:r>
      <w:r>
        <w:t xml:space="preserve"> </w:t>
      </w:r>
      <w:r>
        <w:t xml:space="preserve">Trial</w:t>
      </w:r>
      <w:r>
        <w:t xml:space="preserve"> </w:t>
      </w:r>
      <w:r>
        <w:t xml:space="preserve">Court</w:t>
      </w:r>
      <w:r>
        <w:t xml:space="preserve"> </w:t>
      </w:r>
      <w:r>
        <w:t xml:space="preserve">Correctly</w:t>
      </w:r>
      <w:r>
        <w:t xml:space="preserve"> </w:t>
      </w:r>
      <w:r>
        <w:t xml:space="preserve">Concluded</w:t>
      </w:r>
      <w:r>
        <w:t xml:space="preserve"> </w:t>
      </w:r>
      <w:r>
        <w:t xml:space="preserve">Appellant</w:t>
      </w:r>
      <w:r>
        <w:t xml:space="preserve"> </w:t>
      </w:r>
      <w:r>
        <w:t xml:space="preserve">Assumed</w:t>
      </w:r>
      <w:r>
        <w:t xml:space="preserve"> </w:t>
      </w:r>
      <w:r>
        <w:t xml:space="preserve">the</w:t>
      </w:r>
      <w:r>
        <w:t xml:space="preserve"> </w:t>
      </w:r>
      <w:r>
        <w:t xml:space="preserve">Risk</w:t>
      </w:r>
      <w:r>
        <w:t xml:space="preserve"> </w:t>
      </w:r>
      <w:r>
        <w:t xml:space="preserve">of</w:t>
      </w:r>
      <w:r>
        <w:t xml:space="preserve"> </w:t>
      </w:r>
      <w:r>
        <w:t xml:space="preserve">Injury</w:t>
      </w:r>
      <w:r>
        <w:t xml:space="preserve">   </w:t>
      </w:r>
      <w:r>
        <w:tab/>
      </w:r>
      <w:r>
        <w:t xml:space="preserve">4</w:t>
      </w:r>
    </w:p>
    <w:p>
      <w:pPr>
        <w:keepLines/>
        <w:tabs>
          <w:tab w:val="right" w:leader="dot" w:pos="9360"/>
        </w:tabs>
        <w:spacing w:before="160" w:after="0" w:line="322" w:lineRule="exact"/>
        <w:ind w:left="1440" w:right="720" w:hanging="720"/>
      </w:pPr>
      <w:r>
        <w:t xml:space="preserve">II.</w:t>
      </w:r>
      <w:r>
        <w:t xml:space="preserve"> </w:t>
      </w:r>
      <w:r>
        <w:t xml:space="preserve">This</w:t>
      </w:r>
      <w:r>
        <w:t xml:space="preserve"> </w:t>
      </w:r>
      <w:r>
        <w:t xml:space="preserve">Court</w:t>
      </w:r>
      <w:r>
        <w:t xml:space="preserve"> </w:t>
      </w:r>
      <w:r>
        <w:t xml:space="preserve">Should</w:t>
      </w:r>
      <w:r>
        <w:t xml:space="preserve"> </w:t>
      </w:r>
      <w:r>
        <w:t xml:space="preserve">Affirm</w:t>
      </w:r>
      <w:r>
        <w:t xml:space="preserve"> </w:t>
      </w:r>
      <w:r>
        <w:t xml:space="preserve">Even</w:t>
      </w:r>
      <w:r>
        <w:t xml:space="preserve"> </w:t>
      </w:r>
      <w:r>
        <w:t xml:space="preserve">If</w:t>
      </w:r>
      <w:r>
        <w:t xml:space="preserve"> </w:t>
      </w:r>
      <w:r>
        <w:t xml:space="preserve">It</w:t>
      </w:r>
      <w:r>
        <w:t xml:space="preserve"> </w:t>
      </w:r>
      <w:r>
        <w:t xml:space="preserve">Disagrees</w:t>
      </w:r>
      <w:r>
        <w:t xml:space="preserve"> </w:t>
      </w:r>
      <w:r>
        <w:t xml:space="preserve">with</w:t>
      </w:r>
      <w:r>
        <w:t xml:space="preserve"> </w:t>
      </w:r>
      <w:r>
        <w:t xml:space="preserve">the</w:t>
      </w:r>
      <w:r>
        <w:t xml:space="preserve"> </w:t>
      </w:r>
      <w:r>
        <w:t xml:space="preserve">Trial</w:t>
      </w:r>
      <w:r>
        <w:t xml:space="preserve"> </w:t>
      </w:r>
      <w:r>
        <w:t xml:space="preserve">Court’s</w:t>
      </w:r>
      <w:r>
        <w:t xml:space="preserve"> </w:t>
      </w:r>
      <w:r>
        <w:t xml:space="preserve">Reasoning</w:t>
      </w:r>
      <w:r>
        <w:t xml:space="preserve"> </w:t>
      </w:r>
      <w:r>
        <w:t xml:space="preserve">for</w:t>
      </w:r>
      <w:r>
        <w:t xml:space="preserve"> </w:t>
      </w:r>
      <w:r>
        <w:t xml:space="preserve">Granting</w:t>
      </w:r>
      <w:r>
        <w:t xml:space="preserve"> </w:t>
      </w:r>
      <w:r>
        <w:t xml:space="preserve">Summary</w:t>
      </w:r>
      <w:r>
        <w:t xml:space="preserve"> </w:t>
      </w:r>
      <w:r>
        <w:t xml:space="preserve">Judgment</w:t>
      </w:r>
      <w:r>
        <w:t xml:space="preserve">   </w:t>
      </w:r>
      <w:r>
        <w:tab/>
      </w:r>
      <w:r>
        <w:t xml:space="preserve">7</w:t>
      </w:r>
    </w:p>
    <w:p>
      <w:pPr>
        <w:keepLines/>
        <w:tabs>
          <w:tab w:val="right" w:leader="dot" w:pos="9360"/>
        </w:tabs>
        <w:spacing w:before="160" w:after="0" w:line="322" w:lineRule="exact"/>
        <w:ind w:left="720" w:right="720" w:hanging="720"/>
      </w:pPr>
      <w:r>
        <w:t xml:space="preserve">Conclusion</w:t>
      </w:r>
      <w:r>
        <w:t xml:space="preserve">   </w:t>
      </w:r>
      <w:r>
        <w:tab/>
      </w:r>
      <w:r>
        <w:t xml:space="preserve">9</w:t>
      </w:r>
    </w:p>
    <w:p>
      <w:pPr>
        <w:pageBreakBefore/>
        <w:spacing w:before="0" w:after="0" w:line="1" w:lineRule="exact"/>
      </w:pPr>
    </w:p>
    <w:p>
      <w:pPr>
        <w:keepNext/>
        <w:keepLines/>
        <w:spacing w:before="0" w:after="32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Plaintiff-Appellant Doris Campbell received a horrifying phone call from her mother, Carolyn Goslin, on July 9, 2017. Ms. Goslin was being attacked by her boyfriend, Clinton Taylor. V2</w:t>
      </w:r>
      <w:r>
        <w:noBreakHyphen/>
      </w:r>
      <w:r>
        <w:t xml:space="preserve">95–97. Ms. Goslin was visiting Mr. Taylor at his mother’s home. V2</w:t>
      </w:r>
      <w:r>
        <w:noBreakHyphen/>
      </w:r>
      <w:r>
        <w:t xml:space="preserve">97. Appellant knew this and headed straight there.</w:t>
      </w:r>
      <w:r>
        <w:t xml:space="preserve"> </w:t>
      </w:r>
      <w:r>
        <w:rPr>
          <w:i/>
          <w:iCs/>
        </w:rPr>
        <w:t xml:space="preserve">See</w:t>
      </w:r>
      <w:r>
        <w:t xml:space="preserve"> </w:t>
      </w:r>
      <w:r>
        <w:t xml:space="preserve">V2</w:t>
      </w:r>
      <w:r>
        <w:noBreakHyphen/>
      </w:r>
      <w:r>
        <w:t xml:space="preserve">97. She was understandably worried. In addition to what her mother told her on the phone, Appellant also knew that Mr. Taylor had attacked Ms. Goslin before. V2</w:t>
      </w:r>
      <w:r>
        <w:noBreakHyphen/>
      </w:r>
      <w:r>
        <w:t xml:space="preserve">100. Appellant tried to enter the home when she arrived. V2</w:t>
      </w:r>
      <w:r>
        <w:noBreakHyphen/>
      </w:r>
      <w:r>
        <w:t xml:space="preserve">97–98. And as she was doing so, Mr. Taylor attacked her. V2</w:t>
      </w:r>
      <w:r>
        <w:noBreakHyphen/>
      </w:r>
      <w:r>
        <w:t xml:space="preserve">98.</w:t>
      </w:r>
    </w:p>
    <w:p>
      <w:pPr>
        <w:pStyle w:val="BodyTextNote"/>
      </w:pPr>
      <w:r>
        <w:t xml:space="preserve">Appellant later sued Mr. Taylor and his mother, Susan Taylor.</w:t>
      </w:r>
      <w:r>
        <w:rPr>
          <w:rStyle w:val="FootnoteReference"/>
        </w:rPr>
        <w:footnoteReference w:id="9"/>
      </w:r>
      <w:r>
        <w:t xml:space="preserve"> </w:t>
      </w:r>
      <w:r>
        <w:t xml:space="preserve">V2</w:t>
      </w:r>
      <w:r>
        <w:noBreakHyphen/>
      </w:r>
      <w:r>
        <w:t xml:space="preserve">8. This appeal concerns only Appellant’s claims against Ms. Taylor. She alleges, in short, that Ms. Taylor failed to protect her from Mr. Taylor. V2</w:t>
      </w:r>
      <w:r>
        <w:noBreakHyphen/>
      </w:r>
      <w:r>
        <w:t xml:space="preserve">10. Appellee moved for summary judgment on two related grounds. Appellee argued (1) that Appellant assumed the risk of injury when she sought to protect her mother and (2) that Ms. Taylor lacked superior knowledge the danger Mr. Taylor posed. V2</w:t>
      </w:r>
      <w:r>
        <w:noBreakHyphen/>
      </w:r>
      <w:r>
        <w:t xml:space="preserve">35–43. The trial court granted Appellee’s motion on the first issue. V2</w:t>
      </w:r>
      <w:r>
        <w:noBreakHyphen/>
      </w:r>
      <w:r>
        <w:t xml:space="preserve">4–7. It did not reach the second issue. V2</w:t>
      </w:r>
      <w:r>
        <w:noBreakHyphen/>
      </w:r>
      <w:r>
        <w:t xml:space="preserve">7 n.4.</w:t>
      </w:r>
    </w:p>
    <w:p>
      <w:pPr>
        <w:keepNext/>
        <w:keepLines/>
        <w:spacing w:before="480" w:after="320" w:line="322" w:lineRule="exact"/>
        <w:ind w:left="0" w:firstLine="0"/>
        <w:jc w:val="center"/>
      </w:pPr>
      <w:r>
        <w:rPr>
          <w:b/>
          <w:bCs/>
        </w:rPr>
        <w:t xml:space="preserve">ARGUMENT</w:t>
      </w:r>
    </w:p>
    <w:p>
      <w:pPr>
        <w:pStyle w:val="BodyText"/>
      </w:pPr>
      <w:r>
        <w:t xml:space="preserve">Two reasons justify affirming in this case. First, the Court should affirm because the trial court’s reasoning is right. When Appellant made the (understandable) decision to protect her mother from Mr. Taylor, she knew the risks involved. And she does not now contend otherwise. Second, summary judgment was warranted because, at a minimum, Appellant had equal knowledge of the danger Mr. Taylor posed.</w:t>
      </w:r>
    </w:p>
    <w:p>
      <w:pPr>
        <w:keepNext/>
        <w:keepLines/>
        <w:spacing w:before="320" w:after="240" w:line="32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Correctly</w:t>
      </w:r>
      <w:r>
        <w:rPr>
          <w:b/>
          <w:bCs/>
        </w:rPr>
        <w:t xml:space="preserve"> </w:t>
      </w:r>
      <w:r>
        <w:rPr>
          <w:b/>
          <w:bCs/>
        </w:rPr>
        <w:t xml:space="preserve">Concluded</w:t>
      </w:r>
      <w:r>
        <w:rPr>
          <w:b/>
          <w:bCs/>
        </w:rPr>
        <w:t xml:space="preserve"> </w:t>
      </w:r>
      <w:r>
        <w:rPr>
          <w:b/>
          <w:bCs/>
        </w:rPr>
        <w:t xml:space="preserve">Appellant</w:t>
      </w:r>
      <w:r>
        <w:rPr>
          <w:b/>
          <w:bCs/>
        </w:rPr>
        <w:t xml:space="preserve"> </w:t>
      </w:r>
      <w:r>
        <w:rPr>
          <w:b/>
          <w:bCs/>
        </w:rPr>
        <w:t xml:space="preserve">Assumed</w:t>
      </w:r>
      <w:r>
        <w:rPr>
          <w:b/>
          <w:bCs/>
        </w:rPr>
        <w:t xml:space="preserve"> </w:t>
      </w:r>
      <w:r>
        <w:rPr>
          <w:b/>
          <w:bCs/>
        </w:rPr>
        <w:t xml:space="preserve">the</w:t>
      </w:r>
      <w:r>
        <w:rPr>
          <w:b/>
          <w:bCs/>
        </w:rPr>
        <w:t xml:space="preserve"> </w:t>
      </w:r>
      <w:r>
        <w:rPr>
          <w:b/>
          <w:bCs/>
        </w:rPr>
        <w:t xml:space="preserve">Risk</w:t>
      </w:r>
      <w:r>
        <w:rPr>
          <w:b/>
          <w:bCs/>
        </w:rPr>
        <w:t xml:space="preserve"> </w:t>
      </w:r>
      <w:r>
        <w:rPr>
          <w:b/>
          <w:bCs/>
        </w:rPr>
        <w:t xml:space="preserve">of</w:t>
      </w:r>
      <w:r>
        <w:rPr>
          <w:b/>
          <w:bCs/>
        </w:rPr>
        <w:t xml:space="preserve"> </w:t>
      </w:r>
      <w:r>
        <w:rPr>
          <w:b/>
          <w:bCs/>
        </w:rPr>
        <w:t xml:space="preserve">Injury</w:t>
      </w:r>
    </w:p>
    <w:p>
      <w:pPr>
        <w:pStyle w:val="BodyText"/>
      </w:pPr>
      <w:r>
        <w:t xml:space="preserve">Assumption of the risk is an affirmative defense that bars recovery by a plaintiff who assumed the risk of injury.</w:t>
      </w:r>
      <w:r>
        <w:t xml:space="preserve"> </w:t>
      </w:r>
      <w:r>
        <w:rPr>
          <w:i/>
          <w:iCs/>
        </w:rPr>
        <w:t xml:space="preserve">See Kane v. Landscape Structures, Inc.</w:t>
      </w:r>
      <w:r>
        <w:t xml:space="preserve">, 309 Ga. App. 14, 17 (2011). To prevail on the defense here, a defendant must show three things: (1) that the plaintiff “had some actual knowledge of the danger”; (2) that the plaintiff “understood and appreciated the risks associated with the danger”; and (3) that the plaintiff “voluntarily exposed [himself or herself] to the danger.”</w:t>
      </w:r>
      <w:r>
        <w:t xml:space="preserve"> </w:t>
      </w:r>
      <w:r>
        <w:rPr>
          <w:i/>
          <w:iCs/>
        </w:rPr>
        <w:t xml:space="preserve">Id.</w:t>
      </w:r>
      <w:r>
        <w:t xml:space="preserve"> </w:t>
      </w:r>
      <w:r>
        <w:t xml:space="preserve">at 17 (citation and internal quotation marks omitted). And as the trial court explained, that is what happened here. V2</w:t>
      </w:r>
      <w:r>
        <w:noBreakHyphen/>
      </w:r>
      <w:r>
        <w:t xml:space="preserve">4–7.</w:t>
      </w:r>
    </w:p>
    <w:p>
      <w:pPr>
        <w:pStyle w:val="BodyText"/>
      </w:pPr>
      <w:r>
        <w:t xml:space="preserve">Appellant knew Mr. Taylor was a threat before she arrived at Ms. Taylor’s home. This is not in dispute. Appellant’s mother called Appellant while Mr. Taylor was attacking her. V2</w:t>
      </w:r>
      <w:r>
        <w:noBreakHyphen/>
      </w:r>
      <w:r>
        <w:t xml:space="preserve">97. And as Appellant was aware, this was the second time Mr. Taylor had attacked Appellant’s mother within a week. V2</w:t>
      </w:r>
      <w:r>
        <w:noBreakHyphen/>
      </w:r>
      <w:r>
        <w:t xml:space="preserve">106–107. Not surprisingly, then, Appellant considered Mr. Taylor to be a violent person before she ever arrived at Ms. Taylor’s home. V2</w:t>
      </w:r>
      <w:r>
        <w:noBreakHyphen/>
      </w:r>
      <w:r>
        <w:t xml:space="preserve">109. Indeed, Appellant went to Ms. Taylor’s home</w:t>
      </w:r>
      <w:r>
        <w:t xml:space="preserve"> </w:t>
      </w:r>
      <w:r>
        <w:rPr>
          <w:i/>
          <w:iCs/>
        </w:rPr>
        <w:t xml:space="preserve">because</w:t>
      </w:r>
      <w:r>
        <w:t xml:space="preserve"> </w:t>
      </w:r>
      <w:r>
        <w:t xml:space="preserve">of this knowledge. She testified that she drove to Ms. Taylor’s home immediately after her mother called. V2</w:t>
      </w:r>
      <w:r>
        <w:noBreakHyphen/>
      </w:r>
      <w:r>
        <w:t xml:space="preserve">97. And when she arrived, she tried to enter Ms. Taylor’s home to try to protect her mother. V2</w:t>
      </w:r>
      <w:r>
        <w:noBreakHyphen/>
      </w:r>
      <w:r>
        <w:t xml:space="preserve">97–98 (testifying that she tried “pounding on the door” and that she tried “the door handle,” which was locked); V2</w:t>
      </w:r>
      <w:r>
        <w:noBreakHyphen/>
      </w:r>
      <w:r>
        <w:t xml:space="preserve">103–104; Appellant Br. at 14 (“[Appellant] was faced with an emergent need to protect her blind mother . . . .”).</w:t>
      </w:r>
    </w:p>
    <w:p>
      <w:pPr>
        <w:pStyle w:val="BodyTextNote"/>
      </w:pPr>
      <w:r>
        <w:t xml:space="preserve">Appellant, to be sure, does not appear to disagree with this view. She instead claims the trial court erred because she never consented to Mr. Taylor attacking her.</w:t>
      </w:r>
      <w:r>
        <w:rPr>
          <w:rStyle w:val="FootnoteReference"/>
        </w:rPr>
        <w:footnoteReference w:id="10"/>
      </w:r>
      <w:r>
        <w:t xml:space="preserve"> </w:t>
      </w:r>
      <w:r>
        <w:t xml:space="preserve">Appellant Br. at 13–14 (“Appellant did not consent to getting into an altercation with Mr. Taylor . . . .”). Appellant insists, for example, that she did not “[know] she would be violently attacked by Mr. Taylor. Appellant Br. at 12. And she says she did not intend to “engage with” Mr. Taylor while at Ms. Taylor’s home. Appellant Br. at 12. But consent to injury is not an element of the assumption-of-the-risk defense, and Appellant’s contrary view misconstrues the law.</w:t>
      </w:r>
    </w:p>
    <w:p>
      <w:pPr>
        <w:pStyle w:val="BodyText"/>
      </w:pPr>
      <w:r>
        <w:t xml:space="preserve">And a degree of consent is, to be sure, baked into the defense.</w:t>
      </w:r>
      <w:r>
        <w:t xml:space="preserve"> </w:t>
      </w:r>
      <w:r>
        <w:rPr>
          <w:i/>
          <w:iCs/>
        </w:rPr>
        <w:t xml:space="preserve">See Desai v. Silver Dollar City, Inc.</w:t>
      </w:r>
      <w:r>
        <w:t xml:space="preserve">, 229 Ga. App. 160, 165 (1997). After all, a defendant asserting the defense must show that the plaintiff assumed (that is, consented to) the risk of injury.</w:t>
      </w:r>
      <w:r>
        <w:t xml:space="preserve"> </w:t>
      </w:r>
      <w:r>
        <w:rPr>
          <w:i/>
          <w:iCs/>
        </w:rPr>
        <w:t xml:space="preserve">Kane</w:t>
      </w:r>
      <w:r>
        <w:t xml:space="preserve">, 309 Ga. App. at 18. But that does not mean a defendant must establish that the plaintiff consented to being harmed. Quite the opposite: “It is not the individual acts of negligence to which [a plaintiff] must consent, but the known risks arising from the chosen acts or omissions of the plaintiff.”</w:t>
      </w:r>
      <w:r>
        <w:t xml:space="preserve"> </w:t>
      </w:r>
      <w:r>
        <w:rPr>
          <w:i/>
          <w:iCs/>
        </w:rPr>
        <w:t xml:space="preserve">Desai</w:t>
      </w:r>
      <w:r>
        <w:t xml:space="preserve">, 229 Ga. App. at 165–66;</w:t>
      </w:r>
      <w:r>
        <w:t xml:space="preserve"> </w:t>
      </w:r>
      <w:r>
        <w:rPr>
          <w:i/>
          <w:iCs/>
        </w:rPr>
        <w:t xml:space="preserve">see, e.g.</w:t>
      </w:r>
      <w:r>
        <w:t xml:space="preserve">,</w:t>
      </w:r>
      <w:r>
        <w:t xml:space="preserve"> </w:t>
      </w:r>
      <w:r>
        <w:rPr>
          <w:i/>
          <w:iCs/>
        </w:rPr>
        <w:t xml:space="preserve">Muldovan v. McEachern</w:t>
      </w:r>
      <w:r>
        <w:t xml:space="preserve">, 271 Ga. 805, 809 (1999) (These undisputed facts establish that McEachern</w:t>
      </w:r>
      <w:r>
        <w:t xml:space="preserve"> </w:t>
      </w:r>
      <w:r>
        <w:rPr>
          <w:i/>
          <w:iCs/>
        </w:rPr>
        <w:t xml:space="preserve">consented to assume the risk</w:t>
      </w:r>
      <w:r>
        <w:t xml:space="preserve"> </w:t>
      </w:r>
      <w:r>
        <w:t xml:space="preserve">of suffering whatever harm he might sustain if the gun chamber being fired was loaded.” (emphasis added)).</w:t>
      </w:r>
    </w:p>
    <w:p>
      <w:pPr>
        <w:pStyle w:val="BodyText"/>
      </w:pPr>
      <w:r>
        <w:t xml:space="preserve">That is exactly what happened here. Appellant understood and assumed the</w:t>
      </w:r>
      <w:r>
        <w:t xml:space="preserve"> </w:t>
      </w:r>
      <w:r>
        <w:rPr>
          <w:i/>
          <w:iCs/>
        </w:rPr>
        <w:t xml:space="preserve">risk of injury</w:t>
      </w:r>
      <w:r>
        <w:t xml:space="preserve"> </w:t>
      </w:r>
      <w:r>
        <w:t xml:space="preserve">when she went to her mother’s aid, and the trial court correctly granted summary judgment on this issue.</w:t>
      </w:r>
      <w:r>
        <w:t xml:space="preserve"> </w:t>
      </w:r>
      <w:r>
        <w:rPr>
          <w:i/>
          <w:iCs/>
        </w:rPr>
        <w:t xml:space="preserve">See Carter v. Scott</w:t>
      </w:r>
      <w:r>
        <w:t xml:space="preserve">, 320 Ga. App. 404, 408 (2013) (reversing denial of summary judgment because the plaintiff assumed the risk of injury when he tried to intervene in a physical altercation);</w:t>
      </w:r>
      <w:r>
        <w:t xml:space="preserve"> </w:t>
      </w:r>
      <w:r>
        <w:rPr>
          <w:i/>
          <w:iCs/>
        </w:rPr>
        <w:t xml:space="preserve">see also Saulsbury v. Wilson</w:t>
      </w:r>
      <w:r>
        <w:t xml:space="preserve">, 348 Ga. App. 557, 560 (2019) (plaintiff who intervened in dog fight assumed the risk of doing so when she intervened with bare hands);</w:t>
      </w:r>
      <w:r>
        <w:t xml:space="preserve"> </w:t>
      </w:r>
      <w:r>
        <w:rPr>
          <w:i/>
          <w:iCs/>
        </w:rPr>
        <w:t xml:space="preserve">Fagan v. Atnalta, Inc.</w:t>
      </w:r>
      <w:r>
        <w:t xml:space="preserve">, 189 Ga. App. 460, 462, 376 S.E.2d 204, 206 (1988) (“[O]nly one conclusion is permissible, that is, appellant saw and recognized the risk, and deliberately interjected himself into the affray after the bartender was grabbed by a customer being ejected.”).</w:t>
      </w:r>
    </w:p>
    <w:p>
      <w:pPr>
        <w:keepNext/>
        <w:keepLines/>
        <w:spacing w:before="320" w:after="240" w:line="322" w:lineRule="exact"/>
        <w:ind w:left="720" w:hanging="720"/>
        <w:jc w:val="left"/>
      </w:pPr>
      <w:r>
        <w:rPr>
          <w:b/>
          <w:bCs/>
        </w:rPr>
        <w:t xml:space="preserve">II.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Affirm</w:t>
      </w:r>
      <w:r>
        <w:rPr>
          <w:b/>
          <w:bCs/>
        </w:rPr>
        <w:t xml:space="preserve"> </w:t>
      </w:r>
      <w:r>
        <w:rPr>
          <w:b/>
          <w:bCs/>
        </w:rPr>
        <w:t xml:space="preserve">Even</w:t>
      </w:r>
      <w:r>
        <w:rPr>
          <w:b/>
          <w:bCs/>
        </w:rPr>
        <w:t xml:space="preserve"> </w:t>
      </w:r>
      <w:r>
        <w:rPr>
          <w:b/>
          <w:bCs/>
        </w:rPr>
        <w:t xml:space="preserve">If</w:t>
      </w:r>
      <w:r>
        <w:rPr>
          <w:b/>
          <w:bCs/>
        </w:rPr>
        <w:t xml:space="preserve"> </w:t>
      </w:r>
      <w:r>
        <w:rPr>
          <w:b/>
          <w:bCs/>
        </w:rPr>
        <w:t xml:space="preserve">It</w:t>
      </w:r>
      <w:r>
        <w:rPr>
          <w:b/>
          <w:bCs/>
        </w:rPr>
        <w:t xml:space="preserve"> </w:t>
      </w:r>
      <w:r>
        <w:rPr>
          <w:b/>
          <w:bCs/>
        </w:rPr>
        <w:t xml:space="preserve">Disagrees</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Reasoning</w:t>
      </w:r>
      <w:r>
        <w:rPr>
          <w:b/>
          <w:bCs/>
        </w:rPr>
        <w:t xml:space="preserve"> </w:t>
      </w:r>
      <w:r>
        <w:rPr>
          <w:b/>
          <w:bCs/>
        </w:rPr>
        <w:t xml:space="preserve">for</w:t>
      </w:r>
      <w:r>
        <w:rPr>
          <w:b/>
          <w:bCs/>
        </w:rPr>
        <w:t xml:space="preserve"> </w:t>
      </w:r>
      <w:r>
        <w:rPr>
          <w:b/>
          <w:bCs/>
        </w:rPr>
        <w:t xml:space="preserve">Granting</w:t>
      </w:r>
      <w:r>
        <w:rPr>
          <w:b/>
          <w:bCs/>
        </w:rPr>
        <w:t xml:space="preserve"> </w:t>
      </w:r>
      <w:r>
        <w:rPr>
          <w:b/>
          <w:bCs/>
        </w:rPr>
        <w:t xml:space="preserve">Summary</w:t>
      </w:r>
      <w:r>
        <w:rPr>
          <w:b/>
          <w:bCs/>
        </w:rPr>
        <w:t xml:space="preserve"> </w:t>
      </w:r>
      <w:r>
        <w:rPr>
          <w:b/>
          <w:bCs/>
        </w:rPr>
        <w:t xml:space="preserve">Judgment</w:t>
      </w:r>
    </w:p>
    <w:p>
      <w:pPr>
        <w:pStyle w:val="BodyText"/>
      </w:pPr>
      <w:r>
        <w:t xml:space="preserve">Although the trial court relied solely on Appellee’s assumption-of-the-risk defense in granting summary judgment, Appellee raised other issues below. V2</w:t>
      </w:r>
      <w:r>
        <w:noBreakHyphen/>
      </w:r>
      <w:r>
        <w:t xml:space="preserve">5; V2</w:t>
      </w:r>
      <w:r>
        <w:noBreakHyphen/>
      </w:r>
      <w:r>
        <w:t xml:space="preserve">35–43. Important here, Appellee argued that Appellant’s claim failed because she could not show that Ms. Taylor had superior knowledge of the threat Mr. Taylor posed to Appellant. V2</w:t>
      </w:r>
      <w:r>
        <w:noBreakHyphen/>
      </w:r>
      <w:r>
        <w:t xml:space="preserve">41–43. And to the extent this Court does not agree with the trial court’s reasoning, it should affirm the judgment under the right-for-any-reason rule.</w:t>
      </w:r>
      <w:r>
        <w:t xml:space="preserve"> </w:t>
      </w:r>
      <w:r>
        <w:rPr>
          <w:i/>
          <w:iCs/>
        </w:rPr>
        <w:t xml:space="preserve">See Gaddy v. Sherard</w:t>
      </w:r>
      <w:r>
        <w:t xml:space="preserve">, ___ Ga. App. ___, 922 S.E.2d 818, 820 (2025).</w:t>
      </w:r>
    </w:p>
    <w:p>
      <w:pPr>
        <w:pStyle w:val="BodyText"/>
      </w:pPr>
      <w:r>
        <w:t xml:space="preserve">Appellant sued Appellee under a premise-liability theory of negligence, alleging Ms. Taylor failed to protect her from Mr. Taylor. V2</w:t>
      </w:r>
      <w:r>
        <w:noBreakHyphen/>
      </w:r>
      <w:r>
        <w:t xml:space="preserve">8–12. And because Appellant concedes she was, at best, a licensee at the time of the incident, Appellant had to show that Ms. Taylor willfully or wantonly failed to do so. OCGA § 51</w:t>
      </w:r>
      <w:r>
        <w:noBreakHyphen/>
      </w:r>
      <w:r>
        <w:t xml:space="preserve">3</w:t>
      </w:r>
      <w:r>
        <w:noBreakHyphen/>
      </w:r>
      <w:r>
        <w:t xml:space="preserve">2(b) (“The owner of the premises is liable to a licensee only for willful or wanton injury.”);</w:t>
      </w:r>
      <w:r>
        <w:t xml:space="preserve"> </w:t>
      </w:r>
      <w:r>
        <w:rPr>
          <w:i/>
          <w:iCs/>
        </w:rPr>
        <w:t xml:space="preserve">See Stanton v. Griffin</w:t>
      </w:r>
      <w:r>
        <w:t xml:space="preserve">, 361 Ga. App. 205, 209 (2021) (“A property owner owes a more narrow duty to licensees not to injure them wilfully or wantonly.” (citation omitted)).</w:t>
      </w:r>
    </w:p>
    <w:p>
      <w:pPr>
        <w:pStyle w:val="BodyText"/>
      </w:pPr>
      <w:r>
        <w:t xml:space="preserve">To do so, Appellant had to show, among other things, that Ms. Taylor knew that Mr. Taylor posed a risk</w:t>
      </w:r>
      <w:r>
        <w:t xml:space="preserve"> </w:t>
      </w:r>
      <w:r>
        <w:rPr>
          <w:i/>
          <w:iCs/>
        </w:rPr>
        <w:t xml:space="preserve">and</w:t>
      </w:r>
      <w:r>
        <w:t xml:space="preserve"> </w:t>
      </w:r>
      <w:r>
        <w:t xml:space="preserve">that Appellant did not also know.</w:t>
      </w:r>
      <w:r>
        <w:t xml:space="preserve"> </w:t>
      </w:r>
      <w:r>
        <w:rPr>
          <w:i/>
          <w:iCs/>
        </w:rPr>
        <w:t xml:space="preserve">See Aldridge v. Tillman</w:t>
      </w:r>
      <w:r>
        <w:t xml:space="preserve">, 237 Ga. App. 600, 605 (1999). Nothing suggests Ms. Taylor knew Mr. Taylor would attack Appellant. On the contrary, according to Appellant, the attack happened “without warning.” Appellant Br. at 12. But even if she did, it is undisputed that Appellant knew Mr. Taylor was dangerous:</w:t>
      </w:r>
    </w:p>
    <w:p>
      <w:pPr>
        <w:pStyle w:val="XdQuoteFirst"/>
      </w:pPr>
      <w:r>
        <w:t xml:space="preserve">[QUESTION]: At the time of the accident, did you know that Mr. Taylor was violent?</w:t>
      </w:r>
    </w:p>
    <w:p>
      <w:pPr>
        <w:pStyle w:val="XdQuoteLast"/>
      </w:pPr>
      <w:r>
        <w:t xml:space="preserve">[APPELLANT]: Yes.</w:t>
      </w:r>
    </w:p>
    <w:p>
      <w:pPr>
        <w:pStyle w:val="BodyText"/>
      </w:pPr>
      <w:r>
        <w:t xml:space="preserve">V2</w:t>
      </w:r>
      <w:r>
        <w:noBreakHyphen/>
      </w:r>
      <w:r>
        <w:t xml:space="preserve">109;</w:t>
      </w:r>
      <w:r>
        <w:t xml:space="preserve"> </w:t>
      </w:r>
      <w:r>
        <w:rPr>
          <w:i/>
          <w:iCs/>
        </w:rPr>
        <w:t xml:space="preserve">see</w:t>
      </w:r>
      <w:r>
        <w:t xml:space="preserve"> </w:t>
      </w:r>
      <w:r>
        <w:t xml:space="preserve">V2</w:t>
      </w:r>
      <w:r>
        <w:noBreakHyphen/>
      </w:r>
      <w:r>
        <w:t xml:space="preserve">97–107;</w:t>
      </w:r>
      <w:r>
        <w:t xml:space="preserve"> </w:t>
      </w:r>
      <w:r>
        <w:rPr>
          <w:i/>
          <w:iCs/>
        </w:rPr>
        <w:t xml:space="preserve">see also</w:t>
      </w:r>
      <w:r>
        <w:t xml:space="preserve"> </w:t>
      </w:r>
      <w:r>
        <w:t xml:space="preserve">discussion</w:t>
      </w:r>
      <w:r>
        <w:t xml:space="preserve"> </w:t>
      </w:r>
      <w:r>
        <w:rPr>
          <w:i/>
          <w:iCs/>
        </w:rPr>
        <w:t xml:space="preserve">supra</w:t>
      </w:r>
      <w:r>
        <w:t xml:space="preserve"> </w:t>
      </w:r>
      <w:r>
        <w:t xml:space="preserve">§ I.</w:t>
      </w:r>
    </w:p>
    <w:p>
      <w:pPr>
        <w:pStyle w:val="BodyText"/>
      </w:pPr>
      <w:r>
        <w:t xml:space="preserve">At a minimum, then, Appellant had equal knowledge of the danger Mr. Taylor posed, and her claim fails for this reason, too.</w:t>
      </w:r>
      <w:r>
        <w:t xml:space="preserve"> </w:t>
      </w:r>
      <w:r>
        <w:rPr>
          <w:i/>
          <w:iCs/>
        </w:rPr>
        <w:t xml:space="preserve">See Aldridge</w:t>
      </w:r>
      <w:r>
        <w:t xml:space="preserve">, 237 Ga. App. at 605–606 (summary judgment proper because the plaintiff “had equal, if not superior knowledge, of the dangerous possibility [of an] assault.”);</w:t>
      </w:r>
      <w:r>
        <w:t xml:space="preserve"> </w:t>
      </w:r>
      <w:r>
        <w:rPr>
          <w:i/>
          <w:iCs/>
        </w:rPr>
        <w:t xml:space="preserve">see also Manners v. 5 Star Lodge &amp; Stables, LLC</w:t>
      </w:r>
      <w:r>
        <w:t xml:space="preserve">, 347 Ga. App. 738, 741 (2018) (“Where a licensee has equal knowledge of the dangerous condition or the risks involved, there is no wilful or wanton action on the part of the owner and there is no liability to the licensee.” (citation and internal quotation marks omitted)).</w:t>
      </w:r>
    </w:p>
    <w:p>
      <w:pPr>
        <w:keepNext/>
        <w:keepLines/>
        <w:spacing w:before="480" w:after="320" w:line="322" w:lineRule="exact"/>
        <w:ind w:left="0" w:firstLine="0"/>
        <w:jc w:val="center"/>
      </w:pPr>
      <w:r>
        <w:rPr>
          <w:b/>
          <w:bCs/>
        </w:rPr>
        <w:t xml:space="preserve">CONCLUSION</w:t>
      </w:r>
    </w:p>
    <w:p>
      <w:pPr>
        <w:pStyle w:val="BodyText"/>
      </w:pPr>
      <w:r>
        <w:t xml:space="preserve">This Court should affirm the trial court’s grant of summary judgment to Appellee.</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This</w:t>
            </w:r>
            <w:r>
              <w:t xml:space="preserve"> </w:t>
            </w:r>
            <w:r>
              <w:t xml:space="preserve">submission</w:t>
            </w:r>
            <w:r>
              <w:t xml:space="preserve"> </w:t>
            </w:r>
            <w:r>
              <w:t xml:space="preserve">does</w:t>
            </w:r>
            <w:r>
              <w:t xml:space="preserve"> </w:t>
            </w:r>
            <w:r>
              <w:t xml:space="preserve">not</w:t>
            </w:r>
            <w:r>
              <w:t xml:space="preserve"> </w:t>
            </w:r>
            <w:r>
              <w:t xml:space="preserve">exceed</w:t>
            </w:r>
            <w:r>
              <w:t xml:space="preserve"> </w:t>
            </w:r>
            <w:r>
              <w:t xml:space="preserve">the</w:t>
            </w:r>
            <w:r>
              <w:t xml:space="preserve"> </w:t>
            </w:r>
            <w:r>
              <w:t xml:space="preserve">word</w:t>
            </w:r>
            <w:r>
              <w:t xml:space="preserve"> </w:t>
            </w:r>
            <w:r>
              <w:t xml:space="preserve">count</w:t>
            </w:r>
            <w:r>
              <w:t xml:space="preserve"> </w:t>
            </w:r>
            <w:r>
              <w:t xml:space="preserve">limit</w:t>
            </w:r>
            <w:r>
              <w:t xml:space="preserve"> </w:t>
            </w:r>
            <w:r>
              <w:t xml:space="preserve">imposed</w:t>
            </w:r>
            <w:r>
              <w:t xml:space="preserve"> </w:t>
            </w:r>
            <w:r>
              <w:t xml:space="preserve">by</w:t>
            </w:r>
            <w:r>
              <w:t xml:space="preserve"> </w:t>
            </w:r>
            <w:r>
              <w:t xml:space="preserve">Rule</w:t>
            </w:r>
            <w:r>
              <w:t xml:space="preserve"> </w:t>
            </w:r>
            <w:r>
              <w:t xml:space="preserve">24.</w:t>
            </w:r>
          </w:p>
          <w:p>
            <w:pPr>
              <w:spacing w:before="0" w:after="0" w:line="644" w:lineRule="exact"/>
              <w:ind w:left="0" w:firstLine="720"/>
              <w:jc w:val="left"/>
            </w:pPr>
            <w:r>
              <w:t xml:space="preserve">Respectfully</w:t>
            </w:r>
            <w:r>
              <w:t xml:space="preserve"> </w:t>
            </w:r>
            <w:r>
              <w:t xml:space="preserve">submitted</w:t>
            </w:r>
            <w:r>
              <w:t xml:space="preserve"> </w:t>
            </w:r>
            <w:r>
              <w:t xml:space="preserve">on</w:t>
            </w:r>
            <w:r>
              <w:t xml:space="preserve"> </w:t>
            </w:r>
            <w:r>
              <w:t xml:space="preserve">March</w:t>
            </w:r>
            <w:r>
              <w:t xml:space="preserve"> </w:t>
            </w:r>
            <w:r>
              <w:t xml:space="preserve">11,</w:t>
            </w:r>
            <w:r>
              <w:t xml:space="preserve"> </w:t>
            </w:r>
            <w:r>
              <w:t xml:space="preserve">2026.</w:t>
            </w:r>
          </w:p>
          <w:p>
            <w:pPr>
              <w:spacing w:before="240" w:after="0" w:line="322" w:lineRule="exact"/>
              <w:ind w:left="4608" w:firstLine="0"/>
              <w:jc w:val="left"/>
            </w:pPr>
            <w:r>
              <w:rPr>
                <w:u w:val="single"/>
              </w:rPr>
              <w:t xml:space="preserve">/s/</w:t>
            </w:r>
            <w:r>
              <w:rPr>
                <w:u w:val="single"/>
              </w:rPr>
              <w:t xml:space="preserve"> </w:t>
            </w:r>
            <w:r>
              <w:rPr>
                <w:i/>
                <w:iCs/>
                <w:u w:val="single"/>
              </w:rPr>
              <w:t xml:space="preserve">Austin</w:t>
            </w:r>
            <w:r>
              <w:rPr>
                <w:i/>
                <w:iCs/>
                <w:u w:val="single"/>
              </w:rPr>
              <w:t xml:space="preserve"> </w:t>
            </w:r>
            <w:r>
              <w:rPr>
                <w:i/>
                <w:iCs/>
                <w:u w:val="single"/>
              </w:rPr>
              <w:t xml:space="preserve">Atkinson</w:t>
            </w:r>
          </w:p>
          <w:p>
            <w:pPr>
              <w:spacing w:before="0" w:after="0" w:line="322" w:lineRule="exact"/>
              <w:ind w:left="4608" w:firstLine="0"/>
              <w:jc w:val="left"/>
            </w:pPr>
            <w:r>
              <w:t xml:space="preserve">Austin</w:t>
            </w:r>
            <w:r>
              <w:t xml:space="preserve"> </w:t>
            </w:r>
            <w:r>
              <w:t xml:space="preserve">Atkinson</w:t>
            </w:r>
          </w:p>
          <w:p>
            <w:pPr>
              <w:spacing w:before="0" w:after="0" w:line="322" w:lineRule="exact"/>
              <w:ind w:left="4608" w:firstLine="0"/>
              <w:jc w:val="left"/>
            </w:pPr>
            <w:r>
              <w:t xml:space="preserve">Georgia</w:t>
            </w:r>
            <w:r>
              <w:t xml:space="preserve"> </w:t>
            </w:r>
            <w:r>
              <w:t xml:space="preserve">Bar</w:t>
            </w:r>
            <w:r>
              <w:t xml:space="preserve"> </w:t>
            </w:r>
            <w:r>
              <w:t xml:space="preserve">No.</w:t>
            </w:r>
            <w:r>
              <w:t xml:space="preserve"> </w:t>
            </w:r>
            <w:r>
              <w:t xml:space="preserve">935864</w:t>
            </w:r>
          </w:p>
          <w:p>
            <w:pPr>
              <w:spacing w:before="160" w:after="0" w:line="322" w:lineRule="exact"/>
              <w:ind w:left="4608" w:firstLine="0"/>
              <w:jc w:val="left"/>
            </w:pPr>
            <w:r>
              <w:t xml:space="preserve">M.</w:t>
            </w:r>
            <w:r>
              <w:t xml:space="preserve"> </w:t>
            </w:r>
            <w:r>
              <w:t xml:space="preserve">Blake</w:t>
            </w:r>
            <w:r>
              <w:t xml:space="preserve"> </w:t>
            </w:r>
            <w:r>
              <w:t xml:space="preserve">Walker</w:t>
            </w:r>
          </w:p>
          <w:p>
            <w:pPr>
              <w:spacing w:before="0" w:after="0" w:line="322" w:lineRule="exact"/>
              <w:ind w:left="4608" w:firstLine="0"/>
              <w:jc w:val="left"/>
            </w:pPr>
            <w:r>
              <w:t xml:space="preserve">Georgia</w:t>
            </w:r>
            <w:r>
              <w:t xml:space="preserve"> </w:t>
            </w:r>
            <w:r>
              <w:t xml:space="preserve">Bar</w:t>
            </w:r>
            <w:r>
              <w:t xml:space="preserve"> </w:t>
            </w:r>
            <w:r>
              <w:t xml:space="preserve">No.</w:t>
            </w:r>
            <w:r>
              <w:t xml:space="preserve"> </w:t>
            </w:r>
            <w:r>
              <w:t xml:space="preserve">993236</w:t>
            </w:r>
          </w:p>
          <w:p>
            <w:pPr>
              <w:spacing w:before="0" w:after="0" w:line="322" w:lineRule="exact"/>
              <w:ind w:left="4608" w:firstLine="0"/>
              <w:jc w:val="left"/>
            </w:pPr>
            <w:r>
              <w:t xml:space="preserve">Morgan</w:t>
            </w:r>
            <w:r>
              <w:t xml:space="preserve"> </w:t>
            </w:r>
            <w:r>
              <w:t xml:space="preserve">McClure</w:t>
            </w:r>
          </w:p>
          <w:p>
            <w:pPr>
              <w:spacing w:before="0" w:after="0" w:line="322" w:lineRule="exact"/>
              <w:ind w:left="4608" w:firstLine="0"/>
              <w:jc w:val="left"/>
            </w:pPr>
            <w:r>
              <w:t xml:space="preserve">Georgia</w:t>
            </w:r>
            <w:r>
              <w:t xml:space="preserve"> </w:t>
            </w:r>
            <w:r>
              <w:t xml:space="preserve">Bar</w:t>
            </w:r>
            <w:r>
              <w:t xml:space="preserve"> </w:t>
            </w:r>
            <w:r>
              <w:t xml:space="preserve">No.</w:t>
            </w:r>
            <w:r>
              <w:t xml:space="preserve"> </w:t>
            </w:r>
            <w:r>
              <w:t xml:space="preserve">884372</w:t>
            </w:r>
          </w:p>
          <w:p>
            <w:pPr>
              <w:spacing w:before="0" w:after="0" w:line="322" w:lineRule="exact"/>
              <w:ind w:left="4608" w:firstLine="0"/>
              <w:jc w:val="left"/>
            </w:pPr>
            <w:r>
              <w:t xml:space="preserve">HALL</w:t>
            </w:r>
            <w:r>
              <w:t xml:space="preserve"> </w:t>
            </w:r>
            <w:r>
              <w:t xml:space="preserve">BOOTH</w:t>
            </w:r>
            <w:r>
              <w:t xml:space="preserve"> </w:t>
            </w:r>
            <w:r>
              <w:t xml:space="preserve">SMITH,</w:t>
            </w:r>
            <w:r>
              <w:t xml:space="preserve"> </w:t>
            </w:r>
            <w:r>
              <w:t xml:space="preserve">P.C.</w:t>
            </w:r>
          </w:p>
          <w:p>
            <w:pPr>
              <w:spacing w:before="0" w:after="0" w:line="322" w:lineRule="exact"/>
              <w:ind w:left="4608" w:firstLine="0"/>
              <w:jc w:val="left"/>
            </w:pPr>
            <w:r>
              <w:t xml:space="preserve">191</w:t>
            </w:r>
            <w:r>
              <w:t xml:space="preserve"> </w:t>
            </w:r>
            <w:r>
              <w:t xml:space="preserve">Peachtree</w:t>
            </w:r>
            <w:r>
              <w:t xml:space="preserve"> </w:t>
            </w:r>
            <w:r>
              <w:t xml:space="preserve">St.</w:t>
            </w:r>
            <w:r>
              <w:t xml:space="preserve"> </w:t>
            </w:r>
            <w:r>
              <w:t xml:space="preserve">NE,</w:t>
            </w:r>
            <w:r>
              <w:t xml:space="preserve"> </w:t>
            </w:r>
            <w:r>
              <w:t xml:space="preserve">Suite</w:t>
            </w:r>
            <w:r>
              <w:t xml:space="preserve"> </w:t>
            </w:r>
            <w:r>
              <w:t xml:space="preserve">2900</w:t>
            </w:r>
          </w:p>
          <w:p>
            <w:pPr>
              <w:spacing w:before="0" w:after="0" w:line="322" w:lineRule="exact"/>
              <w:ind w:left="4608" w:firstLine="0"/>
              <w:jc w:val="left"/>
            </w:pPr>
            <w:r>
              <w:t xml:space="preserve">404</w:t>
              <w:noBreakHyphen/>
              <w:t xml:space="preserve">954</w:t>
              <w:noBreakHyphen/>
              <w:t xml:space="preserve">5000</w:t>
            </w:r>
          </w:p>
          <w:p>
            <w:pPr>
              <w:spacing w:before="0" w:after="0" w:line="322" w:lineRule="exact"/>
              <w:ind w:left="4608" w:firstLine="0"/>
              <w:jc w:val="left"/>
            </w:pPr>
            <w:r>
              <w:t xml:space="preserve">aatkinson@hallboothsmith.com</w:t>
            </w:r>
          </w:p>
          <w:p>
            <w:pPr>
              <w:spacing w:before="0" w:after="0" w:line="322" w:lineRule="exact"/>
              <w:ind w:left="4608" w:firstLine="0"/>
              <w:jc w:val="left"/>
            </w:pPr>
            <w:r>
              <w:t xml:space="preserve">bwalker@hallboothsmith.com</w:t>
            </w:r>
          </w:p>
          <w:p>
            <w:pPr>
              <w:spacing w:before="0" w:after="0" w:line="322" w:lineRule="exact"/>
              <w:ind w:left="4608" w:firstLine="0"/>
              <w:jc w:val="left"/>
            </w:pPr>
            <w:r>
              <w:t xml:space="preserve">mmcclure@hallboothsmith.com</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Appellee</w:t>
            </w:r>
          </w:p>
        </w:tc>
      </w:tr>
    </w:tbl>
    <w:p>
      <w:pPr>
        <w:pageBreakBefore/>
        <w:spacing w:before="0" w:after="0" w:line="1" w:lineRule="exact"/>
      </w:pPr>
    </w:p>
    <w:p>
      <w:pPr>
        <w:spacing w:before="0" w:after="32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there</w:t>
      </w:r>
      <w:r>
        <w:t xml:space="preserve"> </w:t>
      </w:r>
      <w:r>
        <w:t xml:space="preserve">is</w:t>
      </w:r>
      <w:r>
        <w:t xml:space="preserve"> </w:t>
      </w:r>
      <w:r>
        <w:t xml:space="preserve">a</w:t>
      </w:r>
      <w:r>
        <w:t xml:space="preserve"> </w:t>
      </w:r>
      <w:r>
        <w:t xml:space="preserve">prior</w:t>
      </w:r>
      <w:r>
        <w:t xml:space="preserve"> </w:t>
      </w:r>
      <w:r>
        <w:t xml:space="preserve">agreement</w:t>
      </w:r>
      <w:r>
        <w:t xml:space="preserve"> </w:t>
      </w:r>
      <w:r>
        <w:t xml:space="preserve">with</w:t>
      </w:r>
      <w:r>
        <w:t xml:space="preserve"> </w:t>
      </w:r>
      <w:r>
        <w:t xml:space="preserve">Jody</w:t>
      </w:r>
      <w:r>
        <w:t xml:space="preserve"> </w:t>
      </w:r>
      <w:r>
        <w:t xml:space="preserve">D.</w:t>
      </w:r>
      <w:r>
        <w:t xml:space="preserve"> </w:t>
      </w:r>
      <w:r>
        <w:t xml:space="preserve">Peterman,</w:t>
      </w:r>
      <w:r>
        <w:t xml:space="preserve"> </w:t>
      </w:r>
      <w:r>
        <w:t xml:space="preserve">LLC</w:t>
      </w:r>
      <w:r>
        <w:t xml:space="preserve"> </w:t>
      </w:r>
      <w:r>
        <w:t xml:space="preserve">to</w:t>
      </w:r>
      <w:r>
        <w:t xml:space="preserve"> </w:t>
      </w:r>
      <w:r>
        <w:t xml:space="preserve">allow</w:t>
      </w:r>
      <w:r>
        <w:t xml:space="preserve"> </w:t>
      </w:r>
      <w:r>
        <w:t xml:space="preserve">documents</w:t>
      </w:r>
      <w:r>
        <w:t xml:space="preserve"> </w:t>
      </w:r>
      <w:r>
        <w:t xml:space="preserve">in</w:t>
      </w:r>
      <w:r>
        <w:t xml:space="preserve"> </w:t>
      </w:r>
      <w:r>
        <w:t xml:space="preserve">a</w:t>
      </w:r>
      <w:r>
        <w:t xml:space="preserve"> </w:t>
      </w:r>
      <w:r>
        <w:t xml:space="preserve">PDF</w:t>
      </w:r>
      <w:r>
        <w:t xml:space="preserve"> </w:t>
      </w:r>
      <w:r>
        <w:t xml:space="preserve">format</w:t>
      </w:r>
      <w:r>
        <w:t xml:space="preserve"> </w:t>
      </w:r>
      <w:r>
        <w:t xml:space="preserve">sent</w:t>
      </w:r>
      <w:r>
        <w:t xml:space="preserve"> </w:t>
      </w:r>
      <w:r>
        <w:t xml:space="preserve">via</w:t>
      </w:r>
      <w:r>
        <w:t xml:space="preserve"> </w:t>
      </w:r>
      <w:r>
        <w:t xml:space="preserve">email</w:t>
      </w:r>
      <w:r>
        <w:t xml:space="preserve"> </w:t>
      </w:r>
      <w:r>
        <w:t xml:space="preserve">to</w:t>
      </w:r>
      <w:r>
        <w:t xml:space="preserve"> </w:t>
      </w:r>
      <w:r>
        <w:t xml:space="preserve">suffice</w:t>
      </w:r>
      <w:r>
        <w:t xml:space="preserve"> </w:t>
      </w:r>
      <w:r>
        <w:t xml:space="preserve">for</w:t>
      </w:r>
      <w:r>
        <w:t xml:space="preserve"> </w:t>
      </w:r>
      <w:r>
        <w:t xml:space="preserve">service.</w:t>
      </w:r>
      <w:r>
        <w:t xml:space="preserve"> </w:t>
      </w:r>
      <w:r>
        <w:t xml:space="preserve">And</w:t>
      </w:r>
      <w:r>
        <w:t xml:space="preserve"> </w:t>
      </w:r>
      <w:r>
        <w:t xml:space="preserve">I</w:t>
      </w:r>
      <w:r>
        <w:t xml:space="preserve"> </w:t>
      </w:r>
      <w:r>
        <w:t xml:space="preserve">certify</w:t>
      </w:r>
      <w:r>
        <w:t xml:space="preserve"> </w:t>
      </w:r>
      <w:r>
        <w:t xml:space="preserve">that,</w:t>
      </w:r>
      <w:r>
        <w:t xml:space="preserve"> </w:t>
      </w:r>
      <w:r>
        <w:t xml:space="preserve">on</w:t>
      </w:r>
      <w:r>
        <w:t xml:space="preserve"> </w:t>
      </w:r>
      <w:r>
        <w:t xml:space="preserve">March</w:t>
      </w:r>
      <w:r>
        <w:t xml:space="preserve"> </w:t>
      </w:r>
      <w:r>
        <w:t xml:space="preserve">11,</w:t>
      </w:r>
      <w:r>
        <w:t xml:space="preserve"> </w:t>
      </w:r>
      <w:r>
        <w:t xml:space="preserve">2026,</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this</w:t>
      </w:r>
      <w:r>
        <w:t xml:space="preserve"> </w:t>
      </w:r>
      <w:r>
        <w:t xml:space="preserve">filing</w:t>
      </w:r>
      <w:r>
        <w:t xml:space="preserve"> </w:t>
      </w:r>
      <w:r>
        <w:t xml:space="preserve">on</w:t>
      </w:r>
      <w:r>
        <w:t xml:space="preserve"> </w:t>
      </w:r>
      <w:r>
        <w:t xml:space="preserve">opposing</w:t>
      </w:r>
      <w:r>
        <w:t xml:space="preserve"> </w:t>
      </w:r>
      <w:r>
        <w:t xml:space="preserve">counsel</w:t>
      </w:r>
      <w:r>
        <w:t xml:space="preserve"> </w:t>
      </w:r>
      <w:r>
        <w:t xml:space="preserve">via</w:t>
      </w:r>
      <w:r>
        <w:t xml:space="preserve"> </w:t>
      </w:r>
      <w:r>
        <w:t xml:space="preserve">email</w:t>
      </w:r>
      <w:r>
        <w:t xml:space="preserve"> </w:t>
      </w:r>
      <w:r>
        <w:t xml:space="preserve">as</w:t>
      </w:r>
      <w:r>
        <w:t xml:space="preserve"> </w:t>
      </w:r>
      <w:r>
        <w:t xml:space="preserve">follows:</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Jody</w:t>
            </w:r>
            <w:r>
              <w:t xml:space="preserve"> </w:t>
            </w:r>
            <w:r>
              <w:t xml:space="preserve">Peterman</w:t>
            </w:r>
          </w:p>
          <w:p>
            <w:pPr>
              <w:spacing w:before="0" w:after="0" w:line="322" w:lineRule="exact"/>
              <w:ind w:left="1440" w:firstLine="0"/>
              <w:jc w:val="left"/>
            </w:pPr>
            <w:r>
              <w:t xml:space="preserve">Michael</w:t>
            </w:r>
            <w:r>
              <w:t xml:space="preserve"> </w:t>
            </w:r>
            <w:r>
              <w:t xml:space="preserve">Burke</w:t>
            </w:r>
          </w:p>
          <w:p>
            <w:pPr>
              <w:spacing w:before="0" w:after="0" w:line="322" w:lineRule="exact"/>
              <w:ind w:left="1440" w:firstLine="0"/>
              <w:jc w:val="left"/>
            </w:pPr>
            <w:r>
              <w:t xml:space="preserve">Stephen</w:t>
            </w:r>
            <w:r>
              <w:t xml:space="preserve"> </w:t>
            </w:r>
            <w:r>
              <w:t xml:space="preserve">Delk</w:t>
            </w:r>
          </w:p>
          <w:p>
            <w:pPr>
              <w:spacing w:before="0" w:after="0" w:line="322" w:lineRule="exact"/>
              <w:ind w:left="1440" w:firstLine="0"/>
              <w:jc w:val="left"/>
            </w:pPr>
            <w:r>
              <w:t xml:space="preserve">304</w:t>
            </w:r>
            <w:r>
              <w:t xml:space="preserve"> </w:t>
            </w:r>
            <w:r>
              <w:t xml:space="preserve">N.</w:t>
            </w:r>
            <w:r>
              <w:t xml:space="preserve"> </w:t>
            </w:r>
            <w:r>
              <w:t xml:space="preserve">Ashley</w:t>
            </w:r>
            <w:r>
              <w:t xml:space="preserve"> </w:t>
            </w:r>
            <w:r>
              <w:t xml:space="preserve">Street</w:t>
            </w:r>
          </w:p>
          <w:p>
            <w:pPr>
              <w:spacing w:before="0" w:after="0" w:line="322" w:lineRule="exact"/>
              <w:ind w:left="1440" w:firstLine="0"/>
              <w:jc w:val="left"/>
            </w:pPr>
            <w:r>
              <w:t xml:space="preserve">Valdosta,</w:t>
            </w:r>
            <w:r>
              <w:t xml:space="preserve"> </w:t>
            </w:r>
            <w:r>
              <w:t xml:space="preserve">Georgia</w:t>
            </w:r>
            <w:r>
              <w:t xml:space="preserve"> </w:t>
            </w:r>
            <w:r>
              <w:t xml:space="preserve">31601</w:t>
            </w:r>
          </w:p>
          <w:p>
            <w:pPr>
              <w:spacing w:before="0" w:after="0" w:line="322" w:lineRule="exact"/>
              <w:ind w:left="1440" w:firstLine="0"/>
              <w:jc w:val="left"/>
            </w:pPr>
            <w:r>
              <w:t xml:space="preserve">229</w:t>
              <w:noBreakHyphen/>
              <w:t xml:space="preserve">247</w:t>
              <w:noBreakHyphen/>
              <w:t xml:space="preserve">0386</w:t>
            </w:r>
          </w:p>
          <w:p>
            <w:pPr>
              <w:spacing w:before="0" w:after="0" w:line="322" w:lineRule="exact"/>
              <w:ind w:left="1440" w:firstLine="0"/>
              <w:jc w:val="left"/>
            </w:pPr>
            <w:r>
              <w:t xml:space="preserve">petermanlawoffice@yahoo.com</w:t>
            </w:r>
          </w:p>
          <w:p>
            <w:pPr>
              <w:spacing w:before="0" w:after="0" w:line="322" w:lineRule="exact"/>
              <w:ind w:left="1440" w:firstLine="0"/>
              <w:jc w:val="left"/>
            </w:pPr>
            <w:r>
              <w:t xml:space="preserve">mburke.petermanlaw@gmail.com</w:t>
            </w:r>
          </w:p>
          <w:p>
            <w:pPr>
              <w:spacing w:before="0" w:after="0" w:line="322" w:lineRule="exact"/>
              <w:ind w:left="1440" w:firstLine="0"/>
              <w:jc w:val="left"/>
            </w:pPr>
            <w:r>
              <w:t xml:space="preserve">sddelk.petermanlaw@gmail.com</w:t>
            </w:r>
          </w:p>
        </w:tc>
      </w:tr>
    </w:tbl>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40" w:after="0" w:line="322" w:lineRule="exact"/>
              <w:ind w:left="4608" w:firstLine="0"/>
              <w:jc w:val="left"/>
            </w:pPr>
            <w:r>
              <w:rPr>
                <w:u w:val="single"/>
              </w:rPr>
              <w:t xml:space="preserve">/s/</w:t>
            </w:r>
            <w:r>
              <w:rPr>
                <w:u w:val="single"/>
              </w:rPr>
              <w:t xml:space="preserve"> </w:t>
            </w:r>
            <w:r>
              <w:rPr>
                <w:i/>
                <w:iCs/>
                <w:u w:val="single"/>
              </w:rPr>
              <w:t xml:space="preserve">Austin</w:t>
            </w:r>
            <w:r>
              <w:rPr>
                <w:i/>
                <w:iCs/>
                <w:u w:val="single"/>
              </w:rPr>
              <w:t xml:space="preserve"> </w:t>
            </w:r>
            <w:r>
              <w:rPr>
                <w:i/>
                <w:iCs/>
                <w:u w:val="single"/>
              </w:rPr>
              <w:t xml:space="preserve">Atkinson</w:t>
            </w:r>
          </w:p>
          <w:p>
            <w:pPr>
              <w:spacing w:before="0" w:after="0" w:line="322" w:lineRule="exact"/>
              <w:ind w:left="4608" w:firstLine="0"/>
              <w:jc w:val="left"/>
            </w:pPr>
            <w:r>
              <w:t xml:space="preserve">Austin</w:t>
            </w:r>
            <w:r>
              <w:t xml:space="preserve"> </w:t>
            </w:r>
            <w:r>
              <w:t xml:space="preserve">Atkinson</w:t>
            </w:r>
          </w:p>
          <w:p>
            <w:pPr>
              <w:spacing w:before="0" w:after="0" w:line="322" w:lineRule="exact"/>
              <w:ind w:left="4608" w:firstLine="0"/>
              <w:jc w:val="left"/>
            </w:pPr>
            <w:r>
              <w:t xml:space="preserve">Georgia</w:t>
            </w:r>
            <w:r>
              <w:t xml:space="preserve"> </w:t>
            </w:r>
            <w:r>
              <w:t xml:space="preserve">Bar</w:t>
            </w:r>
            <w:r>
              <w:t xml:space="preserve"> </w:t>
            </w:r>
            <w:r>
              <w:t xml:space="preserve">No.</w:t>
            </w:r>
            <w:r>
              <w:t xml:space="preserve"> </w:t>
            </w:r>
            <w:r>
              <w:t xml:space="preserve">935864</w:t>
            </w:r>
          </w:p>
          <w:p>
            <w:pPr>
              <w:spacing w:before="160" w:after="0" w:line="322" w:lineRule="exact"/>
              <w:ind w:left="4608" w:firstLine="0"/>
              <w:jc w:val="left"/>
            </w:pPr>
            <w:r>
              <w:t xml:space="preserve">M.</w:t>
            </w:r>
            <w:r>
              <w:t xml:space="preserve"> </w:t>
            </w:r>
            <w:r>
              <w:t xml:space="preserve">Blake</w:t>
            </w:r>
            <w:r>
              <w:t xml:space="preserve"> </w:t>
            </w:r>
            <w:r>
              <w:t xml:space="preserve">Walker</w:t>
            </w:r>
          </w:p>
          <w:p>
            <w:pPr>
              <w:spacing w:before="0" w:after="0" w:line="322" w:lineRule="exact"/>
              <w:ind w:left="4608" w:firstLine="0"/>
              <w:jc w:val="left"/>
            </w:pPr>
            <w:r>
              <w:t xml:space="preserve">Georgia</w:t>
            </w:r>
            <w:r>
              <w:t xml:space="preserve"> </w:t>
            </w:r>
            <w:r>
              <w:t xml:space="preserve">Bar</w:t>
            </w:r>
            <w:r>
              <w:t xml:space="preserve"> </w:t>
            </w:r>
            <w:r>
              <w:t xml:space="preserve">No.</w:t>
            </w:r>
            <w:r>
              <w:t xml:space="preserve"> </w:t>
            </w:r>
            <w:r>
              <w:t xml:space="preserve">993236</w:t>
            </w:r>
          </w:p>
          <w:p>
            <w:pPr>
              <w:spacing w:before="0" w:after="0" w:line="322" w:lineRule="exact"/>
              <w:ind w:left="4608" w:firstLine="0"/>
              <w:jc w:val="left"/>
            </w:pPr>
            <w:r>
              <w:t xml:space="preserve">Morgan</w:t>
            </w:r>
            <w:r>
              <w:t xml:space="preserve"> </w:t>
            </w:r>
            <w:r>
              <w:t xml:space="preserve">McClure</w:t>
            </w:r>
          </w:p>
          <w:p>
            <w:pPr>
              <w:spacing w:before="0" w:after="0" w:line="322" w:lineRule="exact"/>
              <w:ind w:left="4608" w:firstLine="0"/>
              <w:jc w:val="left"/>
            </w:pPr>
            <w:r>
              <w:t xml:space="preserve">Georgia</w:t>
            </w:r>
            <w:r>
              <w:t xml:space="preserve"> </w:t>
            </w:r>
            <w:r>
              <w:t xml:space="preserve">Bar</w:t>
            </w:r>
            <w:r>
              <w:t xml:space="preserve"> </w:t>
            </w:r>
            <w:r>
              <w:t xml:space="preserve">No.</w:t>
            </w:r>
            <w:r>
              <w:t xml:space="preserve"> </w:t>
            </w:r>
            <w:r>
              <w:t xml:space="preserve">884372</w:t>
            </w:r>
          </w:p>
          <w:p>
            <w:pPr>
              <w:spacing w:before="0" w:after="0" w:line="322" w:lineRule="exact"/>
              <w:ind w:left="4608" w:firstLine="0"/>
              <w:jc w:val="left"/>
            </w:pPr>
            <w:r>
              <w:t xml:space="preserve">HALL</w:t>
            </w:r>
            <w:r>
              <w:t xml:space="preserve"> </w:t>
            </w:r>
            <w:r>
              <w:t xml:space="preserve">BOOTH</w:t>
            </w:r>
            <w:r>
              <w:t xml:space="preserve"> </w:t>
            </w:r>
            <w:r>
              <w:t xml:space="preserve">SMITH,</w:t>
            </w:r>
            <w:r>
              <w:t xml:space="preserve"> </w:t>
            </w:r>
            <w:r>
              <w:t xml:space="preserve">P.C.</w:t>
            </w:r>
          </w:p>
          <w:p>
            <w:pPr>
              <w:spacing w:before="0" w:after="0" w:line="322" w:lineRule="exact"/>
              <w:ind w:left="4608" w:firstLine="0"/>
              <w:jc w:val="left"/>
            </w:pPr>
            <w:r>
              <w:t xml:space="preserve">191</w:t>
            </w:r>
            <w:r>
              <w:t xml:space="preserve"> </w:t>
            </w:r>
            <w:r>
              <w:t xml:space="preserve">Peachtree</w:t>
            </w:r>
            <w:r>
              <w:t xml:space="preserve"> </w:t>
            </w:r>
            <w:r>
              <w:t xml:space="preserve">St.</w:t>
            </w:r>
            <w:r>
              <w:t xml:space="preserve"> </w:t>
            </w:r>
            <w:r>
              <w:t xml:space="preserve">NE,</w:t>
            </w:r>
            <w:r>
              <w:t xml:space="preserve"> </w:t>
            </w:r>
            <w:r>
              <w:t xml:space="preserve">Suite</w:t>
            </w:r>
            <w:r>
              <w:t xml:space="preserve"> </w:t>
            </w:r>
            <w:r>
              <w:t xml:space="preserve">2900</w:t>
            </w:r>
          </w:p>
          <w:p>
            <w:pPr>
              <w:spacing w:before="0" w:after="0" w:line="322" w:lineRule="exact"/>
              <w:ind w:left="4608" w:firstLine="0"/>
              <w:jc w:val="left"/>
            </w:pPr>
            <w:r>
              <w:t xml:space="preserve">404</w:t>
              <w:noBreakHyphen/>
              <w:t xml:space="preserve">954</w:t>
              <w:noBreakHyphen/>
              <w:t xml:space="preserve">5000</w:t>
            </w:r>
          </w:p>
          <w:p>
            <w:pPr>
              <w:spacing w:before="0" w:after="0" w:line="322" w:lineRule="exact"/>
              <w:ind w:left="4608" w:firstLine="0"/>
              <w:jc w:val="left"/>
            </w:pPr>
            <w:r>
              <w:t xml:space="preserve">aatkinson@hallboothsmith.com</w:t>
            </w:r>
          </w:p>
          <w:p>
            <w:pPr>
              <w:spacing w:before="0" w:after="0" w:line="322" w:lineRule="exact"/>
              <w:ind w:left="4608" w:firstLine="0"/>
              <w:jc w:val="left"/>
            </w:pPr>
            <w:r>
              <w:t xml:space="preserve">bwalker@hallboothsmith.com</w:t>
            </w:r>
          </w:p>
          <w:p>
            <w:pPr>
              <w:spacing w:before="0" w:after="0" w:line="322" w:lineRule="exact"/>
              <w:ind w:left="4608" w:firstLine="0"/>
              <w:jc w:val="left"/>
            </w:pPr>
            <w:r>
              <w:t xml:space="preserve">mmcclure@hallboothsmith.com</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Appellee</w:t>
            </w:r>
          </w:p>
        </w:tc>
      </w:tr>
    </w:tbl>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Ms. Taylor has passed away, so Appellant has named Ms. Taylor’s estate. V2</w:t>
      </w:r>
      <w:r>
        <w:noBreakHyphen/>
      </w:r>
      <w:r>
        <w:t xml:space="preserve">10. Ms. Taylor’s estate is represented by Kaye Smith.</w:t>
      </w:r>
    </w:p>
  </w:footnote>
  <w:footnote w:id="10">
    <w:p>
      <w:pPr>
        <w:pStyle w:val="FootnoteText"/>
      </w:pPr>
      <w:r>
        <w:rPr>
          <w:rStyle w:val="FootnoteReference"/>
        </w:rPr>
        <w:footnoteRef/>
      </w:r>
      <w:r>
        <w:t xml:space="preserve"> </w:t>
      </w:r>
      <w:r>
        <w:t xml:space="preserve">Appellant also suggests the “sudden-emergency” doctrine applies. Appellant Br. at 14–15. It does not. Under the sudden-emergency doctrine, “one who in a sudden emergency acts according to his best judgment or, because of want of time in which to form a judgment, acts in the most judicious manner, is not chargeable with negligence.”</w:t>
      </w:r>
      <w:r>
        <w:t xml:space="preserve"> </w:t>
      </w:r>
      <w:r>
        <w:rPr>
          <w:i/>
          <w:iCs/>
        </w:rPr>
        <w:t xml:space="preserve">Willis v. Love</w:t>
      </w:r>
      <w:r>
        <w:t xml:space="preserve">, 232 Ga. App. 543, 545 (1998). It is thus almost always raised by defendants. Indeed, the only time a plaintiff may rely on the doctrine when he or she is rebutting a defense of comparative negligence.</w:t>
      </w:r>
      <w:r>
        <w:t xml:space="preserve"> </w:t>
      </w:r>
      <w:r>
        <w:rPr>
          <w:i/>
          <w:iCs/>
        </w:rPr>
        <w:t xml:space="preserve">See Buford v. Benton</w:t>
      </w:r>
      <w:r>
        <w:t xml:space="preserve">, 232 Ga. App. 102, 103 (1998). It has no relevance to whether a plaintiff assumed a known risk.</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6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322" w:after="322" w:line="322" w:lineRule="exact"/>
      <w:ind w:left="720" w:right="720" w:firstLine="0"/>
    </w:pPr>
  </w:style>
  <w:style w:type="paragraph" w:customStyle="1" w:styleId="XdQuoteFirst">
    <w:name w:val="Xd Quote First"/>
    <w:basedOn w:val="Normal"/>
    <w:qFormat/>
    <w:pPr>
      <w:spacing w:before="322" w:after="322" w:line="322" w:lineRule="exact"/>
      <w:ind w:left="720" w:right="720" w:firstLine="0"/>
    </w:pPr>
  </w:style>
  <w:style w:type="paragraph" w:customStyle="1" w:styleId="XdQuoteLast">
    <w:name w:val="Xd Quote Last"/>
    <w:basedOn w:val="Normal"/>
    <w:qFormat/>
    <w:pPr>
      <w:spacing w:before="322" w:after="322" w:line="322" w:lineRule="exact"/>
      <w:ind w:left="720" w:right="720" w:firstLine="0"/>
    </w:pPr>
  </w:style>
  <w:style w:type="paragraph" w:customStyle="1" w:styleId="XdQuoteOnly">
    <w:name w:val="Xd Quote Only"/>
    <w:basedOn w:val="Normal"/>
    <w:qFormat/>
    <w:pPr>
      <w:spacing w:before="322" w:after="322"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