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Centered"/>
      </w:pPr>
      <w:r>
        <w:rPr>
          <w:b/>
        </w:rPr>
        <w:t xml:space="preserve">No. </w:t>
      </w:r>
      <w:r>
        <w:t xml:space="preserve">22</w:t>
      </w:r>
      <w:r>
        <w:noBreakHyphen/>
      </w:r>
      <w:r>
        <w:t xml:space="preserve">2830</w:t>
      </w:r>
    </w:p>
    <w:p>
      <w:pPr>
        <w:pStyle w:val="CADoubleRule"/>
      </w:pPr>
    </w:p>
    <w:p>
      <w:pPr>
        <w:pStyle w:val="CACoverCourt"/>
      </w:pPr>
      <w:r>
        <w:rPr>
          <w:b/>
        </w:rPr>
        <w:t xml:space="preserve">IN THE UNITED STATES COURT OF APPEALS</w:t>
      </w:r>
      <w:r>
        <w:br/>
      </w:r>
      <w:r>
        <w:rPr>
          <w:b/>
        </w:rPr>
        <w:t xml:space="preserve">FOR THE SEVENTH CIRCUIT</w:t>
      </w:r>
    </w:p>
    <w:p>
      <w:pPr>
        <w:pStyle w:val="CARule"/>
      </w:pPr>
    </w:p>
    <w:p>
      <w:pPr>
        <w:pStyle w:val="CACentered"/>
      </w:pPr>
      <w:r>
        <w:t xml:space="preserve">Norberto</w:t>
      </w:r>
      <w:r>
        <w:t xml:space="preserve"> </w:t>
      </w:r>
      <w:r>
        <w:t xml:space="preserve">Torres</w:t>
      </w:r>
    </w:p>
    <w:p>
      <w:pPr>
        <w:pStyle w:val="CACaption"/>
      </w:pPr>
      <w:r>
        <w:t xml:space="preserve">Plaintiff-Appellant,</w:t>
      </w:r>
    </w:p>
    <w:p>
      <w:pPr>
        <w:pStyle w:val="CACentered"/>
      </w:pPr>
      <w:r>
        <w:t xml:space="preserve">v.</w:t>
      </w:r>
    </w:p>
    <w:p>
      <w:pPr>
        <w:pStyle w:val="CACentered"/>
      </w:pPr>
      <w:r>
        <w:t xml:space="preserve">Kent</w:t>
      </w:r>
      <w:r>
        <w:t xml:space="preserve"> </w:t>
      </w:r>
      <w:r>
        <w:t xml:space="preserve">Brookman,</w:t>
      </w:r>
      <w:r>
        <w:t xml:space="preserve"> </w:t>
      </w:r>
      <w:r>
        <w:rPr>
          <w:i/>
        </w:rPr>
        <w:t xml:space="preserve">et</w:t>
      </w:r>
      <w:r>
        <w:rPr>
          <w:i/>
        </w:rPr>
        <w:t xml:space="preserve"> </w:t>
      </w:r>
      <w:r>
        <w:rPr>
          <w:i/>
        </w:rPr>
        <w:t xml:space="preserve">al.</w:t>
      </w:r>
    </w:p>
    <w:p>
      <w:pPr>
        <w:pStyle w:val="CACaption"/>
      </w:pPr>
      <w:r>
        <w:t xml:space="preserve">Defendants-Appellees.</w:t>
      </w:r>
    </w:p>
    <w:p>
      <w:pPr>
        <w:pStyle w:val="CARule"/>
      </w:pPr>
    </w:p>
    <w:p>
      <w:pPr>
        <w:pStyle w:val="CACentered"/>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Southern</w:t>
      </w:r>
      <w:r>
        <w:t xml:space="preserve"> </w:t>
      </w:r>
      <w:r>
        <w:t xml:space="preserve">District</w:t>
      </w:r>
      <w:r>
        <w:t xml:space="preserve"> </w:t>
      </w:r>
      <w:r>
        <w:t xml:space="preserve">of</w:t>
      </w:r>
      <w:r>
        <w:t xml:space="preserve"> </w:t>
      </w:r>
      <w:r>
        <w:t xml:space="preserve">Illinois</w:t>
      </w:r>
    </w:p>
    <w:p>
      <w:pPr>
        <w:pStyle w:val="CACentered"/>
      </w:pPr>
      <w:r>
        <w:t xml:space="preserve">No.</w:t>
      </w:r>
      <w:r>
        <w:t xml:space="preserve"> </w:t>
      </w:r>
      <w:r>
        <w:t xml:space="preserve">3:19-cv</w:t>
      </w:r>
      <w:r>
        <w:noBreakHyphen/>
      </w:r>
      <w:r>
        <w:t xml:space="preserve">00248</w:t>
      </w:r>
      <w:r>
        <w:t xml:space="preserve">; </w:t>
      </w:r>
      <w:r>
        <w:t xml:space="preserve">Hon.</w:t>
      </w:r>
      <w:r>
        <w:t xml:space="preserve"> </w:t>
      </w:r>
      <w:r>
        <w:t xml:space="preserve">Stephen</w:t>
      </w:r>
      <w:r>
        <w:t xml:space="preserve"> </w:t>
      </w:r>
      <w:r>
        <w:t xml:space="preserve">P.</w:t>
      </w:r>
      <w:r>
        <w:t xml:space="preserve"> </w:t>
      </w:r>
      <w:r>
        <w:t xml:space="preserve">McGlynn</w:t>
      </w:r>
    </w:p>
    <w:p>
      <w:pPr>
        <w:pStyle w:val="CARule"/>
      </w:pPr>
    </w:p>
    <w:p>
      <w:pPr>
        <w:pStyle w:val="CACentered"/>
      </w:pPr>
      <w:r>
        <w:rPr>
          <w:b/>
        </w:rPr>
        <w:t xml:space="preserve">BRIEF</w:t>
      </w:r>
      <w:r>
        <w:rPr>
          <w:b/>
        </w:rPr>
        <w:t xml:space="preserve"> </w:t>
      </w:r>
      <w:r>
        <w:rPr>
          <w:b/>
        </w:rPr>
        <w:t xml:space="preserve">OF</w:t>
      </w:r>
      <w:r>
        <w:rPr>
          <w:b/>
        </w:rPr>
        <w:t xml:space="preserve"> </w:t>
      </w:r>
      <w:r>
        <w:rPr>
          <w:b/>
        </w:rPr>
        <w:t xml:space="preserve">APPELLANT</w:t>
      </w:r>
    </w:p>
    <w:p>
      <w:pPr>
        <w:pStyle w:val="CARule"/>
      </w:pPr>
    </w:p>
    <w:p>
      <w:pPr>
        <w:pStyle w:val="CAGap"/>
      </w:pPr>
    </w:p>
    <w:tbl>
      <w:tblPr>
        <w:tblW w:w="9360" w:type="dxa"/>
        <w:tblBorders>
          <w:top w:val="nil"/>
          <w:left w:val="nil"/>
          <w:bottom w:val="nil"/>
          <w:right w:val="nil"/>
          <w:insideH w:val="nil"/>
          <w:insideV w:val="nil"/>
        </w:tblBorders>
        <w:tblLayout w:type="fixed"/>
        <w:tblCellMar>
          <w:left w:w="0" w:type="dxa"/>
          <w:right w:w="0" w:type="dxa"/>
        </w:tblCellMar>
      </w:tblPr>
      <w:tblGrid>
        <w:gridCol w:w="4820"/>
        <w:gridCol w:w="4540"/>
      </w:tblGrid>
      <w:tr>
        <w:trPr>
          <w:cantSplit/>
        </w:trPr>
        <w:tc>
          <w:tcPr>
            <w:tcW w:w="4820" w:type="dxa"/>
            <w:tcMar>
              <w:right w:w="280" w:type="dxa"/>
            </w:tcMar>
          </w:tcPr>
          <w:p>
            <w:pPr>
              <w:pStyle w:val="CACounsel"/>
              <w:keepNext/>
            </w:pPr>
            <w:r>
              <w:t xml:space="preserve">Samuel</w:t>
            </w:r>
            <w:r>
              <w:t xml:space="preserve"> </w:t>
            </w:r>
            <w:r>
              <w:t xml:space="preserve">Weiss</w:t>
            </w:r>
          </w:p>
          <w:p>
            <w:pPr>
              <w:pStyle w:val="CACounsel"/>
              <w:keepNext/>
              <w:ind w:left="140" w:firstLine="0"/>
            </w:pPr>
            <w:r>
              <w:t xml:space="preserve">RIGHTS</w:t>
            </w:r>
            <w:r>
              <w:t xml:space="preserve"> </w:t>
            </w:r>
            <w:r>
              <w:t xml:space="preserve">BEHIND</w:t>
            </w:r>
            <w:r>
              <w:t xml:space="preserve"> </w:t>
            </w:r>
            <w:r>
              <w:t xml:space="preserve">BARS</w:t>
            </w:r>
          </w:p>
          <w:p>
            <w:pPr>
              <w:pStyle w:val="CACounsel"/>
              <w:keepNext/>
              <w:ind w:left="140" w:firstLine="0"/>
            </w:pPr>
            <w:r>
              <w:t xml:space="preserve">416</w:t>
            </w:r>
            <w:r>
              <w:t xml:space="preserve"> </w:t>
            </w:r>
            <w:r>
              <w:t xml:space="preserve">Florida</w:t>
            </w:r>
            <w:r>
              <w:t xml:space="preserve"> </w:t>
            </w:r>
            <w:r>
              <w:t xml:space="preserve">Ave.,</w:t>
            </w:r>
            <w:r>
              <w:t xml:space="preserve"> </w:t>
            </w:r>
            <w:r>
              <w:t xml:space="preserve">N.W.</w:t>
            </w:r>
          </w:p>
          <w:p>
            <w:pPr>
              <w:pStyle w:val="CACounsel"/>
              <w:keepNext/>
              <w:ind w:left="140" w:firstLine="0"/>
            </w:pPr>
            <w:r>
              <w:t xml:space="preserve">Washington,</w:t>
            </w:r>
            <w:r>
              <w:t xml:space="preserve"> </w:t>
            </w:r>
            <w:r>
              <w:t xml:space="preserve">DC</w:t>
            </w:r>
            <w:r>
              <w:t xml:space="preserve"> </w:t>
            </w:r>
            <w:r>
              <w:t xml:space="preserve">20001</w:t>
            </w:r>
          </w:p>
          <w:p>
            <w:pPr>
              <w:pStyle w:val="CACounsel"/>
              <w:keepNext/>
              <w:ind w:left="140" w:firstLine="0"/>
            </w:pPr>
            <w:r>
              <w:t xml:space="preserve">(202)</w:t>
            </w:r>
            <w:r>
              <w:t xml:space="preserve"> </w:t>
            </w:r>
            <w:r>
              <w:t xml:space="preserve">455</w:t>
            </w:r>
            <w:r>
              <w:noBreakHyphen/>
            </w:r>
            <w:r>
              <w:t xml:space="preserve">4399</w:t>
            </w:r>
          </w:p>
        </w:tc>
        <w:tc>
          <w:tcPr>
            <w:tcW w:w="4540" w:type="dxa"/>
            <w:tcMar>
              <w:right w:w="0" w:type="dxa"/>
            </w:tcMar>
          </w:tcPr>
          <w:p>
            <w:pPr>
              <w:pStyle w:val="CACounsel"/>
              <w:keepNext/>
            </w:pPr>
            <w:r>
              <w:t xml:space="preserve">Matthew</w:t>
            </w:r>
            <w:r>
              <w:t xml:space="preserve"> </w:t>
            </w:r>
            <w:r>
              <w:t xml:space="preserve">L.</w:t>
            </w:r>
            <w:r>
              <w:t xml:space="preserve"> </w:t>
            </w:r>
            <w:r>
              <w:t xml:space="preserve">Farley</w:t>
            </w:r>
          </w:p>
          <w:p>
            <w:pPr>
              <w:pStyle w:val="CACounsel"/>
              <w:keepNext/>
              <w:ind w:left="140" w:firstLine="0"/>
            </w:pPr>
            <w:r>
              <w:t xml:space="preserve">ARNOLD</w:t>
            </w:r>
            <w:r>
              <w:t xml:space="preserve"> </w:t>
            </w:r>
            <w:r>
              <w:t xml:space="preserve">&amp;</w:t>
            </w:r>
            <w:r>
              <w:t xml:space="preserve"> </w:t>
            </w:r>
            <w:r>
              <w:t xml:space="preserve">PORTER</w:t>
            </w:r>
            <w:r>
              <w:t xml:space="preserve"> </w:t>
            </w:r>
            <w:r>
              <w:t xml:space="preserve">KAYE</w:t>
            </w:r>
            <w:r>
              <w:t xml:space="preserve"> </w:t>
            </w:r>
            <w:r>
              <w:t xml:space="preserve">SCHOLER</w:t>
            </w:r>
            <w:r>
              <w:t xml:space="preserve"> </w:t>
            </w:r>
            <w:r>
              <w:t xml:space="preserve">LLP</w:t>
            </w:r>
          </w:p>
          <w:p>
            <w:pPr>
              <w:pStyle w:val="CACounsel"/>
              <w:keepNext/>
              <w:ind w:left="140" w:firstLine="0"/>
            </w:pPr>
            <w:r>
              <w:t xml:space="preserve">601</w:t>
            </w:r>
            <w:r>
              <w:t xml:space="preserve"> </w:t>
            </w:r>
            <w:r>
              <w:t xml:space="preserve">Massachusetts</w:t>
            </w:r>
            <w:r>
              <w:t xml:space="preserve"> </w:t>
            </w:r>
            <w:r>
              <w:t xml:space="preserve">Ave.,</w:t>
            </w:r>
            <w:r>
              <w:t xml:space="preserve"> </w:t>
            </w:r>
            <w:r>
              <w:t xml:space="preserve">N.W.</w:t>
            </w:r>
          </w:p>
          <w:p>
            <w:pPr>
              <w:pStyle w:val="CACounsel"/>
              <w:keepNext/>
              <w:ind w:left="140" w:firstLine="0"/>
            </w:pPr>
            <w:r>
              <w:t xml:space="preserve">Washington,</w:t>
            </w:r>
            <w:r>
              <w:t xml:space="preserve"> </w:t>
            </w:r>
            <w:r>
              <w:t xml:space="preserve">DC</w:t>
            </w:r>
            <w:r>
              <w:t xml:space="preserve"> </w:t>
            </w:r>
            <w:r>
              <w:t xml:space="preserve">20001</w:t>
            </w:r>
          </w:p>
          <w:p>
            <w:pPr>
              <w:pStyle w:val="CACounsel"/>
              <w:keepNext/>
              <w:ind w:left="140" w:firstLine="0"/>
            </w:pPr>
            <w:r>
              <w:t xml:space="preserve">(202)</w:t>
            </w:r>
            <w:r>
              <w:t xml:space="preserve"> </w:t>
            </w:r>
            <w:r>
              <w:t xml:space="preserve">942</w:t>
            </w:r>
            <w:r>
              <w:noBreakHyphen/>
            </w:r>
            <w:r>
              <w:t xml:space="preserve">5000</w:t>
            </w:r>
          </w:p>
        </w:tc>
      </w:tr>
      <w:tr>
        <w:trPr>
          <w:cantSplit/>
        </w:trPr>
        <w:tc>
          <w:tcPr>
            <w:tcW w:w="4820" w:type="dxa"/>
            <w:tcMar>
              <w:right w:w="280" w:type="dxa"/>
            </w:tcMar>
          </w:tcPr>
          <w:p>
            <w:pPr>
              <w:pStyle w:val="CACounsel"/>
              <w:keepNext/>
            </w:pPr>
            <w:r>
              <w:t xml:space="preserve">Robert</w:t>
            </w:r>
            <w:r>
              <w:t xml:space="preserve"> </w:t>
            </w:r>
            <w:r>
              <w:t xml:space="preserve">Reeves</w:t>
            </w:r>
            <w:r>
              <w:t xml:space="preserve"> </w:t>
            </w:r>
            <w:r>
              <w:t xml:space="preserve">Anderson</w:t>
            </w:r>
          </w:p>
          <w:p>
            <w:pPr>
              <w:pStyle w:val="CACounsel"/>
              <w:keepNext/>
              <w:ind w:left="140" w:firstLine="0"/>
            </w:pPr>
            <w:r>
              <w:t xml:space="preserve">ARNOLD</w:t>
            </w:r>
            <w:r>
              <w:t xml:space="preserve"> </w:t>
            </w:r>
            <w:r>
              <w:t xml:space="preserve">&amp;</w:t>
            </w:r>
            <w:r>
              <w:t xml:space="preserve"> </w:t>
            </w:r>
            <w:r>
              <w:t xml:space="preserve">PORTER</w:t>
            </w:r>
            <w:r>
              <w:t xml:space="preserve"> </w:t>
            </w:r>
            <w:r>
              <w:t xml:space="preserve">KAYE</w:t>
            </w:r>
            <w:r>
              <w:t xml:space="preserve"> </w:t>
            </w:r>
            <w:r>
              <w:t xml:space="preserve">SCHOLER</w:t>
            </w:r>
            <w:r>
              <w:t xml:space="preserve"> </w:t>
            </w:r>
            <w:r>
              <w:t xml:space="preserve">LLP</w:t>
            </w:r>
          </w:p>
          <w:p>
            <w:pPr>
              <w:pStyle w:val="CACounsel"/>
              <w:keepNext/>
              <w:ind w:left="140" w:firstLine="0"/>
            </w:pPr>
            <w:r>
              <w:t xml:space="preserve">1144</w:t>
            </w:r>
            <w:r>
              <w:t xml:space="preserve"> </w:t>
            </w:r>
            <w:r>
              <w:t xml:space="preserve">Fifteenth</w:t>
            </w:r>
            <w:r>
              <w:t xml:space="preserve"> </w:t>
            </w:r>
            <w:r>
              <w:t xml:space="preserve">St.,</w:t>
            </w:r>
            <w:r>
              <w:t xml:space="preserve"> </w:t>
            </w:r>
            <w:r>
              <w:t xml:space="preserve">Suite</w:t>
            </w:r>
            <w:r>
              <w:t xml:space="preserve"> </w:t>
            </w:r>
            <w:r>
              <w:t xml:space="preserve">3100</w:t>
            </w:r>
          </w:p>
          <w:p>
            <w:pPr>
              <w:pStyle w:val="CACounsel"/>
              <w:keepNext/>
              <w:ind w:left="140" w:firstLine="0"/>
            </w:pPr>
            <w:r>
              <w:t xml:space="preserve">Denver,</w:t>
            </w:r>
            <w:r>
              <w:t xml:space="preserve"> </w:t>
            </w:r>
            <w:r>
              <w:t xml:space="preserve">CO</w:t>
            </w:r>
            <w:r>
              <w:t xml:space="preserve"> </w:t>
            </w:r>
            <w:r>
              <w:t xml:space="preserve">80202</w:t>
            </w:r>
          </w:p>
          <w:p>
            <w:pPr>
              <w:pStyle w:val="CACounsel"/>
              <w:keepNext/>
              <w:ind w:left="140" w:firstLine="0"/>
            </w:pPr>
            <w:r>
              <w:t xml:space="preserve">(202)</w:t>
            </w:r>
            <w:r>
              <w:t xml:space="preserve"> </w:t>
            </w:r>
            <w:r>
              <w:t xml:space="preserve">942</w:t>
            </w:r>
            <w:r>
              <w:noBreakHyphen/>
            </w:r>
            <w:r>
              <w:t xml:space="preserve">1000</w:t>
            </w:r>
          </w:p>
        </w:tc>
        <w:tc>
          <w:tcPr>
            <w:tcW w:w="4540" w:type="dxa"/>
            <w:tcMar>
              <w:right w:w="0" w:type="dxa"/>
            </w:tcMar>
          </w:tcPr>
          <w:p/>
        </w:tc>
      </w:tr>
    </w:tbl>
    <w:p>
      <w:pPr>
        <w:pStyle w:val="CAGap"/>
      </w:pPr>
    </w:p>
    <w:p>
      <w:pPr>
        <w:pStyle w:val="CACaption"/>
      </w:pPr>
      <w:r>
        <w:t xml:space="preserve">Counsel</w:t>
      </w:r>
      <w:r>
        <w:t xml:space="preserve"> </w:t>
      </w:r>
      <w:r>
        <w:t xml:space="preserve">for</w:t>
      </w:r>
      <w:r>
        <w:t xml:space="preserve"> </w:t>
      </w:r>
      <w:r>
        <w:t xml:space="preserve">Norberto</w:t>
      </w:r>
      <w:r>
        <w:t xml:space="preserve"> </w:t>
      </w:r>
      <w:r>
        <w:t xml:space="preserve">Torres</w:t>
      </w:r>
    </w:p>
    <w:p>
      <w:pPr>
        <w:pStyle w:val="CADoubleRule"/>
      </w:pPr>
    </w:p>
    <w:p>
      <w:pPr>
        <w:spacing w:before="0" w:after="0" w:line="20" w:lineRule="exact"/>
        <w:sectPr>
          <w:pgSz w:w="12240" w:h="15840"/>
          <w:pgMar w:top="1440" w:right="1440" w:bottom="1440" w:left="1440" w:header="720" w:footer="720" w:gutter="0"/>
        </w:sectPr>
      </w:pPr>
    </w:p>
    <w:p>
      <w:pPr>
        <w:pStyle w:val="CASection"/>
        <w:spacing w:before="0" w:after="308" w:line="400" w:lineRule="exact"/>
      </w:pPr>
      <w:r>
        <w:t xml:space="preserve">Table of Contents</w:t>
      </w:r>
    </w:p>
    <w:p>
      <w:pPr>
        <w:pStyle w:val="CATocPage"/>
      </w:pPr>
      <w:r>
        <w:t xml:space="preserve">Page</w:t>
      </w:r>
    </w:p>
    <w:p>
      <w:pPr>
        <w:pStyle w:val="CATocTop"/>
      </w:pPr>
      <w:r>
        <w:t xml:space="preserve">TABLE OF AUTHORITIES</w:t>
      </w:r>
      <w:r>
        <w:t xml:space="preserve">   </w:t>
      </w:r>
      <w:r>
        <w:tab/>
      </w:r>
      <w:r>
        <w:t xml:space="preserve">ii</w:t>
      </w:r>
    </w:p>
    <w:p>
      <w:pPr>
        <w:pStyle w:val="CATocTop"/>
      </w:pPr>
      <w:r>
        <w:t xml:space="preserve">JURISDICTIONAL</w:t>
      </w:r>
      <w:r>
        <w:t xml:space="preserve"> </w:t>
      </w:r>
      <w:r>
        <w:t xml:space="preserve">STATEMENT</w:t>
      </w:r>
      <w:r>
        <w:t xml:space="preserve">   </w:t>
      </w:r>
      <w:r>
        <w:tab/>
      </w:r>
      <w:r>
        <w:t xml:space="preserve">1</w:t>
      </w:r>
    </w:p>
    <w:p>
      <w:pPr>
        <w:pStyle w:val="CATocTop"/>
      </w:pPr>
      <w:r>
        <w:t xml:space="preserve">ISSUE</w:t>
      </w:r>
      <w:r>
        <w:t xml:space="preserve"> </w:t>
      </w:r>
      <w:r>
        <w:t xml:space="preserve">PRESENTED</w:t>
      </w:r>
      <w:r>
        <w:t xml:space="preserve">   </w:t>
      </w:r>
      <w:r>
        <w:tab/>
      </w:r>
      <w:r>
        <w:t xml:space="preserve">1</w:t>
      </w:r>
    </w:p>
    <w:p>
      <w:pPr>
        <w:pStyle w:val="CATocTop"/>
      </w:pPr>
      <w:r>
        <w:t xml:space="preserve">INTRODUCTION</w:t>
      </w:r>
      <w:r>
        <w:t xml:space="preserve">   </w:t>
      </w:r>
      <w:r>
        <w:tab/>
      </w:r>
      <w:r>
        <w:t xml:space="preserve">1</w:t>
      </w:r>
    </w:p>
    <w:p>
      <w:pPr>
        <w:pStyle w:val="CATocTop"/>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3</w:t>
      </w:r>
    </w:p>
    <w:p>
      <w:pPr>
        <w:pStyle w:val="CATocS0"/>
      </w:pPr>
      <w:r>
        <w:t xml:space="preserve">I.</w:t>
      </w:r>
      <w:r>
        <w:tab/>
      </w:r>
      <w:r>
        <w:t xml:space="preserve">Factual</w:t>
      </w:r>
      <w:r>
        <w:t xml:space="preserve"> </w:t>
      </w:r>
      <w:r>
        <w:t xml:space="preserve">Background</w:t>
      </w:r>
      <w:r>
        <w:t xml:space="preserve">   </w:t>
      </w:r>
      <w:r>
        <w:tab/>
      </w:r>
      <w:r>
        <w:t xml:space="preserve">3</w:t>
      </w:r>
    </w:p>
    <w:p>
      <w:pPr>
        <w:pStyle w:val="CATocS1"/>
      </w:pPr>
      <w:r>
        <w:t xml:space="preserve">A.</w:t>
      </w:r>
      <w:r>
        <w:tab/>
      </w:r>
      <w:r>
        <w:t xml:space="preserve">Mr.</w:t>
      </w:r>
      <w:r>
        <w:t xml:space="preserve"> </w:t>
      </w:r>
      <w:r>
        <w:t xml:space="preserve">Torres</w:t>
      </w:r>
      <w:r>
        <w:t xml:space="preserve"> </w:t>
      </w:r>
      <w:r>
        <w:t xml:space="preserve">receives</w:t>
      </w:r>
      <w:r>
        <w:t xml:space="preserve"> </w:t>
      </w:r>
      <w:r>
        <w:t xml:space="preserve">the</w:t>
      </w:r>
      <w:r>
        <w:t xml:space="preserve"> </w:t>
      </w:r>
      <w:r>
        <w:t xml:space="preserve">first</w:t>
      </w:r>
      <w:r>
        <w:t xml:space="preserve"> </w:t>
      </w:r>
      <w:r>
        <w:t xml:space="preserve">disciplinary</w:t>
      </w:r>
      <w:r>
        <w:t xml:space="preserve"> </w:t>
      </w:r>
      <w:r>
        <w:t xml:space="preserve">report,</w:t>
      </w:r>
      <w:r>
        <w:t xml:space="preserve"> </w:t>
      </w:r>
      <w:r>
        <w:t xml:space="preserve">which</w:t>
      </w:r>
      <w:r>
        <w:t xml:space="preserve"> </w:t>
      </w:r>
      <w:r>
        <w:t xml:space="preserve">is</w:t>
      </w:r>
      <w:r>
        <w:t xml:space="preserve"> </w:t>
      </w:r>
      <w:r>
        <w:t xml:space="preserve">promptly</w:t>
      </w:r>
      <w:r>
        <w:t xml:space="preserve"> </w:t>
      </w:r>
      <w:r>
        <w:t xml:space="preserve">expunged</w:t>
      </w:r>
      <w:r>
        <w:t xml:space="preserve">   </w:t>
      </w:r>
      <w:r>
        <w:tab/>
      </w:r>
      <w:r>
        <w:t xml:space="preserve">3</w:t>
      </w:r>
    </w:p>
    <w:p>
      <w:pPr>
        <w:pStyle w:val="CATocS1"/>
      </w:pPr>
      <w:r>
        <w:t xml:space="preserve">B.</w:t>
      </w:r>
      <w:r>
        <w:tab/>
      </w:r>
      <w:r>
        <w:t xml:space="preserve">Mr.</w:t>
      </w:r>
      <w:r>
        <w:t xml:space="preserve"> </w:t>
      </w:r>
      <w:r>
        <w:t xml:space="preserve">Torres</w:t>
      </w:r>
      <w:r>
        <w:t xml:space="preserve"> </w:t>
      </w:r>
      <w:r>
        <w:t xml:space="preserve">is</w:t>
      </w:r>
      <w:r>
        <w:t xml:space="preserve"> </w:t>
      </w:r>
      <w:r>
        <w:t xml:space="preserve">confined</w:t>
      </w:r>
      <w:r>
        <w:t xml:space="preserve"> </w:t>
      </w:r>
      <w:r>
        <w:t xml:space="preserve">in</w:t>
      </w:r>
      <w:r>
        <w:t xml:space="preserve"> </w:t>
      </w:r>
      <w:r>
        <w:t xml:space="preserve">a</w:t>
      </w:r>
      <w:r>
        <w:t xml:space="preserve"> </w:t>
      </w:r>
      <w:r>
        <w:t xml:space="preserve">moldy,</w:t>
      </w:r>
      <w:r>
        <w:t xml:space="preserve"> </w:t>
      </w:r>
      <w:r>
        <w:t xml:space="preserve">contaminated</w:t>
      </w:r>
      <w:r>
        <w:t xml:space="preserve"> </w:t>
      </w:r>
      <w:r>
        <w:t xml:space="preserve">cell</w:t>
      </w:r>
      <w:r>
        <w:t xml:space="preserve"> </w:t>
      </w:r>
      <w:r>
        <w:t xml:space="preserve">for</w:t>
      </w:r>
      <w:r>
        <w:t xml:space="preserve"> </w:t>
      </w:r>
      <w:r>
        <w:t xml:space="preserve">three</w:t>
      </w:r>
      <w:r>
        <w:t xml:space="preserve"> </w:t>
      </w:r>
      <w:r>
        <w:t xml:space="preserve">months</w:t>
      </w:r>
      <w:r>
        <w:t xml:space="preserve">   </w:t>
      </w:r>
      <w:r>
        <w:tab/>
      </w:r>
      <w:r>
        <w:t xml:space="preserve">4</w:t>
      </w:r>
    </w:p>
    <w:p>
      <w:pPr>
        <w:pStyle w:val="CATocS0"/>
      </w:pPr>
      <w:r>
        <w:t xml:space="preserve">II.</w:t>
      </w:r>
      <w:r>
        <w:tab/>
      </w:r>
      <w:r>
        <w:t xml:space="preserve">Proceedings</w:t>
      </w:r>
      <w:r>
        <w:t xml:space="preserve"> </w:t>
      </w:r>
      <w:r>
        <w:t xml:space="preserve">Below</w:t>
      </w:r>
      <w:r>
        <w:t xml:space="preserve">   </w:t>
      </w:r>
      <w:r>
        <w:tab/>
      </w:r>
      <w:r>
        <w:t xml:space="preserve">4</w:t>
      </w:r>
    </w:p>
    <w:p>
      <w:pPr>
        <w:pStyle w:val="CATocTop"/>
      </w:pPr>
      <w:r>
        <w:t xml:space="preserve">SUMMARY</w:t>
      </w:r>
      <w:r>
        <w:t xml:space="preserve"> </w:t>
      </w:r>
      <w:r>
        <w:t xml:space="preserve">OF</w:t>
      </w:r>
      <w:r>
        <w:t xml:space="preserve"> </w:t>
      </w:r>
      <w:r>
        <w:t xml:space="preserve">ARGUMENT</w:t>
      </w:r>
      <w:r>
        <w:t xml:space="preserve">   </w:t>
      </w:r>
      <w:r>
        <w:tab/>
      </w:r>
      <w:r>
        <w:t xml:space="preserve">5</w:t>
      </w:r>
    </w:p>
    <w:p>
      <w:pPr>
        <w:pStyle w:val="CATocTop"/>
      </w:pPr>
      <w:r>
        <w:t xml:space="preserve">STANDARD</w:t>
      </w:r>
      <w:r>
        <w:t xml:space="preserve"> </w:t>
      </w:r>
      <w:r>
        <w:t xml:space="preserve">OF</w:t>
      </w:r>
      <w:r>
        <w:t xml:space="preserve"> </w:t>
      </w:r>
      <w:r>
        <w:t xml:space="preserve">REVIEW</w:t>
      </w:r>
      <w:r>
        <w:t xml:space="preserve">   </w:t>
      </w:r>
      <w:r>
        <w:tab/>
      </w:r>
      <w:r>
        <w:t xml:space="preserve">6</w:t>
      </w:r>
    </w:p>
    <w:p>
      <w:pPr>
        <w:pStyle w:val="CATocTop"/>
      </w:pPr>
      <w:r>
        <w:t xml:space="preserve">ARGUMENT</w:t>
      </w:r>
      <w:r>
        <w:t xml:space="preserve">   </w:t>
      </w:r>
      <w:r>
        <w:tab/>
      </w:r>
      <w:r>
        <w:t xml:space="preserve">6</w:t>
      </w:r>
    </w:p>
    <w:p>
      <w:pPr>
        <w:pStyle w:val="CATocS0"/>
      </w:pPr>
      <w:r>
        <w:t xml:space="preserve">I.</w:t>
      </w:r>
      <w:r>
        <w:tab/>
      </w:r>
      <w:r>
        <w:t xml:space="preserve">The</w:t>
      </w:r>
      <w:r>
        <w:t xml:space="preserve"> </w:t>
      </w:r>
      <w:r>
        <w:t xml:space="preserve">district</w:t>
      </w:r>
      <w:r>
        <w:t xml:space="preserve"> </w:t>
      </w:r>
      <w:r>
        <w:t xml:space="preserve">court’s</w:t>
      </w:r>
      <w:r>
        <w:t xml:space="preserve"> </w:t>
      </w:r>
      <w:r>
        <w:t xml:space="preserve">summary</w:t>
      </w:r>
      <w:r>
        <w:t xml:space="preserve"> </w:t>
      </w:r>
      <w:r>
        <w:t xml:space="preserve">judgment</w:t>
      </w:r>
      <w:r>
        <w:t xml:space="preserve"> </w:t>
      </w:r>
      <w:r>
        <w:t xml:space="preserve">opinion</w:t>
      </w:r>
      <w:r>
        <w:t xml:space="preserve"> </w:t>
      </w:r>
      <w:r>
        <w:t xml:space="preserve">misstated</w:t>
      </w:r>
      <w:r>
        <w:t xml:space="preserve"> </w:t>
      </w:r>
      <w:r>
        <w:t xml:space="preserve">the</w:t>
      </w:r>
      <w:r>
        <w:t xml:space="preserve"> </w:t>
      </w:r>
      <w:r>
        <w:t xml:space="preserve">law</w:t>
      </w:r>
      <w:r>
        <w:t xml:space="preserve"> </w:t>
      </w:r>
      <w:r>
        <w:t xml:space="preserve">and</w:t>
      </w:r>
      <w:r>
        <w:t xml:space="preserve"> </w:t>
      </w:r>
      <w:r>
        <w:t xml:space="preserve">misapplied</w:t>
      </w:r>
      <w:r>
        <w:t xml:space="preserve"> </w:t>
      </w:r>
      <w:r>
        <w:t xml:space="preserve">the</w:t>
      </w:r>
      <w:r>
        <w:t xml:space="preserve"> </w:t>
      </w:r>
      <w:r>
        <w:t xml:space="preserve">summary</w:t>
      </w:r>
      <w:r>
        <w:t xml:space="preserve"> </w:t>
      </w:r>
      <w:r>
        <w:t xml:space="preserve">judgment</w:t>
      </w:r>
      <w:r>
        <w:t xml:space="preserve"> </w:t>
      </w:r>
      <w:r>
        <w:t xml:space="preserve">standard</w:t>
      </w:r>
      <w:r>
        <w:t xml:space="preserve">   </w:t>
      </w:r>
      <w:r>
        <w:tab/>
      </w:r>
      <w:r>
        <w:t xml:space="preserve">7</w:t>
      </w:r>
    </w:p>
    <w:p>
      <w:pPr>
        <w:pStyle w:val="CATocS1"/>
      </w:pPr>
      <w:r>
        <w:t xml:space="preserve">A.</w:t>
      </w:r>
      <w:r>
        <w:tab/>
      </w:r>
      <w:r>
        <w:t xml:space="preserve">The</w:t>
      </w:r>
      <w:r>
        <w:t xml:space="preserve"> </w:t>
      </w:r>
      <w:r>
        <w:t xml:space="preserve">district</w:t>
      </w:r>
      <w:r>
        <w:t xml:space="preserve"> </w:t>
      </w:r>
      <w:r>
        <w:t xml:space="preserve">court</w:t>
      </w:r>
      <w:r>
        <w:t xml:space="preserve"> </w:t>
      </w:r>
      <w:r>
        <w:t xml:space="preserve">erred</w:t>
      </w:r>
      <w:r>
        <w:t xml:space="preserve"> </w:t>
      </w:r>
      <w:r>
        <w:t xml:space="preserve">by</w:t>
      </w:r>
      <w:r>
        <w:t xml:space="preserve"> </w:t>
      </w:r>
      <w:r>
        <w:t xml:space="preserve">assessing</w:t>
      </w:r>
      <w:r>
        <w:t xml:space="preserve"> </w:t>
      </w:r>
      <w:r>
        <w:t xml:space="preserve">the</w:t>
      </w:r>
      <w:r>
        <w:t xml:space="preserve"> </w:t>
      </w:r>
      <w:r>
        <w:t xml:space="preserve">amount</w:t>
      </w:r>
      <w:r>
        <w:t xml:space="preserve"> </w:t>
      </w:r>
      <w:r>
        <w:t xml:space="preserve">of</w:t>
      </w:r>
      <w:r>
        <w:t xml:space="preserve"> </w:t>
      </w:r>
      <w:r>
        <w:t xml:space="preserve">time</w:t>
      </w:r>
      <w:r>
        <w:t xml:space="preserve"> </w:t>
      </w:r>
      <w:r>
        <w:t xml:space="preserve">that</w:t>
      </w:r>
      <w:r>
        <w:t xml:space="preserve"> </w:t>
      </w:r>
      <w:r>
        <w:t xml:space="preserve">Mr.</w:t>
      </w:r>
      <w:r>
        <w:t xml:space="preserve"> </w:t>
      </w:r>
      <w:r>
        <w:t xml:space="preserve">Torres</w:t>
      </w:r>
      <w:r>
        <w:t xml:space="preserve"> </w:t>
      </w:r>
      <w:r>
        <w:t xml:space="preserve">spent</w:t>
      </w:r>
      <w:r>
        <w:t xml:space="preserve"> </w:t>
      </w:r>
      <w:r>
        <w:t xml:space="preserve">in</w:t>
      </w:r>
      <w:r>
        <w:t xml:space="preserve"> </w:t>
      </w:r>
      <w:r>
        <w:t xml:space="preserve">segregation</w:t>
      </w:r>
      <w:r>
        <w:t xml:space="preserve"> </w:t>
      </w:r>
      <w:r>
        <w:t xml:space="preserve">relative</w:t>
      </w:r>
      <w:r>
        <w:t xml:space="preserve"> </w:t>
      </w:r>
      <w:r>
        <w:t xml:space="preserve">to</w:t>
      </w:r>
      <w:r>
        <w:t xml:space="preserve"> </w:t>
      </w:r>
      <w:r>
        <w:t xml:space="preserve">his</w:t>
      </w:r>
      <w:r>
        <w:t xml:space="preserve"> </w:t>
      </w:r>
      <w:r>
        <w:t xml:space="preserve">sentence</w:t>
      </w:r>
      <w:r>
        <w:t xml:space="preserve">   </w:t>
      </w:r>
      <w:r>
        <w:tab/>
      </w:r>
      <w:r>
        <w:t xml:space="preserve">7</w:t>
      </w:r>
    </w:p>
    <w:p>
      <w:pPr>
        <w:pStyle w:val="CATocS1"/>
      </w:pPr>
      <w:r>
        <w:t xml:space="preserve">B.</w:t>
      </w:r>
      <w:r>
        <w:tab/>
      </w:r>
      <w:r>
        <w:t xml:space="preserve">The</w:t>
      </w:r>
      <w:r>
        <w:t xml:space="preserve"> </w:t>
      </w:r>
      <w:r>
        <w:t xml:space="preserve">district</w:t>
      </w:r>
      <w:r>
        <w:t xml:space="preserve"> </w:t>
      </w:r>
      <w:r>
        <w:t xml:space="preserve">court</w:t>
      </w:r>
      <w:r>
        <w:t xml:space="preserve"> </w:t>
      </w:r>
      <w:r>
        <w:t xml:space="preserve">further</w:t>
      </w:r>
      <w:r>
        <w:t xml:space="preserve"> </w:t>
      </w:r>
      <w:r>
        <w:t xml:space="preserve">erred</w:t>
      </w:r>
      <w:r>
        <w:t xml:space="preserve"> </w:t>
      </w:r>
      <w:r>
        <w:t xml:space="preserve">by</w:t>
      </w:r>
      <w:r>
        <w:t xml:space="preserve"> </w:t>
      </w:r>
      <w:r>
        <w:t xml:space="preserve">requiring</w:t>
      </w:r>
      <w:r>
        <w:t xml:space="preserve"> </w:t>
      </w:r>
      <w:r>
        <w:t xml:space="preserve">Mr.</w:t>
      </w:r>
      <w:r>
        <w:t xml:space="preserve"> </w:t>
      </w:r>
      <w:r>
        <w:t xml:space="preserve">Torres</w:t>
      </w:r>
      <w:r>
        <w:t xml:space="preserve"> </w:t>
      </w:r>
      <w:r>
        <w:t xml:space="preserve">to</w:t>
      </w:r>
      <w:r>
        <w:t xml:space="preserve"> </w:t>
      </w:r>
      <w:r>
        <w:t xml:space="preserve">prove</w:t>
      </w:r>
      <w:r>
        <w:t xml:space="preserve"> </w:t>
      </w:r>
      <w:r>
        <w:t xml:space="preserve">physical</w:t>
      </w:r>
      <w:r>
        <w:t xml:space="preserve"> </w:t>
      </w:r>
      <w:r>
        <w:t xml:space="preserve">or</w:t>
      </w:r>
      <w:r>
        <w:t xml:space="preserve"> </w:t>
      </w:r>
      <w:r>
        <w:t xml:space="preserve">mental</w:t>
      </w:r>
      <w:r>
        <w:t xml:space="preserve"> </w:t>
      </w:r>
      <w:r>
        <w:t xml:space="preserve">harm</w:t>
      </w:r>
      <w:r>
        <w:t xml:space="preserve"> </w:t>
      </w:r>
      <w:r>
        <w:t xml:space="preserve">because</w:t>
      </w:r>
      <w:r>
        <w:t xml:space="preserve"> </w:t>
      </w:r>
      <w:r>
        <w:t xml:space="preserve">of</w:t>
      </w:r>
      <w:r>
        <w:t xml:space="preserve"> </w:t>
      </w:r>
      <w:r>
        <w:t xml:space="preserve">his</w:t>
      </w:r>
      <w:r>
        <w:t xml:space="preserve"> </w:t>
      </w:r>
      <w:r>
        <w:t xml:space="preserve">confinement</w:t>
      </w:r>
      <w:r>
        <w:t xml:space="preserve">   </w:t>
      </w:r>
      <w:r>
        <w:tab/>
      </w:r>
      <w:r>
        <w:t xml:space="preserve">9</w:t>
      </w:r>
    </w:p>
    <w:p>
      <w:pPr>
        <w:pStyle w:val="CATocTop"/>
      </w:pPr>
      <w:r>
        <w:t xml:space="preserve">CONCLUSION</w:t>
      </w:r>
      <w:r>
        <w:t xml:space="preserve">   </w:t>
      </w:r>
      <w:r>
        <w:tab/>
      </w:r>
      <w:r>
        <w:t xml:space="preserve">10</w:t>
      </w:r>
    </w:p>
    <w:p>
      <w:pPr>
        <w:pStyle w:val="CATocTop"/>
      </w:pPr>
      <w:r>
        <w:t xml:space="preserve">CERTIFICATE OF COMPLIANCE</w:t>
      </w:r>
      <w:r>
        <w:t xml:space="preserve">   </w:t>
      </w:r>
      <w:r>
        <w:tab/>
      </w:r>
      <w:r>
        <w:t xml:space="preserve">11</w:t>
      </w:r>
    </w:p>
    <w:p>
      <w:pPr>
        <w:pStyle w:val="CATocTop"/>
      </w:pPr>
      <w:r>
        <w:t xml:space="preserve">CERTIFICATE OF SERVICE</w:t>
      </w:r>
      <w:r>
        <w:t xml:space="preserve">   </w:t>
      </w:r>
      <w:r>
        <w:tab/>
      </w:r>
      <w:r>
        <w:t xml:space="preserve">11</w:t>
      </w:r>
    </w:p>
    <w:p>
      <w:pPr>
        <w:pStyle w:val="CASection"/>
        <w:pageBreakBefore/>
        <w:spacing w:before="0" w:after="308" w:line="400" w:lineRule="exact"/>
      </w:pPr>
      <w:r>
        <w:t xml:space="preserve">Table of Authorities</w:t>
      </w:r>
    </w:p>
    <w:p>
      <w:pPr>
        <w:pStyle w:val="CAToaGroup"/>
        <w:spacing w:before="280" w:after="56" w:line="400" w:lineRule="exact"/>
      </w:pPr>
      <w:r>
        <w:t xml:space="preserve">Cases:</w:t>
      </w:r>
      <w:r>
        <w:tab/>
      </w:r>
      <w:r>
        <w:rPr>
          <w:b/>
          <w:u w:val="single"/>
        </w:rPr>
        <w:t xml:space="preserve">Page(s)</w:t>
      </w:r>
    </w:p>
    <w:p>
      <w:pPr>
        <w:pStyle w:val="CAToaEntry"/>
      </w:pPr>
      <w:r>
        <w:rPr>
          <w:i/>
        </w:rPr>
        <w:t xml:space="preserve">Farmer</w:t>
      </w:r>
      <w:r>
        <w:rPr>
          <w:i/>
        </w:rPr>
        <w:t xml:space="preserve"> </w:t>
      </w:r>
      <w:r>
        <w:rPr>
          <w:i/>
        </w:rPr>
        <w:t xml:space="preserve">v.</w:t>
      </w:r>
      <w:r>
        <w:rPr>
          <w:i/>
        </w:rPr>
        <w:t xml:space="preserve"> </w:t>
      </w:r>
      <w:r>
        <w:rPr>
          <w:i/>
        </w:rPr>
        <w:t xml:space="preserve">Brennan</w:t>
      </w:r>
      <w:r>
        <w:t xml:space="preserve">,</w:t>
      </w:r>
      <w:r>
        <w:br/>
      </w:r>
      <w:r>
        <w:t xml:space="preserve">511</w:t>
      </w:r>
      <w:r>
        <w:t xml:space="preserve"> </w:t>
      </w:r>
      <w:r>
        <w:t xml:space="preserve">U.S.</w:t>
      </w:r>
      <w:r>
        <w:t xml:space="preserve"> </w:t>
      </w:r>
      <w:r>
        <w:t xml:space="preserve">825</w:t>
      </w:r>
      <w:r>
        <w:t xml:space="preserve"> </w:t>
      </w:r>
      <w:r>
        <w:t xml:space="preserve">(1994)</w:t>
      </w:r>
      <w:r>
        <w:t xml:space="preserve">   </w:t>
      </w:r>
      <w:r>
        <w:tab/>
      </w:r>
      <w:r>
        <w:t xml:space="preserve">9</w:t>
      </w:r>
    </w:p>
    <w:p>
      <w:pPr>
        <w:pStyle w:val="CAToaEntry"/>
      </w:pPr>
      <w:r>
        <w:rPr>
          <w:i/>
        </w:rPr>
        <w:t xml:space="preserve">Gillis</w:t>
      </w:r>
      <w:r>
        <w:rPr>
          <w:i/>
        </w:rPr>
        <w:t xml:space="preserve"> </w:t>
      </w:r>
      <w:r>
        <w:rPr>
          <w:i/>
        </w:rPr>
        <w:t xml:space="preserve">v.</w:t>
      </w:r>
      <w:r>
        <w:rPr>
          <w:i/>
        </w:rPr>
        <w:t xml:space="preserve"> </w:t>
      </w:r>
      <w:r>
        <w:rPr>
          <w:i/>
        </w:rPr>
        <w:t xml:space="preserve">Litscher</w:t>
      </w:r>
      <w:r>
        <w:t xml:space="preserve">,</w:t>
      </w:r>
      <w:r>
        <w:br/>
      </w:r>
      <w:r>
        <w:t xml:space="preserve">468</w:t>
      </w:r>
      <w:r>
        <w:t xml:space="preserve"> </w:t>
      </w:r>
      <w:r>
        <w:t xml:space="preserve">F.3d</w:t>
      </w:r>
      <w:r>
        <w:t xml:space="preserve"> </w:t>
      </w:r>
      <w:r>
        <w:t xml:space="preserve">488</w:t>
      </w:r>
      <w:r>
        <w:t xml:space="preserve"> </w:t>
      </w:r>
      <w:r>
        <w:t xml:space="preserve">(7th</w:t>
      </w:r>
      <w:r>
        <w:t xml:space="preserve"> </w:t>
      </w:r>
      <w:r>
        <w:t xml:space="preserve">Cir.</w:t>
      </w:r>
      <w:r>
        <w:t xml:space="preserve"> </w:t>
      </w:r>
      <w:r>
        <w:t xml:space="preserve">2006)</w:t>
      </w:r>
      <w:r>
        <w:t xml:space="preserve">   </w:t>
      </w:r>
      <w:r>
        <w:tab/>
      </w:r>
      <w:r>
        <w:t xml:space="preserve">6, 7</w:t>
      </w:r>
    </w:p>
    <w:p>
      <w:pPr>
        <w:pStyle w:val="CAToaEntry"/>
      </w:pPr>
      <w:r>
        <w:rPr>
          <w:i/>
        </w:rPr>
        <w:t xml:space="preserve">Hardaway</w:t>
      </w:r>
      <w:r>
        <w:rPr>
          <w:i/>
        </w:rPr>
        <w:t xml:space="preserve"> </w:t>
      </w:r>
      <w:r>
        <w:rPr>
          <w:i/>
        </w:rPr>
        <w:t xml:space="preserve">v.</w:t>
      </w:r>
      <w:r>
        <w:rPr>
          <w:i/>
        </w:rPr>
        <w:t xml:space="preserve"> </w:t>
      </w:r>
      <w:r>
        <w:rPr>
          <w:i/>
        </w:rPr>
        <w:t xml:space="preserve">Meyerhoff</w:t>
      </w:r>
      <w:r>
        <w:t xml:space="preserve">,</w:t>
      </w:r>
      <w:r>
        <w:br/>
      </w:r>
      <w:r>
        <w:t xml:space="preserve">734</w:t>
      </w:r>
      <w:r>
        <w:t xml:space="preserve"> </w:t>
      </w:r>
      <w:r>
        <w:t xml:space="preserve">F.3d</w:t>
      </w:r>
      <w:r>
        <w:t xml:space="preserve"> </w:t>
      </w:r>
      <w:r>
        <w:t xml:space="preserve">740</w:t>
      </w:r>
      <w:r>
        <w:t xml:space="preserve"> </w:t>
      </w:r>
      <w:r>
        <w:t xml:space="preserve">(7th</w:t>
      </w:r>
      <w:r>
        <w:t xml:space="preserve"> </w:t>
      </w:r>
      <w:r>
        <w:t xml:space="preserve">Cir.</w:t>
      </w:r>
      <w:r>
        <w:t xml:space="preserve"> </w:t>
      </w:r>
      <w:r>
        <w:t xml:space="preserve">2013)</w:t>
      </w:r>
      <w:r>
        <w:t xml:space="preserve">   </w:t>
      </w:r>
      <w:r>
        <w:tab/>
      </w:r>
      <w:r>
        <w:t xml:space="preserve">2, 7</w:t>
      </w:r>
    </w:p>
    <w:p>
      <w:pPr>
        <w:pStyle w:val="CAToaEntry"/>
      </w:pPr>
      <w:r>
        <w:rPr>
          <w:i/>
        </w:rPr>
        <w:t xml:space="preserve">Hoskins</w:t>
      </w:r>
      <w:r>
        <w:rPr>
          <w:i/>
        </w:rPr>
        <w:t xml:space="preserve"> </w:t>
      </w:r>
      <w:r>
        <w:rPr>
          <w:i/>
        </w:rPr>
        <w:t xml:space="preserve">v.</w:t>
      </w:r>
      <w:r>
        <w:rPr>
          <w:i/>
        </w:rPr>
        <w:t xml:space="preserve"> </w:t>
      </w:r>
      <w:r>
        <w:rPr>
          <w:i/>
        </w:rPr>
        <w:t xml:space="preserve">Lenear</w:t>
      </w:r>
      <w:r>
        <w:t xml:space="preserve">,</w:t>
      </w:r>
      <w:r>
        <w:br/>
      </w:r>
      <w:r>
        <w:t xml:space="preserve">395</w:t>
      </w:r>
      <w:r>
        <w:t xml:space="preserve"> </w:t>
      </w:r>
      <w:r>
        <w:t xml:space="preserve">F.3d</w:t>
      </w:r>
      <w:r>
        <w:t xml:space="preserve"> </w:t>
      </w:r>
      <w:r>
        <w:t xml:space="preserve">372</w:t>
      </w:r>
      <w:r>
        <w:t xml:space="preserve"> </w:t>
      </w:r>
      <w:r>
        <w:t xml:space="preserve">(7th</w:t>
      </w:r>
      <w:r>
        <w:t xml:space="preserve"> </w:t>
      </w:r>
      <w:r>
        <w:t xml:space="preserve">Cir.</w:t>
      </w:r>
      <w:r>
        <w:t xml:space="preserve"> </w:t>
      </w:r>
      <w:r>
        <w:t xml:space="preserve">2005)</w:t>
      </w:r>
      <w:r>
        <w:t xml:space="preserve">   </w:t>
      </w:r>
      <w:r>
        <w:tab/>
      </w:r>
      <w:r>
        <w:t xml:space="preserve">7</w:t>
      </w:r>
    </w:p>
    <w:p>
      <w:pPr>
        <w:pStyle w:val="CAToaEntry"/>
      </w:pPr>
      <w:r>
        <w:rPr>
          <w:i/>
        </w:rPr>
        <w:t xml:space="preserve">Isby</w:t>
      </w:r>
      <w:r>
        <w:rPr>
          <w:i/>
        </w:rPr>
        <w:t xml:space="preserve"> </w:t>
      </w:r>
      <w:r>
        <w:rPr>
          <w:i/>
        </w:rPr>
        <w:t xml:space="preserve">v.</w:t>
      </w:r>
      <w:r>
        <w:rPr>
          <w:i/>
        </w:rPr>
        <w:t xml:space="preserve"> </w:t>
      </w:r>
      <w:r>
        <w:rPr>
          <w:i/>
        </w:rPr>
        <w:t xml:space="preserve">Brown</w:t>
      </w:r>
      <w:r>
        <w:t xml:space="preserve">,</w:t>
      </w:r>
      <w:r>
        <w:br/>
      </w:r>
      <w:r>
        <w:t xml:space="preserve">856</w:t>
      </w:r>
      <w:r>
        <w:t xml:space="preserve"> </w:t>
      </w:r>
      <w:r>
        <w:t xml:space="preserve">F.3d</w:t>
      </w:r>
      <w:r>
        <w:t xml:space="preserve"> </w:t>
      </w:r>
      <w:r>
        <w:t xml:space="preserve">508</w:t>
      </w:r>
      <w:r>
        <w:t xml:space="preserve"> </w:t>
      </w:r>
      <w:r>
        <w:t xml:space="preserve">(7th</w:t>
      </w:r>
      <w:r>
        <w:t xml:space="preserve"> </w:t>
      </w:r>
      <w:r>
        <w:t xml:space="preserve">Cir.</w:t>
      </w:r>
      <w:r>
        <w:t xml:space="preserve"> </w:t>
      </w:r>
      <w:r>
        <w:t xml:space="preserve">2018)</w:t>
      </w:r>
      <w:r>
        <w:t xml:space="preserve">   </w:t>
      </w:r>
      <w:r>
        <w:tab/>
      </w:r>
      <w:r>
        <w:t xml:space="preserve">2</w:t>
      </w:r>
    </w:p>
    <w:p>
      <w:pPr>
        <w:pStyle w:val="CAToaEntry"/>
      </w:pPr>
      <w:r>
        <w:rPr>
          <w:i/>
        </w:rPr>
        <w:t xml:space="preserve">Kervin</w:t>
      </w:r>
      <w:r>
        <w:rPr>
          <w:i/>
        </w:rPr>
        <w:t xml:space="preserve"> </w:t>
      </w:r>
      <w:r>
        <w:rPr>
          <w:i/>
        </w:rPr>
        <w:t xml:space="preserve">v.</w:t>
      </w:r>
      <w:r>
        <w:rPr>
          <w:i/>
        </w:rPr>
        <w:t xml:space="preserve"> </w:t>
      </w:r>
      <w:r>
        <w:rPr>
          <w:i/>
        </w:rPr>
        <w:t xml:space="preserve">Barnes</w:t>
      </w:r>
      <w:r>
        <w:t xml:space="preserve">,</w:t>
      </w:r>
      <w:r>
        <w:br/>
      </w:r>
      <w:r>
        <w:t xml:space="preserve">787</w:t>
      </w:r>
      <w:r>
        <w:t xml:space="preserve"> </w:t>
      </w:r>
      <w:r>
        <w:t xml:space="preserve">F.3d</w:t>
      </w:r>
      <w:r>
        <w:t xml:space="preserve"> </w:t>
      </w:r>
      <w:r>
        <w:t xml:space="preserve">833</w:t>
      </w:r>
      <w:r>
        <w:t xml:space="preserve"> </w:t>
      </w:r>
      <w:r>
        <w:t xml:space="preserve">(7th</w:t>
      </w:r>
      <w:r>
        <w:t xml:space="preserve"> </w:t>
      </w:r>
      <w:r>
        <w:t xml:space="preserve">Cir.</w:t>
      </w:r>
      <w:r>
        <w:t xml:space="preserve"> </w:t>
      </w:r>
      <w:r>
        <w:t xml:space="preserve">2015)</w:t>
      </w:r>
      <w:r>
        <w:t xml:space="preserve">   </w:t>
      </w:r>
      <w:r>
        <w:tab/>
      </w:r>
      <w:r>
        <w:t xml:space="preserve">8</w:t>
      </w:r>
    </w:p>
    <w:p>
      <w:pPr>
        <w:pStyle w:val="CAToaEntry"/>
      </w:pPr>
      <w:r>
        <w:rPr>
          <w:i/>
        </w:rPr>
        <w:t xml:space="preserve">Lekas</w:t>
      </w:r>
      <w:r>
        <w:rPr>
          <w:i/>
        </w:rPr>
        <w:t xml:space="preserve"> </w:t>
      </w:r>
      <w:r>
        <w:rPr>
          <w:i/>
        </w:rPr>
        <w:t xml:space="preserve">v.</w:t>
      </w:r>
      <w:r>
        <w:rPr>
          <w:i/>
        </w:rPr>
        <w:t xml:space="preserve"> </w:t>
      </w:r>
      <w:r>
        <w:rPr>
          <w:i/>
        </w:rPr>
        <w:t xml:space="preserve">Briley</w:t>
      </w:r>
      <w:r>
        <w:t xml:space="preserve">,</w:t>
      </w:r>
      <w:r>
        <w:br/>
      </w:r>
      <w:r>
        <w:t xml:space="preserve">405</w:t>
      </w:r>
      <w:r>
        <w:t xml:space="preserve"> </w:t>
      </w:r>
      <w:r>
        <w:t xml:space="preserve">F.3d</w:t>
      </w:r>
      <w:r>
        <w:t xml:space="preserve"> </w:t>
      </w:r>
      <w:r>
        <w:t xml:space="preserve">602</w:t>
      </w:r>
      <w:r>
        <w:t xml:space="preserve"> </w:t>
      </w:r>
      <w:r>
        <w:t xml:space="preserve">(7th</w:t>
      </w:r>
      <w:r>
        <w:t xml:space="preserve"> </w:t>
      </w:r>
      <w:r>
        <w:t xml:space="preserve">Cir.</w:t>
      </w:r>
      <w:r>
        <w:t xml:space="preserve"> </w:t>
      </w:r>
      <w:r>
        <w:t xml:space="preserve">2005)</w:t>
      </w:r>
      <w:r>
        <w:t xml:space="preserve">   </w:t>
      </w:r>
      <w:r>
        <w:tab/>
      </w:r>
      <w:r>
        <w:t xml:space="preserve">8</w:t>
      </w:r>
    </w:p>
    <w:p>
      <w:pPr>
        <w:pStyle w:val="CAToaEntry"/>
      </w:pPr>
      <w:r>
        <w:rPr>
          <w:i/>
        </w:rPr>
        <w:t xml:space="preserve">Lisle</w:t>
      </w:r>
      <w:r>
        <w:rPr>
          <w:i/>
        </w:rPr>
        <w:t xml:space="preserve"> </w:t>
      </w:r>
      <w:r>
        <w:rPr>
          <w:i/>
        </w:rPr>
        <w:t xml:space="preserve">v.</w:t>
      </w:r>
      <w:r>
        <w:rPr>
          <w:i/>
        </w:rPr>
        <w:t xml:space="preserve"> </w:t>
      </w:r>
      <w:r>
        <w:rPr>
          <w:i/>
        </w:rPr>
        <w:t xml:space="preserve">Welborn</w:t>
      </w:r>
      <w:r>
        <w:t xml:space="preserve">,</w:t>
      </w:r>
      <w:r>
        <w:br/>
      </w:r>
      <w:r>
        <w:t xml:space="preserve">933</w:t>
      </w:r>
      <w:r>
        <w:t xml:space="preserve"> </w:t>
      </w:r>
      <w:r>
        <w:t xml:space="preserve">F.3d</w:t>
      </w:r>
      <w:r>
        <w:t xml:space="preserve"> </w:t>
      </w:r>
      <w:r>
        <w:t xml:space="preserve">705</w:t>
      </w:r>
      <w:r>
        <w:t xml:space="preserve"> </w:t>
      </w:r>
      <w:r>
        <w:t xml:space="preserve">(7th</w:t>
      </w:r>
      <w:r>
        <w:t xml:space="preserve"> </w:t>
      </w:r>
      <w:r>
        <w:t xml:space="preserve">Cir.</w:t>
      </w:r>
      <w:r>
        <w:t xml:space="preserve"> </w:t>
      </w:r>
      <w:r>
        <w:t xml:space="preserve">2019)</w:t>
      </w:r>
      <w:r>
        <w:t xml:space="preserve">   </w:t>
      </w:r>
      <w:r>
        <w:tab/>
      </w:r>
      <w:r>
        <w:t xml:space="preserve">5, 6, 8</w:t>
      </w:r>
    </w:p>
    <w:p>
      <w:pPr>
        <w:pStyle w:val="CAToaEntry"/>
      </w:pPr>
      <w:r>
        <w:rPr>
          <w:i/>
        </w:rPr>
        <w:t xml:space="preserve">Marion</w:t>
      </w:r>
      <w:r>
        <w:rPr>
          <w:i/>
        </w:rPr>
        <w:t xml:space="preserve"> </w:t>
      </w:r>
      <w:r>
        <w:rPr>
          <w:i/>
        </w:rPr>
        <w:t xml:space="preserve">v.</w:t>
      </w:r>
      <w:r>
        <w:rPr>
          <w:i/>
        </w:rPr>
        <w:t xml:space="preserve"> </w:t>
      </w:r>
      <w:r>
        <w:rPr>
          <w:i/>
        </w:rPr>
        <w:t xml:space="preserve">Columbia</w:t>
      </w:r>
      <w:r>
        <w:t xml:space="preserve">,</w:t>
      </w:r>
      <w:r>
        <w:br/>
      </w:r>
      <w:r>
        <w:t xml:space="preserve">559</w:t>
      </w:r>
      <w:r>
        <w:t xml:space="preserve"> </w:t>
      </w:r>
      <w:r>
        <w:t xml:space="preserve">F.3d</w:t>
      </w:r>
      <w:r>
        <w:t xml:space="preserve"> </w:t>
      </w:r>
      <w:r>
        <w:t xml:space="preserve">693</w:t>
      </w:r>
      <w:r>
        <w:t xml:space="preserve"> </w:t>
      </w:r>
      <w:r>
        <w:t xml:space="preserve">(7th</w:t>
      </w:r>
      <w:r>
        <w:t xml:space="preserve"> </w:t>
      </w:r>
      <w:r>
        <w:t xml:space="preserve">Cir.</w:t>
      </w:r>
      <w:r>
        <w:t xml:space="preserve"> </w:t>
      </w:r>
      <w:r>
        <w:t xml:space="preserve">2009)</w:t>
      </w:r>
      <w:r>
        <w:t xml:space="preserve">   </w:t>
      </w:r>
      <w:r>
        <w:tab/>
      </w:r>
      <w:r>
        <w:t xml:space="preserve">7</w:t>
      </w:r>
    </w:p>
    <w:p>
      <w:pPr>
        <w:pStyle w:val="CAToaEntry"/>
      </w:pPr>
      <w:r>
        <w:rPr>
          <w:i/>
        </w:rPr>
        <w:t xml:space="preserve">Sandin</w:t>
      </w:r>
      <w:r>
        <w:rPr>
          <w:i/>
        </w:rPr>
        <w:t xml:space="preserve"> </w:t>
      </w:r>
      <w:r>
        <w:rPr>
          <w:i/>
        </w:rPr>
        <w:t xml:space="preserve">v.</w:t>
      </w:r>
      <w:r>
        <w:rPr>
          <w:i/>
        </w:rPr>
        <w:t xml:space="preserve"> </w:t>
      </w:r>
      <w:r>
        <w:rPr>
          <w:i/>
        </w:rPr>
        <w:t xml:space="preserve">Conner</w:t>
      </w:r>
      <w:r>
        <w:t xml:space="preserve">,</w:t>
      </w:r>
      <w:r>
        <w:br/>
      </w:r>
      <w:r>
        <w:t xml:space="preserve">515</w:t>
      </w:r>
      <w:r>
        <w:t xml:space="preserve"> </w:t>
      </w:r>
      <w:r>
        <w:t xml:space="preserve">U.S.</w:t>
      </w:r>
      <w:r>
        <w:t xml:space="preserve"> </w:t>
      </w:r>
      <w:r>
        <w:t xml:space="preserve">472</w:t>
      </w:r>
      <w:r>
        <w:t xml:space="preserve"> </w:t>
      </w:r>
      <w:r>
        <w:t xml:space="preserve">(1995)</w:t>
      </w:r>
      <w:r>
        <w:t xml:space="preserve">   </w:t>
      </w:r>
      <w:r>
        <w:tab/>
      </w:r>
      <w:r>
        <w:t xml:space="preserve">2, 6</w:t>
      </w:r>
    </w:p>
    <w:p>
      <w:pPr>
        <w:pStyle w:val="CAToaEntry"/>
      </w:pPr>
      <w:r>
        <w:rPr>
          <w:i/>
        </w:rPr>
        <w:t xml:space="preserve">Thomas</w:t>
      </w:r>
      <w:r>
        <w:rPr>
          <w:i/>
        </w:rPr>
        <w:t xml:space="preserve"> </w:t>
      </w:r>
      <w:r>
        <w:rPr>
          <w:i/>
        </w:rPr>
        <w:t xml:space="preserve">v.</w:t>
      </w:r>
      <w:r>
        <w:rPr>
          <w:i/>
        </w:rPr>
        <w:t xml:space="preserve"> </w:t>
      </w:r>
      <w:r>
        <w:rPr>
          <w:i/>
        </w:rPr>
        <w:t xml:space="preserve">Ramos</w:t>
      </w:r>
      <w:r>
        <w:t xml:space="preserve">,</w:t>
      </w:r>
      <w:r>
        <w:br/>
      </w:r>
      <w:r>
        <w:t xml:space="preserve">130</w:t>
      </w:r>
      <w:r>
        <w:t xml:space="preserve"> </w:t>
      </w:r>
      <w:r>
        <w:t xml:space="preserve">F.3d</w:t>
      </w:r>
      <w:r>
        <w:t xml:space="preserve"> </w:t>
      </w:r>
      <w:r>
        <w:t xml:space="preserve">754</w:t>
      </w:r>
      <w:r>
        <w:t xml:space="preserve"> </w:t>
      </w:r>
      <w:r>
        <w:t xml:space="preserve">(7th</w:t>
      </w:r>
      <w:r>
        <w:t xml:space="preserve"> </w:t>
      </w:r>
      <w:r>
        <w:t xml:space="preserve">Cir.</w:t>
      </w:r>
      <w:r>
        <w:t xml:space="preserve"> </w:t>
      </w:r>
      <w:r>
        <w:t xml:space="preserve">1997)</w:t>
      </w:r>
      <w:r>
        <w:t xml:space="preserve">   </w:t>
      </w:r>
      <w:r>
        <w:tab/>
      </w:r>
      <w:r>
        <w:t xml:space="preserve">7, 8</w:t>
      </w:r>
    </w:p>
    <w:p>
      <w:pPr>
        <w:pStyle w:val="CAToaEntry"/>
      </w:pPr>
      <w:r>
        <w:rPr>
          <w:i/>
        </w:rPr>
        <w:t xml:space="preserve">Townsend</w:t>
      </w:r>
      <w:r>
        <w:rPr>
          <w:i/>
        </w:rPr>
        <w:t xml:space="preserve"> </w:t>
      </w:r>
      <w:r>
        <w:rPr>
          <w:i/>
        </w:rPr>
        <w:t xml:space="preserve">v.</w:t>
      </w:r>
      <w:r>
        <w:rPr>
          <w:i/>
        </w:rPr>
        <w:t xml:space="preserve"> </w:t>
      </w:r>
      <w:r>
        <w:rPr>
          <w:i/>
        </w:rPr>
        <w:t xml:space="preserve">Fuchs</w:t>
      </w:r>
      <w:r>
        <w:t xml:space="preserve">,</w:t>
      </w:r>
      <w:r>
        <w:br/>
      </w:r>
      <w:r>
        <w:t xml:space="preserve">522</w:t>
      </w:r>
      <w:r>
        <w:t xml:space="preserve"> </w:t>
      </w:r>
      <w:r>
        <w:t xml:space="preserve">F.3d</w:t>
      </w:r>
      <w:r>
        <w:t xml:space="preserve"> </w:t>
      </w:r>
      <w:r>
        <w:t xml:space="preserve">765</w:t>
      </w:r>
      <w:r>
        <w:t xml:space="preserve"> </w:t>
      </w:r>
      <w:r>
        <w:t xml:space="preserve">(7th</w:t>
      </w:r>
      <w:r>
        <w:t xml:space="preserve"> </w:t>
      </w:r>
      <w:r>
        <w:t xml:space="preserve">Cir.</w:t>
      </w:r>
      <w:r>
        <w:t xml:space="preserve"> </w:t>
      </w:r>
      <w:r>
        <w:t xml:space="preserve">2008)</w:t>
      </w:r>
      <w:r>
        <w:t xml:space="preserve">   </w:t>
      </w:r>
      <w:r>
        <w:tab/>
      </w:r>
      <w:r>
        <w:t xml:space="preserve">6, 7, 8, 9</w:t>
      </w:r>
    </w:p>
    <w:p>
      <w:pPr>
        <w:pStyle w:val="CAToaEntry"/>
      </w:pPr>
      <w:r>
        <w:rPr>
          <w:i/>
        </w:rPr>
        <w:t xml:space="preserve">Wilkinson</w:t>
      </w:r>
      <w:r>
        <w:rPr>
          <w:i/>
        </w:rPr>
        <w:t xml:space="preserve"> </w:t>
      </w:r>
      <w:r>
        <w:rPr>
          <w:i/>
        </w:rPr>
        <w:t xml:space="preserve">v.</w:t>
      </w:r>
      <w:r>
        <w:rPr>
          <w:i/>
        </w:rPr>
        <w:t xml:space="preserve"> </w:t>
      </w:r>
      <w:r>
        <w:rPr>
          <w:i/>
        </w:rPr>
        <w:t xml:space="preserve">Austin</w:t>
      </w:r>
      <w:r>
        <w:t xml:space="preserve">,</w:t>
      </w:r>
      <w:r>
        <w:br/>
      </w:r>
      <w:r>
        <w:t xml:space="preserve">545</w:t>
      </w:r>
      <w:r>
        <w:t xml:space="preserve"> </w:t>
      </w:r>
      <w:r>
        <w:t xml:space="preserve">U.S.</w:t>
      </w:r>
      <w:r>
        <w:t xml:space="preserve"> </w:t>
      </w:r>
      <w:r>
        <w:t xml:space="preserve">209</w:t>
      </w:r>
      <w:r>
        <w:t xml:space="preserve"> </w:t>
      </w:r>
      <w:r>
        <w:t xml:space="preserve">(2005)</w:t>
      </w:r>
      <w:r>
        <w:t xml:space="preserve">   </w:t>
      </w:r>
      <w:r>
        <w:tab/>
      </w:r>
      <w:r>
        <w:t xml:space="preserve">6</w:t>
      </w:r>
    </w:p>
    <w:p>
      <w:pPr>
        <w:pStyle w:val="CAToaEntry"/>
      </w:pPr>
      <w:r>
        <w:rPr>
          <w:i/>
        </w:rPr>
        <w:t xml:space="preserve">Williams</w:t>
      </w:r>
      <w:r>
        <w:rPr>
          <w:i/>
        </w:rPr>
        <w:t xml:space="preserve"> </w:t>
      </w:r>
      <w:r>
        <w:rPr>
          <w:i/>
        </w:rPr>
        <w:t xml:space="preserve">v.</w:t>
      </w:r>
      <w:r>
        <w:rPr>
          <w:i/>
        </w:rPr>
        <w:t xml:space="preserve"> </w:t>
      </w:r>
      <w:r>
        <w:rPr>
          <w:i/>
        </w:rPr>
        <w:t xml:space="preserve">Ramos</w:t>
      </w:r>
      <w:r>
        <w:t xml:space="preserve">,</w:t>
      </w:r>
      <w:r>
        <w:br/>
      </w:r>
      <w:r>
        <w:t xml:space="preserve">71</w:t>
      </w:r>
      <w:r>
        <w:t xml:space="preserve"> </w:t>
      </w:r>
      <w:r>
        <w:t xml:space="preserve">F.3d</w:t>
      </w:r>
      <w:r>
        <w:t xml:space="preserve"> </w:t>
      </w:r>
      <w:r>
        <w:t xml:space="preserve">1246</w:t>
      </w:r>
      <w:r>
        <w:t xml:space="preserve"> </w:t>
      </w:r>
      <w:r>
        <w:t xml:space="preserve">(7th</w:t>
      </w:r>
      <w:r>
        <w:t xml:space="preserve"> </w:t>
      </w:r>
      <w:r>
        <w:t xml:space="preserve">Cir.</w:t>
      </w:r>
      <w:r>
        <w:t xml:space="preserve"> </w:t>
      </w:r>
      <w:r>
        <w:t xml:space="preserve">1995)</w:t>
      </w:r>
      <w:r>
        <w:t xml:space="preserve">   </w:t>
      </w:r>
      <w:r>
        <w:tab/>
      </w:r>
      <w:r>
        <w:t xml:space="preserve">8</w:t>
      </w:r>
    </w:p>
    <w:p>
      <w:pPr>
        <w:pStyle w:val="CAToaGroup"/>
      </w:pPr>
      <w:r>
        <w:t xml:space="preserve">Constitutional Provisions:</w:t>
      </w:r>
    </w:p>
    <w:p>
      <w:pPr>
        <w:pStyle w:val="CAToaEntry"/>
      </w:pPr>
      <w:r>
        <w:t xml:space="preserve">U.S.</w:t>
      </w:r>
      <w:r>
        <w:t xml:space="preserve"> </w:t>
      </w:r>
      <w:r>
        <w:t xml:space="preserve">Const.</w:t>
      </w:r>
      <w:r>
        <w:t xml:space="preserve"> </w:t>
      </w:r>
      <w:r>
        <w:t xml:space="preserve">amend.</w:t>
      </w:r>
      <w:r>
        <w:t xml:space="preserve"> </w:t>
      </w:r>
      <w:r>
        <w:t xml:space="preserve">VIII</w:t>
      </w:r>
      <w:r>
        <w:t xml:space="preserve">   </w:t>
      </w:r>
      <w:r>
        <w:tab/>
      </w:r>
      <w:r>
        <w:t xml:space="preserve">6, 9</w:t>
      </w:r>
    </w:p>
    <w:p>
      <w:pPr>
        <w:pStyle w:val="CAToaGroup"/>
      </w:pPr>
      <w:r>
        <w:t xml:space="preserve">Statutes:</w:t>
      </w:r>
    </w:p>
    <w:p>
      <w:pPr>
        <w:pStyle w:val="CAToaEntry"/>
      </w:pPr>
      <w:r>
        <w:t xml:space="preserve">28</w:t>
      </w:r>
      <w:r>
        <w:t xml:space="preserve"> </w:t>
      </w:r>
      <w:r>
        <w:t xml:space="preserve">U.S.C.</w:t>
      </w:r>
      <w:r>
        <w:t xml:space="preserve"> </w:t>
      </w:r>
      <w:r>
        <w:t xml:space="preserve">§</w:t>
      </w:r>
      <w:r>
        <w:t xml:space="preserve"> </w:t>
      </w:r>
      <w:r>
        <w:t xml:space="preserve">1291</w:t>
      </w:r>
      <w:r>
        <w:t xml:space="preserve">   </w:t>
      </w:r>
      <w:r>
        <w:tab/>
      </w:r>
      <w:r>
        <w:t xml:space="preserve">1</w:t>
      </w:r>
    </w:p>
    <w:p>
      <w:pPr>
        <w:pStyle w:val="CAToaEntry"/>
      </w:pPr>
      <w:r>
        <w:t xml:space="preserve">28</w:t>
      </w:r>
      <w:r>
        <w:t xml:space="preserve"> </w:t>
      </w:r>
      <w:r>
        <w:t xml:space="preserve">U.S.C.</w:t>
      </w:r>
      <w:r>
        <w:t xml:space="preserve"> </w:t>
      </w:r>
      <w:r>
        <w:t xml:space="preserve">§</w:t>
      </w:r>
      <w:r>
        <w:t xml:space="preserve"> </w:t>
      </w:r>
      <w:r>
        <w:t xml:space="preserve">1331</w:t>
      </w:r>
      <w:r>
        <w:t xml:space="preserve">   </w:t>
      </w:r>
      <w:r>
        <w:tab/>
      </w:r>
      <w:r>
        <w:t xml:space="preserve">1</w:t>
      </w:r>
    </w:p>
    <w:p>
      <w:pPr>
        <w:pStyle w:val="CAToaEntry"/>
      </w:pPr>
      <w:r>
        <w:t xml:space="preserve">42</w:t>
      </w:r>
      <w:r>
        <w:t xml:space="preserve"> </w:t>
      </w:r>
      <w:r>
        <w:t xml:space="preserve">U.S.C.</w:t>
      </w:r>
      <w:r>
        <w:t xml:space="preserve"> </w:t>
      </w:r>
      <w:r>
        <w:t xml:space="preserve">§</w:t>
      </w:r>
      <w:r>
        <w:t xml:space="preserve"> </w:t>
      </w:r>
      <w:r>
        <w:t xml:space="preserve">1983</w:t>
      </w:r>
      <w:r>
        <w:t xml:space="preserve">   </w:t>
      </w:r>
      <w:r>
        <w:tab/>
      </w:r>
      <w:r>
        <w:t xml:space="preserve">1</w:t>
      </w:r>
    </w:p>
    <w:p>
      <w:pPr>
        <w:pStyle w:val="CAToaGroup"/>
      </w:pPr>
      <w:r>
        <w:t xml:space="preserve">Rules:</w:t>
      </w:r>
    </w:p>
    <w:p>
      <w:pPr>
        <w:pStyle w:val="CAToaEntry"/>
      </w:pPr>
      <w:r>
        <w:t xml:space="preserve">Fed.</w:t>
      </w:r>
      <w:r>
        <w:t xml:space="preserve"> </w:t>
      </w:r>
      <w:r>
        <w:t xml:space="preserve">R.</w:t>
      </w:r>
      <w:r>
        <w:t xml:space="preserve"> </w:t>
      </w:r>
      <w:r>
        <w:t xml:space="preserve">App.</w:t>
      </w:r>
      <w:r>
        <w:t xml:space="preserve"> </w:t>
      </w:r>
      <w:r>
        <w:t xml:space="preserve">P.</w:t>
      </w:r>
      <w:r>
        <w:t xml:space="preserve"> </w:t>
      </w:r>
      <w:r>
        <w:t xml:space="preserve">4(c)</w:t>
      </w:r>
      <w:r>
        <w:t xml:space="preserve">   </w:t>
      </w:r>
      <w:r>
        <w:tab/>
      </w:r>
      <w:r>
        <w:t xml:space="preserve">1</w:t>
      </w:r>
    </w:p>
    <w:p>
      <w:pPr>
        <w:spacing w:before="0" w:after="0" w:line="20" w:lineRule="exact"/>
        <w:sectPr>
          <w:footerReference w:type="default" r:id="rIdRomanFtr"/>
          <w:pgSz w:w="12240" w:h="15840"/>
          <w:pgMar w:top="1440" w:right="1440" w:bottom="1440" w:left="1440" w:header="720" w:footer="720" w:gutter="0"/>
          <w:pgNumType w:fmt="lowerRoman" w:start="1"/>
        </w:sectPr>
      </w:pPr>
    </w:p>
    <w:p>
      <w:pPr>
        <w:pStyle w:val="CASection"/>
        <w:keepNext/>
        <w:spacing w:before="0" w:after="308" w:line="400" w:lineRule="exact"/>
      </w:pPr>
      <w:r>
        <w:t xml:space="preserve">Jurisdictional</w:t>
      </w:r>
      <w:r>
        <w:t xml:space="preserve"> </w:t>
      </w:r>
      <w:r>
        <w:t xml:space="preserve">Statement</w:t>
      </w:r>
    </w:p>
    <w:p>
      <w:pPr>
        <w:pStyle w:val="FirstParagraph"/>
      </w:pPr>
      <w:r>
        <w:t xml:space="preserve">Plaintiff-appellant sued Defendants-appellees under 42 U.S.C. § 1983 for violating his federal rights under the Fourteenth Amendment to the United States Constitution. The district court had subject-matter jurisdiction under 28 U.S.C. § 1331. The district court entered final judgment on September 15, 2022. SA.11.</w:t>
      </w:r>
      <w:r>
        <w:rPr>
          <w:rStyle w:val="FootnoteReference"/>
        </w:rPr>
        <w:footnoteReference w:id="9"/>
      </w:r>
      <w:r>
        <w:t xml:space="preserve"> </w:t>
      </w:r>
      <w:r>
        <w:t xml:space="preserve">Appellant timely filed a notice of appeal under Federal Rule of Appellate Procedure 4(c) on October 14, 2022, and the notice of appeal was docketed on October 17, 2022. A.181</w:t>
      </w:r>
      <w:r>
        <w:noBreakHyphen/>
      </w:r>
      <w:r>
        <w:t xml:space="preserve">83. This Court has jurisdiction under 28 U.S.C. § 1291.</w:t>
      </w:r>
    </w:p>
    <w:p>
      <w:pPr>
        <w:pStyle w:val="CASection"/>
        <w:keepNext/>
      </w:pPr>
      <w:r>
        <w:t xml:space="preserve">Issue</w:t>
      </w:r>
      <w:r>
        <w:t xml:space="preserve"> </w:t>
      </w:r>
      <w:r>
        <w:t xml:space="preserve">Presented</w:t>
      </w:r>
    </w:p>
    <w:p>
      <w:pPr>
        <w:pStyle w:val="BodyText"/>
      </w:pPr>
      <w:r>
        <w:t xml:space="preserve">Whether the district court erred in concluding that Mr. Torres’s months-long segregative confinement in a cell riddled with feces, mold, mildew, and insects did not constitute an atypical and significant hardship compared to ordinary prison life sufficient to trigger procedural protections under the Due Process Clause.</w:t>
      </w:r>
    </w:p>
    <w:p>
      <w:pPr>
        <w:pStyle w:val="CASection"/>
        <w:keepNext/>
      </w:pPr>
      <w:r>
        <w:t xml:space="preserve">Introduction</w:t>
      </w:r>
    </w:p>
    <w:p>
      <w:pPr>
        <w:pStyle w:val="BodyText"/>
      </w:pPr>
      <w:r>
        <w:t xml:space="preserve">Appellant Norberto Torres’s due process rights were violated when Appellees Brookman and Hart ignored his requests to conduct a procedurally proper disciplinary hearing and then sentenced him to three months of segregation in inhumane conditions. Mr. Torres spent 90 days in a cell covered in mildew and mold and infested with insects. Each time the cell’s toilet was flushed, it exuded human waste onto the cell’s floor. Mr. Torres filed suit under Section 1983, alleging that Brookman and Hart violated his due process rights by sentencing him to such conditions without following proper process. The district court concluded that these conditions were not “atypical” or “significant” enough compared to ordinary prison life to substantiate a claim to procedural due process. That conclusion was incorrect, and the district court’s decision should be reversed.</w:t>
      </w:r>
    </w:p>
    <w:p>
      <w:pPr>
        <w:pStyle w:val="BodyText"/>
      </w:pPr>
      <w:r>
        <w:t xml:space="preserve">Prisoners have a constitutional right to due process before they can be deprived of “life, liberty, and property.”</w:t>
      </w:r>
      <w:r>
        <w:t xml:space="preserve"> </w:t>
      </w:r>
      <w:r>
        <w:rPr>
          <w:i/>
          <w:iCs/>
        </w:rPr>
        <w:t xml:space="preserve">Isby v. Brown</w:t>
      </w:r>
      <w:r>
        <w:t xml:space="preserve">, 856 F.3d 508, 524 (7th Cir. 2018). Specifically, prisoners retain a liberty interest in avoiding conditions that “impose[] atypical and significant hardship on the inmate in relation to the ordinary incidents of prison life.”</w:t>
      </w:r>
      <w:r>
        <w:t xml:space="preserve"> </w:t>
      </w:r>
      <w:r>
        <w:rPr>
          <w:i/>
          <w:iCs/>
        </w:rPr>
        <w:t xml:space="preserve">Sandin v. Conner</w:t>
      </w:r>
      <w:r>
        <w:t xml:space="preserve">, 515 U.S. 472, 484 (1995). Prisoners alleging a due process violation, therefore, must first show that correctional officers did not follow proper process in sentencing them to segregation, and second, that the conditions of that confinement constitute an “atypical and significant hardship.” On summary judgment, the district court must consider “the combined import of the duration of the segregative confinement and the conditions endured.”</w:t>
      </w:r>
      <w:r>
        <w:t xml:space="preserve"> </w:t>
      </w:r>
      <w:r>
        <w:rPr>
          <w:i/>
          <w:iCs/>
        </w:rPr>
        <w:t xml:space="preserve">Hardaway v. Meyerhoff</w:t>
      </w:r>
      <w:r>
        <w:t xml:space="preserve">, 734 F.3d 740, 743 (7th Cir. 2013).</w:t>
      </w:r>
    </w:p>
    <w:p>
      <w:pPr>
        <w:pStyle w:val="CASection"/>
        <w:keepNext/>
      </w:pPr>
      <w:r>
        <w:t xml:space="preserve">Statement</w:t>
      </w:r>
      <w:r>
        <w:t xml:space="preserve"> </w:t>
      </w:r>
      <w:r>
        <w:t xml:space="preserve">of</w:t>
      </w:r>
      <w:r>
        <w:t xml:space="preserve"> </w:t>
      </w:r>
      <w:r>
        <w:t xml:space="preserve">the</w:t>
      </w:r>
      <w:r>
        <w:t xml:space="preserve"> </w:t>
      </w:r>
      <w:r>
        <w:t xml:space="preserve">Case</w:t>
      </w:r>
    </w:p>
    <w:p>
      <w:pPr>
        <w:pStyle w:val="CAHeadL2S0"/>
        <w:keepNext/>
      </w:pPr>
      <w:r>
        <w:t xml:space="preserve">I.</w:t>
      </w:r>
      <w:r>
        <w:tab/>
      </w:r>
      <w:r>
        <w:t xml:space="preserve">Factual</w:t>
      </w:r>
      <w:r>
        <w:t xml:space="preserve"> </w:t>
      </w:r>
      <w:r>
        <w:t xml:space="preserve">Background</w:t>
      </w:r>
    </w:p>
    <w:p>
      <w:pPr>
        <w:pStyle w:val="BodyText"/>
      </w:pPr>
      <w:r>
        <w:t xml:space="preserve">Mr. Torres is serving a 60-year sentence in the Illinois Department of Corrections. Throughout the events of this case, Mr. Torres was imprisoned at Menard Correctional Center in Menard, Illinois. Defendants Brookman and Hart both served on the Adjustment Committee at Menard, responsible for conducting disciplinary hearings and sentencing prisoners to extra punishments for any infractions.</w:t>
      </w:r>
    </w:p>
    <w:p>
      <w:pPr>
        <w:pStyle w:val="CAHeadL3S1"/>
        <w:keepNext/>
      </w:pPr>
      <w:r>
        <w:t xml:space="preserve">A.</w:t>
      </w:r>
      <w:r>
        <w:tab/>
      </w:r>
      <w:r>
        <w:t xml:space="preserve">Mr.</w:t>
      </w:r>
      <w:r>
        <w:t xml:space="preserve"> </w:t>
      </w:r>
      <w:r>
        <w:t xml:space="preserve">Torres</w:t>
      </w:r>
      <w:r>
        <w:t xml:space="preserve"> </w:t>
      </w:r>
      <w:r>
        <w:t xml:space="preserve">receives</w:t>
      </w:r>
      <w:r>
        <w:t xml:space="preserve"> </w:t>
      </w:r>
      <w:r>
        <w:t xml:space="preserve">the</w:t>
      </w:r>
      <w:r>
        <w:t xml:space="preserve"> </w:t>
      </w:r>
      <w:r>
        <w:t xml:space="preserve">first</w:t>
      </w:r>
      <w:r>
        <w:t xml:space="preserve"> </w:t>
      </w:r>
      <w:r>
        <w:t xml:space="preserve">disciplinary</w:t>
      </w:r>
      <w:r>
        <w:t xml:space="preserve"> </w:t>
      </w:r>
      <w:r>
        <w:t xml:space="preserve">report,</w:t>
      </w:r>
      <w:r>
        <w:t xml:space="preserve"> </w:t>
      </w:r>
      <w:r>
        <w:t xml:space="preserve">which</w:t>
      </w:r>
      <w:r>
        <w:t xml:space="preserve"> </w:t>
      </w:r>
      <w:r>
        <w:t xml:space="preserve">is</w:t>
      </w:r>
      <w:r>
        <w:t xml:space="preserve"> </w:t>
      </w:r>
      <w:r>
        <w:t xml:space="preserve">promptly</w:t>
      </w:r>
      <w:r>
        <w:t xml:space="preserve"> </w:t>
      </w:r>
      <w:r>
        <w:t xml:space="preserve">expunged</w:t>
      </w:r>
    </w:p>
    <w:p>
      <w:pPr>
        <w:pStyle w:val="BodyText"/>
      </w:pPr>
      <w:r>
        <w:t xml:space="preserve">On March 13, 2017, Mr. Torres received Inmate Disciplinary Report Number 201700365/1-MEN (“the 365 Ticket”). A.142</w:t>
      </w:r>
      <w:r>
        <w:noBreakHyphen/>
      </w:r>
      <w:r>
        <w:t xml:space="preserve">43. While transferring a different prisoner to another facility, the Department of Corrections allegedly discovered a “Latin Folk questionnaire” filled out by Mr. Torres. A.142</w:t>
      </w:r>
      <w:r>
        <w:noBreakHyphen/>
      </w:r>
      <w:r>
        <w:t xml:space="preserve">43. Defendants Brookman and Hart convened a hearing for the 365 Ticket on March 15, 2017. A.142. Mr. Torres requested a witness for this hearing, but Brookman and Hart did not produce him. A.177. After a hearing that lasted no more than 15 minutes, A.104, Defendants expunged the 365 Ticket. A.142.</w:t>
      </w:r>
    </w:p>
    <w:p>
      <w:pPr>
        <w:pStyle w:val="CAHeadL3S1"/>
        <w:keepNext/>
      </w:pPr>
      <w:r>
        <w:t xml:space="preserve">B.</w:t>
      </w:r>
      <w:r>
        <w:tab/>
      </w:r>
      <w:r>
        <w:t xml:space="preserve">Mr.</w:t>
      </w:r>
      <w:r>
        <w:t xml:space="preserve"> </w:t>
      </w:r>
      <w:r>
        <w:t xml:space="preserve">Torres</w:t>
      </w:r>
      <w:r>
        <w:t xml:space="preserve"> </w:t>
      </w:r>
      <w:r>
        <w:t xml:space="preserve">is</w:t>
      </w:r>
      <w:r>
        <w:t xml:space="preserve"> </w:t>
      </w:r>
      <w:r>
        <w:t xml:space="preserve">confined</w:t>
      </w:r>
      <w:r>
        <w:t xml:space="preserve"> </w:t>
      </w:r>
      <w:r>
        <w:t xml:space="preserve">in</w:t>
      </w:r>
      <w:r>
        <w:t xml:space="preserve"> </w:t>
      </w:r>
      <w:r>
        <w:t xml:space="preserve">a</w:t>
      </w:r>
      <w:r>
        <w:t xml:space="preserve"> </w:t>
      </w:r>
      <w:r>
        <w:t xml:space="preserve">moldy,</w:t>
      </w:r>
      <w:r>
        <w:t xml:space="preserve"> </w:t>
      </w:r>
      <w:r>
        <w:t xml:space="preserve">contaminated</w:t>
      </w:r>
      <w:r>
        <w:t xml:space="preserve"> </w:t>
      </w:r>
      <w:r>
        <w:t xml:space="preserve">cell</w:t>
      </w:r>
      <w:r>
        <w:t xml:space="preserve"> </w:t>
      </w:r>
      <w:r>
        <w:t xml:space="preserve">for</w:t>
      </w:r>
      <w:r>
        <w:t xml:space="preserve"> </w:t>
      </w:r>
      <w:r>
        <w:t xml:space="preserve">three</w:t>
      </w:r>
      <w:r>
        <w:t xml:space="preserve"> </w:t>
      </w:r>
      <w:r>
        <w:t xml:space="preserve">months</w:t>
      </w:r>
    </w:p>
    <w:p>
      <w:pPr>
        <w:pStyle w:val="BodyText"/>
      </w:pPr>
      <w:r>
        <w:t xml:space="preserve">Being placed in segregation significantly restricted Mr. Torres’s life. He was not permitted to watch television, access a phone, or possess electronics. A.095</w:t>
      </w:r>
      <w:r>
        <w:noBreakHyphen/>
      </w:r>
      <w:r>
        <w:t xml:space="preserve">96. When Mr. Torres was placed in segregation, “it was three or four days until” he was provided with a bed. A.120. Unfortunately, his conditions in segregation did not improve after that. His cell toilet was polluted with insects, mildew, and rust: “[We were] breathing in rust.” A.120. This backflush included feces going into his cell each time the toilet was flushed. A.011. Mr. Torres informed the warden of these conditions and asked for cleaning supplies to clean the cell himself. A.011. Mr. Torres was never provided any cleaning supplies, forcing him to endure these conditions for the entirety of his segregation. A.011.</w:t>
      </w:r>
    </w:p>
    <w:p>
      <w:pPr>
        <w:pStyle w:val="CAHeadL2S0"/>
        <w:keepNext/>
      </w:pPr>
      <w:r>
        <w:t xml:space="preserve">II.</w:t>
      </w:r>
      <w:r>
        <w:tab/>
      </w:r>
      <w:r>
        <w:t xml:space="preserve">Proceedings</w:t>
      </w:r>
      <w:r>
        <w:t xml:space="preserve"> </w:t>
      </w:r>
      <w:r>
        <w:t xml:space="preserve">Below</w:t>
      </w:r>
    </w:p>
    <w:p>
      <w:pPr>
        <w:pStyle w:val="BodyText"/>
      </w:pPr>
      <w:r>
        <w:t xml:space="preserve">Mr. Torres brought this action pro se on February 28, 2019. A.005. On preliminary review, the district court divided Mr. Torres’s claims into two counts: (1) a Fourteenth Amendment procedural due process claim against Defendants Brookman and Hart; and (2) an Eighth Amendment claim against Chief Administrative Officer Lashbrook for cruel and unusual punishment. The district court determined that Mr. Torres’s three months of confinement in inhumane conditions was not an “atypical or significant hardship” because “a three-month period in punitive segregation is a miniscule part of Plaintiff’s imprisonment.” SA.009 (quoting</w:t>
      </w:r>
      <w:r>
        <w:t xml:space="preserve"> </w:t>
      </w:r>
      <w:r>
        <w:rPr>
          <w:i/>
          <w:iCs/>
        </w:rPr>
        <w:t xml:space="preserve">Lisle</w:t>
      </w:r>
      <w:r>
        <w:t xml:space="preserve">, 933 F.3d at 721).</w:t>
      </w:r>
    </w:p>
    <w:p>
      <w:pPr>
        <w:pStyle w:val="BodyText"/>
      </w:pPr>
      <w:r>
        <w:t xml:space="preserve">Mr. Torres timely appealed. A.181</w:t>
      </w:r>
      <w:r>
        <w:noBreakHyphen/>
      </w:r>
      <w:r>
        <w:t xml:space="preserve">83.</w:t>
      </w:r>
    </w:p>
    <w:p>
      <w:pPr>
        <w:pStyle w:val="CASection"/>
        <w:keepNext/>
      </w:pPr>
      <w:r>
        <w:t xml:space="preserve">Summary</w:t>
      </w:r>
      <w:r>
        <w:t xml:space="preserve"> </w:t>
      </w:r>
      <w:r>
        <w:t xml:space="preserve">of</w:t>
      </w:r>
      <w:r>
        <w:t xml:space="preserve"> </w:t>
      </w:r>
      <w:r>
        <w:t xml:space="preserve">Argument</w:t>
      </w:r>
    </w:p>
    <w:p>
      <w:pPr>
        <w:pStyle w:val="BodyText"/>
      </w:pPr>
      <w:r>
        <w:t xml:space="preserve">This Court should reverse because the district court misapplied the standard at summary judgment by failing to construe the evidence in the light most favorable to Mr. Torres (the non-movant below) and erred in its conclusion that Mr. Torres failed to offer evidence that his conditions in segregation were atypical and significant.</w:t>
      </w:r>
    </w:p>
    <w:p>
      <w:pPr>
        <w:pStyle w:val="BodyText"/>
      </w:pPr>
      <w:r>
        <w:t xml:space="preserve">The district court committed three legal errors, each of which justifies reversal. First, the district court incorrectly relied on the length of Mr. Torres’s sentence to conclude that his 90 days in segregation could not amount to an atypical and significant hardship. Second, the district court improperly imported an element from an Eighth Amendment conditions of confinement claim to Mr. Torres’s Fourteenth Amendment Due Process claim by faulting him for not putting forth evidence of a substantial risk of harm. Third, the district court did not construe all facts in a light most favorable to Mr. Torres and ignored undisputed material facts in the record.</w:t>
      </w:r>
    </w:p>
    <w:p>
      <w:pPr>
        <w:pStyle w:val="CASection"/>
        <w:keepNext/>
      </w:pPr>
      <w:r>
        <w:t xml:space="preserve">Standard</w:t>
      </w:r>
      <w:r>
        <w:t xml:space="preserve"> </w:t>
      </w:r>
      <w:r>
        <w:t xml:space="preserve">of</w:t>
      </w:r>
      <w:r>
        <w:t xml:space="preserve"> </w:t>
      </w:r>
      <w:r>
        <w:t xml:space="preserve">Review</w:t>
      </w:r>
    </w:p>
    <w:p>
      <w:pPr>
        <w:pStyle w:val="BodyText"/>
      </w:pPr>
      <w:r>
        <w:t xml:space="preserve">This Court reviews de novo a district court’s grant of summary judgment. All facts must be construed in a light favorable to Mr. Torres, drawing all reasonable inferences in his favor.</w:t>
      </w:r>
      <w:r>
        <w:t xml:space="preserve"> </w:t>
      </w:r>
      <w:r>
        <w:rPr>
          <w:i/>
          <w:iCs/>
        </w:rPr>
        <w:t xml:space="preserve">Lisle</w:t>
      </w:r>
      <w:r>
        <w:t xml:space="preserve">, 933 F.3d at 716.</w:t>
      </w:r>
    </w:p>
    <w:p>
      <w:pPr>
        <w:pStyle w:val="CASection"/>
        <w:keepNext/>
      </w:pPr>
      <w:r>
        <w:t xml:space="preserve">Argument</w:t>
      </w:r>
    </w:p>
    <w:p>
      <w:pPr>
        <w:pStyle w:val="BodyText"/>
      </w:pPr>
      <w:r>
        <w:t xml:space="preserve">Because Brookman and Hart violated Mr. Torres’s due process rights at his second hearing, Mr. Torres was confined in a cell for three months that was infested with mold, mildew, insects, and rust, and consistently flooded with sewage water containing human waste. These conditions were “atypical and significant” under Seventh Circuit precedent and implicate Mr. Torres’s liberty interests.</w:t>
      </w:r>
    </w:p>
    <w:p>
      <w:pPr>
        <w:pStyle w:val="BodyText"/>
      </w:pPr>
      <w:r>
        <w:t xml:space="preserve">The Constitution does not always “create an interest in avoiding transfer within a correctional facility.”</w:t>
      </w:r>
      <w:r>
        <w:t xml:space="preserve"> </w:t>
      </w:r>
      <w:r>
        <w:rPr>
          <w:i/>
          <w:iCs/>
        </w:rPr>
        <w:t xml:space="preserve">Townsend v. Fuchs</w:t>
      </w:r>
      <w:r>
        <w:t xml:space="preserve">, 522 F.3d 765, 771 (7th Cir. 2008) (citing</w:t>
      </w:r>
      <w:r>
        <w:t xml:space="preserve"> </w:t>
      </w:r>
      <w:r>
        <w:rPr>
          <w:i/>
          <w:iCs/>
        </w:rPr>
        <w:t xml:space="preserve">Wilkinson v. Austin</w:t>
      </w:r>
      <w:r>
        <w:t xml:space="preserve">, 545 U.S. 209, 222 (2005)). The Supreme Court has determined, however, that the Fourteenth Amendment provides to inmates a liberty interest in avoiding placement in more restrictive conditions, such as segregation, when those conditions pose an atypical and significant hardship when compared to the ordinary incidents of prison life.</w:t>
      </w:r>
      <w:r>
        <w:t xml:space="preserve"> </w:t>
      </w:r>
      <w:r>
        <w:rPr>
          <w:i/>
          <w:iCs/>
        </w:rPr>
        <w:t xml:space="preserve">Id.</w:t>
      </w:r>
      <w:r>
        <w:t xml:space="preserve"> </w:t>
      </w:r>
      <w:r>
        <w:t xml:space="preserve">(citing</w:t>
      </w:r>
      <w:r>
        <w:t xml:space="preserve"> </w:t>
      </w:r>
      <w:r>
        <w:rPr>
          <w:i/>
          <w:iCs/>
        </w:rPr>
        <w:t xml:space="preserve">Sandin</w:t>
      </w:r>
      <w:r>
        <w:t xml:space="preserve">, 515 U.S. at 484). This “atypical and significant hardship” does not need to rise to the level of an Eighth Amendment violation to “trigger[] procedural requirements.”</w:t>
      </w:r>
      <w:r>
        <w:t xml:space="preserve"> </w:t>
      </w:r>
      <w:r>
        <w:rPr>
          <w:i/>
          <w:iCs/>
        </w:rPr>
        <w:t xml:space="preserve">Gillis v. Litscher</w:t>
      </w:r>
      <w:r>
        <w:t xml:space="preserve">, 468 F.3d 488 (7th Cir. 2006). Determining whether conditions rise to this level is a “fact intensive inquiry,” and is therefore ultimately a fact question for the jury.</w:t>
      </w:r>
      <w:r>
        <w:t xml:space="preserve"> </w:t>
      </w:r>
      <w:r>
        <w:rPr>
          <w:i/>
          <w:iCs/>
        </w:rPr>
        <w:t xml:space="preserve">Gillis</w:t>
      </w:r>
      <w:r>
        <w:t xml:space="preserve">, 468 F.3d at 492. In doing so, courts must look at “the combined import of the duration of the segregative confinement and the conditions endured.”</w:t>
      </w:r>
      <w:r>
        <w:t xml:space="preserve"> </w:t>
      </w:r>
      <w:r>
        <w:rPr>
          <w:i/>
          <w:iCs/>
        </w:rPr>
        <w:t xml:space="preserve">Marion v. Columbia</w:t>
      </w:r>
      <w:r>
        <w:t xml:space="preserve">, 559 F.3d 693, 697 (7th Cir. 2009). Neither is dispositive, as “relatively short terms of segregation” subject to “exceptionally harsh conditions” may “give rise to a prisoner’s liberty interest.”</w:t>
      </w:r>
      <w:r>
        <w:t xml:space="preserve"> </w:t>
      </w:r>
      <w:r>
        <w:rPr>
          <w:i/>
          <w:iCs/>
        </w:rPr>
        <w:t xml:space="preserve">Hardaway</w:t>
      </w:r>
      <w:r>
        <w:t xml:space="preserve">, 734 F.3d at 743.</w:t>
      </w:r>
    </w:p>
    <w:p>
      <w:pPr>
        <w:pStyle w:val="CAHeadL2S0"/>
        <w:keepNext/>
      </w:pPr>
      <w:r>
        <w:t xml:space="preserve">I.</w:t>
      </w:r>
      <w:r>
        <w:tab/>
      </w:r>
      <w:r>
        <w:t xml:space="preserve">The</w:t>
      </w:r>
      <w:r>
        <w:t xml:space="preserve"> </w:t>
      </w:r>
      <w:r>
        <w:t xml:space="preserve">district</w:t>
      </w:r>
      <w:r>
        <w:t xml:space="preserve"> </w:t>
      </w:r>
      <w:r>
        <w:t xml:space="preserve">court’s</w:t>
      </w:r>
      <w:r>
        <w:t xml:space="preserve"> </w:t>
      </w:r>
      <w:r>
        <w:t xml:space="preserve">summary</w:t>
      </w:r>
      <w:r>
        <w:t xml:space="preserve"> </w:t>
      </w:r>
      <w:r>
        <w:t xml:space="preserve">judgment</w:t>
      </w:r>
      <w:r>
        <w:t xml:space="preserve"> </w:t>
      </w:r>
      <w:r>
        <w:t xml:space="preserve">opinion</w:t>
      </w:r>
      <w:r>
        <w:t xml:space="preserve"> </w:t>
      </w:r>
      <w:r>
        <w:t xml:space="preserve">misstated</w:t>
      </w:r>
      <w:r>
        <w:t xml:space="preserve"> </w:t>
      </w:r>
      <w:r>
        <w:t xml:space="preserve">the</w:t>
      </w:r>
      <w:r>
        <w:t xml:space="preserve"> </w:t>
      </w:r>
      <w:r>
        <w:t xml:space="preserve">law</w:t>
      </w:r>
      <w:r>
        <w:t xml:space="preserve"> </w:t>
      </w:r>
      <w:r>
        <w:t xml:space="preserve">and</w:t>
      </w:r>
      <w:r>
        <w:t xml:space="preserve"> </w:t>
      </w:r>
      <w:r>
        <w:t xml:space="preserve">misapplied</w:t>
      </w:r>
      <w:r>
        <w:t xml:space="preserve"> </w:t>
      </w:r>
      <w:r>
        <w:t xml:space="preserve">the</w:t>
      </w:r>
      <w:r>
        <w:t xml:space="preserve"> </w:t>
      </w:r>
      <w:r>
        <w:t xml:space="preserve">summary</w:t>
      </w:r>
      <w:r>
        <w:t xml:space="preserve"> </w:t>
      </w:r>
      <w:r>
        <w:t xml:space="preserve">judgment</w:t>
      </w:r>
      <w:r>
        <w:t xml:space="preserve"> </w:t>
      </w:r>
      <w:r>
        <w:t xml:space="preserve">standard</w:t>
      </w:r>
    </w:p>
    <w:p>
      <w:pPr>
        <w:pStyle w:val="CAHeadL3S1"/>
        <w:keepNext/>
      </w:pPr>
      <w:r>
        <w:t xml:space="preserve">A.</w:t>
      </w:r>
      <w:r>
        <w:tab/>
      </w:r>
      <w:r>
        <w:t xml:space="preserve">The</w:t>
      </w:r>
      <w:r>
        <w:t xml:space="preserve"> </w:t>
      </w:r>
      <w:r>
        <w:t xml:space="preserve">district</w:t>
      </w:r>
      <w:r>
        <w:t xml:space="preserve"> </w:t>
      </w:r>
      <w:r>
        <w:t xml:space="preserve">court</w:t>
      </w:r>
      <w:r>
        <w:t xml:space="preserve"> </w:t>
      </w:r>
      <w:r>
        <w:t xml:space="preserve">erred</w:t>
      </w:r>
      <w:r>
        <w:t xml:space="preserve"> </w:t>
      </w:r>
      <w:r>
        <w:t xml:space="preserve">by</w:t>
      </w:r>
      <w:r>
        <w:t xml:space="preserve"> </w:t>
      </w:r>
      <w:r>
        <w:t xml:space="preserve">assessing</w:t>
      </w:r>
      <w:r>
        <w:t xml:space="preserve"> </w:t>
      </w:r>
      <w:r>
        <w:t xml:space="preserve">the</w:t>
      </w:r>
      <w:r>
        <w:t xml:space="preserve"> </w:t>
      </w:r>
      <w:r>
        <w:t xml:space="preserve">amount</w:t>
      </w:r>
      <w:r>
        <w:t xml:space="preserve"> </w:t>
      </w:r>
      <w:r>
        <w:t xml:space="preserve">of</w:t>
      </w:r>
      <w:r>
        <w:t xml:space="preserve"> </w:t>
      </w:r>
      <w:r>
        <w:t xml:space="preserve">time</w:t>
      </w:r>
      <w:r>
        <w:t xml:space="preserve"> </w:t>
      </w:r>
      <w:r>
        <w:t xml:space="preserve">that</w:t>
      </w:r>
      <w:r>
        <w:t xml:space="preserve"> </w:t>
      </w:r>
      <w:r>
        <w:t xml:space="preserve">Mr.</w:t>
      </w:r>
      <w:r>
        <w:t xml:space="preserve"> </w:t>
      </w:r>
      <w:r>
        <w:t xml:space="preserve">Torres</w:t>
      </w:r>
      <w:r>
        <w:t xml:space="preserve"> </w:t>
      </w:r>
      <w:r>
        <w:t xml:space="preserve">spent</w:t>
      </w:r>
      <w:r>
        <w:t xml:space="preserve"> </w:t>
      </w:r>
      <w:r>
        <w:t xml:space="preserve">in</w:t>
      </w:r>
      <w:r>
        <w:t xml:space="preserve"> </w:t>
      </w:r>
      <w:r>
        <w:t xml:space="preserve">segregation</w:t>
      </w:r>
      <w:r>
        <w:t xml:space="preserve"> </w:t>
      </w:r>
      <w:r>
        <w:t xml:space="preserve">relative</w:t>
      </w:r>
      <w:r>
        <w:t xml:space="preserve"> </w:t>
      </w:r>
      <w:r>
        <w:t xml:space="preserve">to</w:t>
      </w:r>
      <w:r>
        <w:t xml:space="preserve"> </w:t>
      </w:r>
      <w:r>
        <w:t xml:space="preserve">his</w:t>
      </w:r>
      <w:r>
        <w:t xml:space="preserve"> </w:t>
      </w:r>
      <w:r>
        <w:t xml:space="preserve">sentence</w:t>
      </w:r>
    </w:p>
    <w:p>
      <w:pPr>
        <w:pStyle w:val="BodyText"/>
      </w:pPr>
      <w:r>
        <w:t xml:space="preserve">The district court’s assertion that “Courts have dismissed due process claims based on relatively short periods of disciplinary segregation without inquiry into the specific conditions of confinement,” misstates the law on segregative confinement claims. SA.008</w:t>
      </w:r>
      <w:r>
        <w:noBreakHyphen/>
      </w:r>
      <w:r>
        <w:t xml:space="preserve">09 (citing</w:t>
      </w:r>
      <w:r>
        <w:t xml:space="preserve"> </w:t>
      </w:r>
      <w:r>
        <w:rPr>
          <w:i/>
          <w:iCs/>
        </w:rPr>
        <w:t xml:space="preserve">Marion</w:t>
      </w:r>
      <w:r>
        <w:t xml:space="preserve">, 559 F.3d at 698;</w:t>
      </w:r>
      <w:r>
        <w:t xml:space="preserve"> </w:t>
      </w:r>
      <w:r>
        <w:rPr>
          <w:i/>
          <w:iCs/>
        </w:rPr>
        <w:t xml:space="preserve">Townsend</w:t>
      </w:r>
      <w:r>
        <w:t xml:space="preserve">, 522 F.3d at 766;</w:t>
      </w:r>
      <w:r>
        <w:t xml:space="preserve"> </w:t>
      </w:r>
      <w:r>
        <w:rPr>
          <w:i/>
          <w:iCs/>
        </w:rPr>
        <w:t xml:space="preserve">Hoskins v. Lenear</w:t>
      </w:r>
      <w:r>
        <w:t xml:space="preserve">, 395 F.3d 372, 374</w:t>
      </w:r>
      <w:r>
        <w:noBreakHyphen/>
      </w:r>
      <w:r>
        <w:t xml:space="preserve">75 (7th Cir. 2005);</w:t>
      </w:r>
      <w:r>
        <w:t xml:space="preserve"> </w:t>
      </w:r>
      <w:r>
        <w:rPr>
          <w:i/>
          <w:iCs/>
        </w:rPr>
        <w:t xml:space="preserve">Thomas v. Ramos</w:t>
      </w:r>
      <w:r>
        <w:t xml:space="preserve">, 130 F.3d 754, 761 (7th Cir. 1997)). This Court has made clear that district courts must examine “the combined import of the duration of the segregative confinement and the conditions endured.”</w:t>
      </w:r>
      <w:r>
        <w:t xml:space="preserve"> </w:t>
      </w:r>
      <w:r>
        <w:rPr>
          <w:i/>
          <w:iCs/>
        </w:rPr>
        <w:t xml:space="preserve">Hardaway</w:t>
      </w:r>
      <w:r>
        <w:t xml:space="preserve">, 734 F.3d at 743 (first emphasis added). This Court has “found that, depending on the conditions of confinement and whether there were any additional punishments, a period of segregation considerably shorter than four months may” constitute an atypical and significant hardship.</w:t>
      </w:r>
      <w:r>
        <w:t xml:space="preserve"> </w:t>
      </w:r>
      <w:r>
        <w:rPr>
          <w:i/>
          <w:iCs/>
        </w:rPr>
        <w:t xml:space="preserve">Lisle</w:t>
      </w:r>
      <w:r>
        <w:t xml:space="preserve">, 933 F.3d at 721 (citing</w:t>
      </w:r>
      <w:r>
        <w:t xml:space="preserve"> </w:t>
      </w:r>
      <w:r>
        <w:rPr>
          <w:i/>
          <w:iCs/>
        </w:rPr>
        <w:t xml:space="preserve">Kervin v. Barnes</w:t>
      </w:r>
      <w:r>
        <w:t xml:space="preserve">, 787 F.3d 833, 836 (7th Cir. 2015)).</w:t>
      </w:r>
    </w:p>
    <w:p>
      <w:pPr>
        <w:pStyle w:val="BodyText"/>
      </w:pPr>
      <w:r>
        <w:t xml:space="preserve">In</w:t>
      </w:r>
      <w:r>
        <w:t xml:space="preserve"> </w:t>
      </w:r>
      <w:r>
        <w:rPr>
          <w:i/>
          <w:iCs/>
        </w:rPr>
        <w:t xml:space="preserve">Marion</w:t>
      </w:r>
      <w:r>
        <w:t xml:space="preserve">, while 240 days of segregation was insufficient on its own to be an “atypical and significant” condition, the case was remanded for further fact finding into the conditions of that confinement.</w:t>
      </w:r>
      <w:r>
        <w:t xml:space="preserve"> </w:t>
      </w:r>
      <w:r>
        <w:rPr>
          <w:i/>
          <w:iCs/>
        </w:rPr>
        <w:t xml:space="preserve">Id.</w:t>
      </w:r>
      <w:r>
        <w:t xml:space="preserve"> </w:t>
      </w:r>
      <w:r>
        <w:t xml:space="preserve">at 698</w:t>
      </w:r>
      <w:r>
        <w:noBreakHyphen/>
      </w:r>
      <w:r>
        <w:t xml:space="preserve">99. In</w:t>
      </w:r>
      <w:r>
        <w:t xml:space="preserve"> </w:t>
      </w:r>
      <w:r>
        <w:rPr>
          <w:i/>
          <w:iCs/>
        </w:rPr>
        <w:t xml:space="preserve">Townsend</w:t>
      </w:r>
      <w:r>
        <w:t xml:space="preserve">, the holding turned not on the fact that the plaintiff was in segregation for only 59 days, but rather on the fact that the segregative confinement was administrative rather than disciplinary.</w:t>
      </w:r>
      <w:r>
        <w:t xml:space="preserve"> </w:t>
      </w:r>
      <w:r>
        <w:rPr>
          <w:i/>
          <w:iCs/>
        </w:rPr>
        <w:t xml:space="preserve">Lekas v. Briley</w:t>
      </w:r>
      <w:r>
        <w:t xml:space="preserve">, 405 F.3d 602, 608</w:t>
      </w:r>
      <w:r>
        <w:noBreakHyphen/>
      </w:r>
      <w:r>
        <w:t xml:space="preserve">09 (7th Cir. 2005). In</w:t>
      </w:r>
      <w:r>
        <w:t xml:space="preserve"> </w:t>
      </w:r>
      <w:r>
        <w:rPr>
          <w:i/>
          <w:iCs/>
        </w:rPr>
        <w:t xml:space="preserve">Thomas</w:t>
      </w:r>
      <w:r>
        <w:t xml:space="preserve">, the Court’s conclusion explicitly depended on the combination of the duration and conditions of disciplinary segregation.</w:t>
      </w:r>
      <w:r>
        <w:t xml:space="preserve"> </w:t>
      </w:r>
      <w:r>
        <w:rPr>
          <w:i/>
          <w:iCs/>
        </w:rPr>
        <w:t xml:space="preserve">Thomas</w:t>
      </w:r>
      <w:r>
        <w:t xml:space="preserve">, 130 F.3d at 762 (quoting</w:t>
      </w:r>
      <w:r>
        <w:t xml:space="preserve"> </w:t>
      </w:r>
      <w:r>
        <w:rPr>
          <w:i/>
          <w:iCs/>
        </w:rPr>
        <w:t xml:space="preserve">Williams v. Ramos</w:t>
      </w:r>
      <w:r>
        <w:t xml:space="preserve">, 71 F.3d 1246, 1249 (7th Cir. 1995)).</w:t>
      </w:r>
    </w:p>
    <w:p>
      <w:pPr>
        <w:pStyle w:val="BodyText"/>
      </w:pPr>
      <w:r>
        <w:t xml:space="preserve">The district court further erred in considering the length of Mr. Torres’s segregative confinement in relation to the length of his underlying sentence. Neither the Supreme Court nor this Court has ever held that the fact-intensive inquiry that goes into consideration of liberty interests includes the length of the plaintiff’s sentence as a variable. A prisoner serving a 60-year sentence has no less of a constitutional liberty interest than someone serving a six-day sentence. Whether or not conditions rise to the level of atypical and significant does not depend on the length of a prisoner’s sentence. To the extent that the district court’s opinion relied on its assessment that “[v]iewed in the context of Plaintiff’s 60-year sentence, a three-month period in punitive segregation is a miniscule part of Plaintiff’s imprisonment,” SA.009, it cannot stand.</w:t>
      </w:r>
    </w:p>
    <w:p>
      <w:pPr>
        <w:pStyle w:val="CAHeadL3S1"/>
        <w:keepNext/>
      </w:pPr>
      <w:r>
        <w:t xml:space="preserve">B.</w:t>
      </w:r>
      <w:r>
        <w:tab/>
      </w:r>
      <w:r>
        <w:t xml:space="preserve">The</w:t>
      </w:r>
      <w:r>
        <w:t xml:space="preserve"> </w:t>
      </w:r>
      <w:r>
        <w:t xml:space="preserve">district</w:t>
      </w:r>
      <w:r>
        <w:t xml:space="preserve"> </w:t>
      </w:r>
      <w:r>
        <w:t xml:space="preserve">court</w:t>
      </w:r>
      <w:r>
        <w:t xml:space="preserve"> </w:t>
      </w:r>
      <w:r>
        <w:t xml:space="preserve">further</w:t>
      </w:r>
      <w:r>
        <w:t xml:space="preserve"> </w:t>
      </w:r>
      <w:r>
        <w:t xml:space="preserve">erred</w:t>
      </w:r>
      <w:r>
        <w:t xml:space="preserve"> </w:t>
      </w:r>
      <w:r>
        <w:t xml:space="preserve">by</w:t>
      </w:r>
      <w:r>
        <w:t xml:space="preserve"> </w:t>
      </w:r>
      <w:r>
        <w:t xml:space="preserve">requiring</w:t>
      </w:r>
      <w:r>
        <w:t xml:space="preserve"> </w:t>
      </w:r>
      <w:r>
        <w:t xml:space="preserve">Mr.</w:t>
      </w:r>
      <w:r>
        <w:t xml:space="preserve"> </w:t>
      </w:r>
      <w:r>
        <w:t xml:space="preserve">Torres</w:t>
      </w:r>
      <w:r>
        <w:t xml:space="preserve"> </w:t>
      </w:r>
      <w:r>
        <w:t xml:space="preserve">to</w:t>
      </w:r>
      <w:r>
        <w:t xml:space="preserve"> </w:t>
      </w:r>
      <w:r>
        <w:t xml:space="preserve">prove</w:t>
      </w:r>
      <w:r>
        <w:t xml:space="preserve"> </w:t>
      </w:r>
      <w:r>
        <w:t xml:space="preserve">physical</w:t>
      </w:r>
      <w:r>
        <w:t xml:space="preserve"> </w:t>
      </w:r>
      <w:r>
        <w:t xml:space="preserve">or</w:t>
      </w:r>
      <w:r>
        <w:t xml:space="preserve"> </w:t>
      </w:r>
      <w:r>
        <w:t xml:space="preserve">mental</w:t>
      </w:r>
      <w:r>
        <w:t xml:space="preserve"> </w:t>
      </w:r>
      <w:r>
        <w:t xml:space="preserve">harm</w:t>
      </w:r>
      <w:r>
        <w:t xml:space="preserve"> </w:t>
      </w:r>
      <w:r>
        <w:t xml:space="preserve">because</w:t>
      </w:r>
      <w:r>
        <w:t xml:space="preserve"> </w:t>
      </w:r>
      <w:r>
        <w:t xml:space="preserve">of</w:t>
      </w:r>
      <w:r>
        <w:t xml:space="preserve"> </w:t>
      </w:r>
      <w:r>
        <w:t xml:space="preserve">his</w:t>
      </w:r>
      <w:r>
        <w:t xml:space="preserve"> </w:t>
      </w:r>
      <w:r>
        <w:t xml:space="preserve">confinement</w:t>
      </w:r>
    </w:p>
    <w:p>
      <w:pPr>
        <w:pStyle w:val="BodyText"/>
      </w:pPr>
      <w:r>
        <w:t xml:space="preserve">The district court again misconstrued the law when it faulted Mr. Torres for not alleging “that he suffered physical or mental harm or substantial risk to his health because of his three-month confinement in the cell.” SA.009. There is no requirement that plaintiffs allege any physical or mental harm because of confinement in his cell to plead a violation of his due process rights. To be sure, claims challenging the conditions of confinement under the Eighth Amendment require showing that the conditions exposed an inmate to “a substantial risk of serious harm.”</w:t>
      </w:r>
      <w:r>
        <w:t xml:space="preserve"> </w:t>
      </w:r>
      <w:r>
        <w:rPr>
          <w:i/>
          <w:iCs/>
        </w:rPr>
        <w:t xml:space="preserve">Townsend</w:t>
      </w:r>
      <w:r>
        <w:t xml:space="preserve">, 522 F.3d at 773 (citing</w:t>
      </w:r>
      <w:r>
        <w:t xml:space="preserve"> </w:t>
      </w:r>
      <w:r>
        <w:rPr>
          <w:i/>
          <w:iCs/>
        </w:rPr>
        <w:t xml:space="preserve">Farmer v. Brennan</w:t>
      </w:r>
      <w:r>
        <w:t xml:space="preserve">, 511 U.S. 825, 847 (1994)). But claims alleging that a violation of a prisoner’s due process rights resulted in an atypical and significant hardship have no such requirement.</w:t>
      </w:r>
    </w:p>
    <w:p>
      <w:pPr>
        <w:pStyle w:val="CASection"/>
        <w:keepNext/>
      </w:pPr>
      <w:r>
        <w:t xml:space="preserve">Conclusion</w:t>
      </w:r>
    </w:p>
    <w:p>
      <w:pPr>
        <w:pStyle w:val="CABodyLast"/>
      </w:pPr>
      <w:r>
        <w:t xml:space="preserve">Mr. Torres respectfully asks the Court to reverse the judgment below.</w:t>
      </w:r>
    </w:p>
    <w:p>
      <w:pPr>
        <w:pStyle w:val="CASigHead"/>
        <w:keepNext/>
      </w:pPr>
      <w:r>
        <w:t xml:space="preserve">Respectfully submitted,</w:t>
      </w:r>
    </w:p>
    <w:p>
      <w:pPr>
        <w:pStyle w:val="CASignature"/>
        <w:keepNext/>
        <w:spacing w:before="336" w:after="0" w:line="400" w:lineRule="exact"/>
      </w:pPr>
      <w:r>
        <w:t xml:space="preserve">s/ Matthew L. Farley</w:t>
      </w:r>
      <w:r>
        <w:br/>
      </w:r>
      <w:r>
        <w:t xml:space="preserve">MATTHEW L. FARLEY</w:t>
      </w:r>
    </w:p>
    <w:p>
      <w:pPr>
        <w:pStyle w:val="CASignature"/>
        <w:keepNext/>
        <w:ind w:left="4820" w:firstLine="0"/>
      </w:pPr>
      <w:r>
        <w:t xml:space="preserve">ARNOLD</w:t>
      </w:r>
      <w:r>
        <w:t xml:space="preserve"> </w:t>
      </w:r>
      <w:r>
        <w:t xml:space="preserve">&amp;</w:t>
      </w:r>
      <w:r>
        <w:t xml:space="preserve"> </w:t>
      </w:r>
      <w:r>
        <w:t xml:space="preserve">PORTER</w:t>
      </w:r>
      <w:r>
        <w:t xml:space="preserve"> </w:t>
      </w:r>
      <w:r>
        <w:t xml:space="preserve">KAYE</w:t>
      </w:r>
      <w:r>
        <w:t xml:space="preserve"> </w:t>
      </w:r>
      <w:r>
        <w:t xml:space="preserve">SCHOLER</w:t>
      </w:r>
      <w:r>
        <w:t xml:space="preserve"> </w:t>
      </w:r>
      <w:r>
        <w:t xml:space="preserve">LLP</w:t>
      </w:r>
    </w:p>
    <w:p>
      <w:pPr>
        <w:pStyle w:val="CASignature"/>
        <w:keepNext/>
        <w:ind w:left="4820" w:firstLine="0"/>
      </w:pPr>
      <w:r>
        <w:t xml:space="preserve">601</w:t>
      </w:r>
      <w:r>
        <w:t xml:space="preserve"> </w:t>
      </w:r>
      <w:r>
        <w:t xml:space="preserve">Massachusetts</w:t>
      </w:r>
      <w:r>
        <w:t xml:space="preserve"> </w:t>
      </w:r>
      <w:r>
        <w:t xml:space="preserve">Ave.,</w:t>
      </w:r>
      <w:r>
        <w:t xml:space="preserve"> </w:t>
      </w:r>
      <w:r>
        <w:t xml:space="preserve">N.W.,</w:t>
      </w:r>
      <w:r>
        <w:t xml:space="preserve"> </w:t>
      </w:r>
      <w:r>
        <w:t xml:space="preserve">Washington,</w:t>
      </w:r>
      <w:r>
        <w:t xml:space="preserve"> </w:t>
      </w:r>
      <w:r>
        <w:t xml:space="preserve">DC</w:t>
      </w:r>
      <w:r>
        <w:t xml:space="preserve"> </w:t>
      </w:r>
      <w:r>
        <w:t xml:space="preserve">20001</w:t>
      </w:r>
    </w:p>
    <w:p>
      <w:pPr>
        <w:pStyle w:val="CASignature"/>
        <w:keepNext/>
        <w:ind w:left="4820" w:firstLine="0"/>
      </w:pPr>
      <w:r>
        <w:t xml:space="preserve">(202)</w:t>
      </w:r>
      <w:r>
        <w:t xml:space="preserve"> </w:t>
      </w:r>
      <w:r>
        <w:t xml:space="preserve">942</w:t>
      </w:r>
      <w:r>
        <w:noBreakHyphen/>
      </w:r>
      <w:r>
        <w:t xml:space="preserve">5000</w:t>
      </w:r>
    </w:p>
    <w:p>
      <w:pPr>
        <w:pStyle w:val="CASignature"/>
        <w:keepNext/>
        <w:ind w:left="4820" w:firstLine="0"/>
      </w:pPr>
      <w:r>
        <w:t xml:space="preserve">matthew.farley@arnoldporter.com</w:t>
      </w:r>
    </w:p>
    <w:p>
      <w:pPr>
        <w:pStyle w:val="CASignature"/>
        <w:spacing w:before="224" w:after="0" w:line="400" w:lineRule="exact"/>
        <w:ind w:left="0" w:firstLine="0"/>
      </w:pPr>
      <w:r>
        <w:t xml:space="preserve"/>
      </w:r>
      <w:r>
        <w:t xml:space="preserve">March</w:t>
      </w:r>
      <w:r>
        <w:t xml:space="preserve"> </w:t>
      </w:r>
      <w:r>
        <w:t xml:space="preserve">21,</w:t>
      </w:r>
      <w:r>
        <w:t xml:space="preserve"> </w:t>
      </w:r>
      <w:r>
        <w:t xml:space="preserve">2024</w:t>
      </w:r>
    </w:p>
    <w:p>
      <w:pPr>
        <w:pStyle w:val="CASection"/>
        <w:pageBreakBefore/>
        <w:spacing w:before="0" w:after="308" w:line="400" w:lineRule="exact"/>
      </w:pPr>
      <w:r>
        <w:t xml:space="preserve">Certificate of Compliance</w:t>
      </w:r>
    </w:p>
    <w:p>
      <w:pPr>
        <w:pStyle w:val="CACertificate"/>
      </w:pPr>
      <w:r>
        <w:t xml:space="preserve">The foregoing brief complies with the type-volume limitation of Circuit Rule 32(c). The brief contains 1,871 words, excluding those parts of the brief exempted by Federal Rule of Appellate Procedure 32(f).</w:t>
      </w:r>
    </w:p>
    <w:p>
      <w:pPr>
        <w:pStyle w:val="CACertificate"/>
      </w:pPr>
      <w:r>
        <w:t xml:space="preserve">This brief complies with the typeface and type-style requirements of Federal Rule of Appellate Procedure 32(a)(5)-(6) and Circuit Rule 32(b) because this brief has been prepared in a proportionally spaced typeface, Times New Roman, in 14-point font.</w:t>
      </w:r>
    </w:p>
    <w:p>
      <w:pPr>
        <w:pStyle w:val="CACounsel"/>
        <w:keepNext/>
        <w:tabs>
          <w:tab w:val="left" w:pos="4820"/>
        </w:tabs>
        <w:spacing w:before="448" w:after="0" w:line="400" w:lineRule="exact"/>
      </w:pPr>
      <w:r>
        <w:t xml:space="preserve">s/ Matthew L. Farley</w:t>
      </w:r>
      <w:r>
        <w:tab/>
      </w:r>
      <w:r>
        <w:t xml:space="preserve">March</w:t>
      </w:r>
      <w:r>
        <w:t xml:space="preserve"> </w:t>
      </w:r>
      <w:r>
        <w:t xml:space="preserve">21,</w:t>
      </w:r>
      <w:r>
        <w:t xml:space="preserve"> </w:t>
      </w:r>
      <w:r>
        <w:t xml:space="preserve">2024</w:t>
      </w:r>
    </w:p>
    <w:p>
      <w:pPr>
        <w:pStyle w:val="CACounsel"/>
        <w:tabs>
          <w:tab w:val="left" w:pos="4820"/>
        </w:tabs>
      </w:pPr>
      <w:r>
        <w:t xml:space="preserve">Signature</w:t>
      </w:r>
      <w:r>
        <w:tab/>
      </w:r>
      <w:r>
        <w:t xml:space="preserve">Date</w:t>
      </w:r>
    </w:p>
    <w:p>
      <w:pPr>
        <w:pStyle w:val="CASection"/>
      </w:pPr>
      <w:r>
        <w:t xml:space="preserve">Certificate of Service</w:t>
      </w:r>
    </w:p>
    <w:p>
      <w:pPr>
        <w:pStyle w:val="CACertificate"/>
      </w:pPr>
      <w:r>
        <w:t xml:space="preserve">Pursuant to Federal Rule of Appellate Procedure 25, I hereby certify that on </w:t>
      </w:r>
      <w:r>
        <w:t xml:space="preserve">March</w:t>
      </w:r>
      <w:r>
        <w:t xml:space="preserve"> </w:t>
      </w:r>
      <w:r>
        <w:t xml:space="preserve">22,</w:t>
      </w:r>
      <w:r>
        <w:t xml:space="preserve"> </w:t>
      </w:r>
      <w:r>
        <w:t xml:space="preserve">2024</w:t>
      </w:r>
      <w:r>
        <w:t xml:space="preserve">, I electronically filed the foregoing </w:t>
      </w:r>
      <w:r>
        <w:t xml:space="preserve">Brief</w:t>
      </w:r>
      <w:r>
        <w:t xml:space="preserve"> </w:t>
      </w:r>
      <w:r>
        <w:t xml:space="preserve">of</w:t>
      </w:r>
      <w:r>
        <w:t xml:space="preserve"> </w:t>
      </w:r>
      <w:r>
        <w:t xml:space="preserve">Appellant</w:t>
      </w:r>
      <w:r>
        <w:t xml:space="preserve"> via the Court’s CM/ECF system, and service was accomplished on counsel of record by that means.</w:t>
      </w:r>
    </w:p>
    <w:p>
      <w:pPr>
        <w:pStyle w:val="CACounsel"/>
        <w:keepNext/>
        <w:tabs>
          <w:tab w:val="left" w:pos="4820"/>
        </w:tabs>
        <w:spacing w:before="448" w:after="0" w:line="400" w:lineRule="exact"/>
      </w:pPr>
      <w:r>
        <w:t xml:space="preserve">s/ Matthew L. Farley</w:t>
      </w:r>
      <w:r>
        <w:tab/>
      </w:r>
      <w:r>
        <w:t xml:space="preserve">March</w:t>
      </w:r>
      <w:r>
        <w:t xml:space="preserve"> </w:t>
      </w:r>
      <w:r>
        <w:t xml:space="preserve">22,</w:t>
      </w:r>
      <w:r>
        <w:t xml:space="preserve"> </w:t>
      </w:r>
      <w:r>
        <w:t xml:space="preserve">2024</w:t>
      </w:r>
    </w:p>
    <w:p>
      <w:pPr>
        <w:pStyle w:val="CACounsel"/>
        <w:tabs>
          <w:tab w:val="left" w:pos="4820"/>
        </w:tabs>
      </w:pPr>
      <w:r>
        <w:t xml:space="preserve">Signature</w:t>
      </w:r>
      <w:r>
        <w:tab/>
      </w:r>
      <w:r>
        <w:t xml:space="preserve">Date</w:t>
      </w:r>
    </w:p>
    <w:sectPr>
      <w:footerReference w:type="default" r:id="rIdArabicFt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Citations to SA.### are to the Short Appendix appended to this brief. Citations to A.### are to the separately bound Appendix.</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34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ABodyLast">
    <w:name w:val="CA Body Last"/>
    <w:basedOn w:val="BodyText"/>
    <w:qFormat/>
    <w:pPr>
      <w:keepNext/>
    </w:pPr>
    <w:rPr/>
  </w:style>
  <w:style w:type="paragraph" w:customStyle="1" w:styleId="CASection">
    <w:name w:val="CA Section"/>
    <w:basedOn w:val="Normal"/>
    <w:qFormat/>
    <w:pPr>
      <w:keepNext/>
      <w:keepLines/>
      <w:spacing w:before="420" w:after="308" w:line="400" w:lineRule="exact"/>
      <w:ind w:firstLine="0"/>
      <w:jc w:val="center"/>
      <w:outlineLvl w:val="0"/>
    </w:pPr>
    <w:rPr>
      <w:b/>
      <w:caps/>
    </w:rPr>
  </w:style>
  <w:style w:type="paragraph" w:customStyle="1" w:styleId="CAPoint">
    <w:name w:val="CA Point"/>
    <w:basedOn w:val="Normal"/>
    <w:qFormat/>
    <w:pPr>
      <w:keepNext/>
      <w:keepLines/>
      <w:spacing w:before="336" w:after="280" w:line="400" w:lineRule="exact"/>
      <w:ind w:firstLine="0"/>
      <w:jc w:val="center"/>
      <w:outlineLvl w:val="1"/>
    </w:pPr>
    <w:rPr>
      <w:b/>
    </w:rPr>
  </w:style>
  <w:style w:type="paragraph" w:customStyle="1" w:styleId="CAHeadL2S0">
    <w:name w:val="CA Heading L2 S0"/>
    <w:basedOn w:val="Normal"/>
    <w:qFormat/>
    <w:pPr>
      <w:keepNext/>
      <w:keepLines/>
      <w:tabs>
        <w:tab w:val="left" w:pos="720"/>
      </w:tabs>
      <w:spacing w:before="308" w:after="252" w:line="400" w:lineRule="exact"/>
      <w:ind w:left="720" w:hanging="720"/>
      <w:jc w:val="left"/>
      <w:outlineLvl w:val="1"/>
    </w:pPr>
    <w:rPr>
      <w:b/>
    </w:rPr>
  </w:style>
  <w:style w:type="paragraph" w:customStyle="1" w:styleId="CAHeadL2S1">
    <w:name w:val="CA Heading L2 S1"/>
    <w:basedOn w:val="Normal"/>
    <w:qFormat/>
    <w:pPr>
      <w:keepNext/>
      <w:keepLines/>
      <w:tabs>
        <w:tab w:val="left" w:pos="1440"/>
      </w:tabs>
      <w:spacing w:before="308" w:after="252" w:line="400" w:lineRule="exact"/>
      <w:ind w:left="1440" w:hanging="720"/>
      <w:jc w:val="left"/>
      <w:outlineLvl w:val="1"/>
    </w:pPr>
    <w:rPr>
      <w:b/>
    </w:rPr>
  </w:style>
  <w:style w:type="paragraph" w:customStyle="1" w:styleId="CAHeadL2S2">
    <w:name w:val="CA Heading L2 S2"/>
    <w:basedOn w:val="Normal"/>
    <w:qFormat/>
    <w:pPr>
      <w:keepNext/>
      <w:keepLines/>
      <w:tabs>
        <w:tab w:val="left" w:pos="2160"/>
      </w:tabs>
      <w:spacing w:before="308" w:after="252" w:line="400" w:lineRule="exact"/>
      <w:ind w:left="2160" w:hanging="720"/>
      <w:jc w:val="left"/>
      <w:outlineLvl w:val="1"/>
    </w:pPr>
    <w:rPr>
      <w:b/>
    </w:rPr>
  </w:style>
  <w:style w:type="paragraph" w:customStyle="1" w:styleId="CAHeadL2S3">
    <w:name w:val="CA Heading L2 S3"/>
    <w:basedOn w:val="Normal"/>
    <w:qFormat/>
    <w:pPr>
      <w:keepNext/>
      <w:keepLines/>
      <w:tabs>
        <w:tab w:val="left" w:pos="2880"/>
      </w:tabs>
      <w:spacing w:before="308" w:after="252" w:line="400" w:lineRule="exact"/>
      <w:ind w:left="2880" w:hanging="720"/>
      <w:jc w:val="left"/>
      <w:outlineLvl w:val="1"/>
    </w:pPr>
    <w:rPr>
      <w:b/>
    </w:rPr>
  </w:style>
  <w:style w:type="paragraph" w:customStyle="1" w:styleId="CAHeadL2S4">
    <w:name w:val="CA Heading L2 S4"/>
    <w:basedOn w:val="Normal"/>
    <w:qFormat/>
    <w:pPr>
      <w:keepNext/>
      <w:keepLines/>
      <w:tabs>
        <w:tab w:val="left" w:pos="3600"/>
      </w:tabs>
      <w:spacing w:before="308" w:after="252" w:line="400" w:lineRule="exact"/>
      <w:ind w:left="3600" w:hanging="720"/>
      <w:jc w:val="left"/>
      <w:outlineLvl w:val="1"/>
    </w:pPr>
    <w:rPr>
      <w:b/>
    </w:rPr>
  </w:style>
  <w:style w:type="paragraph" w:customStyle="1" w:styleId="CAHeadL3S0">
    <w:name w:val="CA Heading L3 S0"/>
    <w:basedOn w:val="Normal"/>
    <w:qFormat/>
    <w:pPr>
      <w:keepNext/>
      <w:keepLines/>
      <w:tabs>
        <w:tab w:val="left" w:pos="720"/>
      </w:tabs>
      <w:spacing w:before="308" w:after="252" w:line="400" w:lineRule="exact"/>
      <w:ind w:left="720" w:hanging="720"/>
      <w:jc w:val="left"/>
      <w:outlineLvl w:val="2"/>
    </w:pPr>
    <w:rPr>
      <w:b/>
    </w:rPr>
  </w:style>
  <w:style w:type="paragraph" w:customStyle="1" w:styleId="CAHeadL3S1">
    <w:name w:val="CA Heading L3 S1"/>
    <w:basedOn w:val="Normal"/>
    <w:qFormat/>
    <w:pPr>
      <w:keepNext/>
      <w:keepLines/>
      <w:tabs>
        <w:tab w:val="left" w:pos="1440"/>
      </w:tabs>
      <w:spacing w:before="308" w:after="252" w:line="400" w:lineRule="exact"/>
      <w:ind w:left="1440" w:hanging="720"/>
      <w:jc w:val="left"/>
      <w:outlineLvl w:val="2"/>
    </w:pPr>
    <w:rPr>
      <w:b/>
    </w:rPr>
  </w:style>
  <w:style w:type="paragraph" w:customStyle="1" w:styleId="CAHeadL3S2">
    <w:name w:val="CA Heading L3 S2"/>
    <w:basedOn w:val="Normal"/>
    <w:qFormat/>
    <w:pPr>
      <w:keepNext/>
      <w:keepLines/>
      <w:tabs>
        <w:tab w:val="left" w:pos="2160"/>
      </w:tabs>
      <w:spacing w:before="308" w:after="252" w:line="400" w:lineRule="exact"/>
      <w:ind w:left="2160" w:hanging="720"/>
      <w:jc w:val="left"/>
      <w:outlineLvl w:val="2"/>
    </w:pPr>
    <w:rPr>
      <w:b/>
    </w:rPr>
  </w:style>
  <w:style w:type="paragraph" w:customStyle="1" w:styleId="CAHeadL3S3">
    <w:name w:val="CA Heading L3 S3"/>
    <w:basedOn w:val="Normal"/>
    <w:qFormat/>
    <w:pPr>
      <w:keepNext/>
      <w:keepLines/>
      <w:tabs>
        <w:tab w:val="left" w:pos="2880"/>
      </w:tabs>
      <w:spacing w:before="308" w:after="252" w:line="400" w:lineRule="exact"/>
      <w:ind w:left="2880" w:hanging="720"/>
      <w:jc w:val="left"/>
      <w:outlineLvl w:val="2"/>
    </w:pPr>
    <w:rPr>
      <w:b/>
    </w:rPr>
  </w:style>
  <w:style w:type="paragraph" w:customStyle="1" w:styleId="CAHeadL3S4">
    <w:name w:val="CA Heading L3 S4"/>
    <w:basedOn w:val="Normal"/>
    <w:qFormat/>
    <w:pPr>
      <w:keepNext/>
      <w:keepLines/>
      <w:tabs>
        <w:tab w:val="left" w:pos="3600"/>
      </w:tabs>
      <w:spacing w:before="308" w:after="252" w:line="400" w:lineRule="exact"/>
      <w:ind w:left="3600" w:hanging="720"/>
      <w:jc w:val="left"/>
      <w:outlineLvl w:val="2"/>
    </w:pPr>
    <w:rPr>
      <w:b/>
    </w:rPr>
  </w:style>
  <w:style w:type="paragraph" w:customStyle="1" w:styleId="CAHeadL4S0">
    <w:name w:val="CA Heading L4 S0"/>
    <w:basedOn w:val="Normal"/>
    <w:qFormat/>
    <w:pPr>
      <w:keepNext/>
      <w:keepLines/>
      <w:tabs>
        <w:tab w:val="left" w:pos="720"/>
      </w:tabs>
      <w:spacing w:before="308" w:after="252" w:line="400" w:lineRule="exact"/>
      <w:ind w:left="720" w:hanging="720"/>
      <w:jc w:val="left"/>
      <w:outlineLvl w:val="3"/>
    </w:pPr>
    <w:rPr>
      <w:b/>
    </w:rPr>
  </w:style>
  <w:style w:type="paragraph" w:customStyle="1" w:styleId="CAHeadL4S1">
    <w:name w:val="CA Heading L4 S1"/>
    <w:basedOn w:val="Normal"/>
    <w:qFormat/>
    <w:pPr>
      <w:keepNext/>
      <w:keepLines/>
      <w:tabs>
        <w:tab w:val="left" w:pos="1440"/>
      </w:tabs>
      <w:spacing w:before="308" w:after="252" w:line="400" w:lineRule="exact"/>
      <w:ind w:left="1440" w:hanging="720"/>
      <w:jc w:val="left"/>
      <w:outlineLvl w:val="3"/>
    </w:pPr>
    <w:rPr>
      <w:b/>
    </w:rPr>
  </w:style>
  <w:style w:type="paragraph" w:customStyle="1" w:styleId="CAHeadL4S2">
    <w:name w:val="CA Heading L4 S2"/>
    <w:basedOn w:val="Normal"/>
    <w:qFormat/>
    <w:pPr>
      <w:keepNext/>
      <w:keepLines/>
      <w:tabs>
        <w:tab w:val="left" w:pos="2160"/>
      </w:tabs>
      <w:spacing w:before="308" w:after="252" w:line="400" w:lineRule="exact"/>
      <w:ind w:left="2160" w:hanging="720"/>
      <w:jc w:val="left"/>
      <w:outlineLvl w:val="3"/>
    </w:pPr>
    <w:rPr>
      <w:b/>
    </w:rPr>
  </w:style>
  <w:style w:type="paragraph" w:customStyle="1" w:styleId="CAHeadL4S3">
    <w:name w:val="CA Heading L4 S3"/>
    <w:basedOn w:val="Normal"/>
    <w:qFormat/>
    <w:pPr>
      <w:keepNext/>
      <w:keepLines/>
      <w:tabs>
        <w:tab w:val="left" w:pos="2880"/>
      </w:tabs>
      <w:spacing w:before="308" w:after="252" w:line="400" w:lineRule="exact"/>
      <w:ind w:left="2880" w:hanging="720"/>
      <w:jc w:val="left"/>
      <w:outlineLvl w:val="3"/>
    </w:pPr>
    <w:rPr>
      <w:b/>
    </w:rPr>
  </w:style>
  <w:style w:type="paragraph" w:customStyle="1" w:styleId="CAHeadL4S4">
    <w:name w:val="CA Heading L4 S4"/>
    <w:basedOn w:val="Normal"/>
    <w:qFormat/>
    <w:pPr>
      <w:keepNext/>
      <w:keepLines/>
      <w:tabs>
        <w:tab w:val="left" w:pos="3600"/>
      </w:tabs>
      <w:spacing w:before="308" w:after="252" w:line="400" w:lineRule="exact"/>
      <w:ind w:left="3600" w:hanging="720"/>
      <w:jc w:val="left"/>
      <w:outlineLvl w:val="3"/>
    </w:pPr>
    <w:rPr>
      <w:b/>
    </w:rPr>
  </w:style>
  <w:style w:type="paragraph" w:customStyle="1" w:styleId="CAHeadL5S0">
    <w:name w:val="CA Heading L5 S0"/>
    <w:basedOn w:val="Normal"/>
    <w:qFormat/>
    <w:pPr>
      <w:keepNext/>
      <w:keepLines/>
      <w:tabs>
        <w:tab w:val="left" w:pos="720"/>
      </w:tabs>
      <w:spacing w:before="308" w:after="252" w:line="400" w:lineRule="exact"/>
      <w:ind w:left="720" w:hanging="720"/>
      <w:jc w:val="left"/>
      <w:outlineLvl w:val="4"/>
    </w:pPr>
    <w:rPr>
      <w:b/>
      <w:i/>
    </w:rPr>
  </w:style>
  <w:style w:type="paragraph" w:customStyle="1" w:styleId="CAHeadL5S1">
    <w:name w:val="CA Heading L5 S1"/>
    <w:basedOn w:val="Normal"/>
    <w:qFormat/>
    <w:pPr>
      <w:keepNext/>
      <w:keepLines/>
      <w:tabs>
        <w:tab w:val="left" w:pos="1440"/>
      </w:tabs>
      <w:spacing w:before="308" w:after="252" w:line="400" w:lineRule="exact"/>
      <w:ind w:left="1440" w:hanging="720"/>
      <w:jc w:val="left"/>
      <w:outlineLvl w:val="4"/>
    </w:pPr>
    <w:rPr>
      <w:b/>
      <w:i/>
    </w:rPr>
  </w:style>
  <w:style w:type="paragraph" w:customStyle="1" w:styleId="CAHeadL5S2">
    <w:name w:val="CA Heading L5 S2"/>
    <w:basedOn w:val="Normal"/>
    <w:qFormat/>
    <w:pPr>
      <w:keepNext/>
      <w:keepLines/>
      <w:tabs>
        <w:tab w:val="left" w:pos="2160"/>
      </w:tabs>
      <w:spacing w:before="308" w:after="252" w:line="400" w:lineRule="exact"/>
      <w:ind w:left="2160" w:hanging="720"/>
      <w:jc w:val="left"/>
      <w:outlineLvl w:val="4"/>
    </w:pPr>
    <w:rPr>
      <w:b/>
      <w:i/>
    </w:rPr>
  </w:style>
  <w:style w:type="paragraph" w:customStyle="1" w:styleId="CAHeadL5S3">
    <w:name w:val="CA Heading L5 S3"/>
    <w:basedOn w:val="Normal"/>
    <w:qFormat/>
    <w:pPr>
      <w:keepNext/>
      <w:keepLines/>
      <w:tabs>
        <w:tab w:val="left" w:pos="2880"/>
      </w:tabs>
      <w:spacing w:before="308" w:after="252" w:line="400" w:lineRule="exact"/>
      <w:ind w:left="2880" w:hanging="720"/>
      <w:jc w:val="left"/>
      <w:outlineLvl w:val="4"/>
    </w:pPr>
    <w:rPr>
      <w:b/>
      <w:i/>
    </w:rPr>
  </w:style>
  <w:style w:type="paragraph" w:customStyle="1" w:styleId="CAHeadL5S4">
    <w:name w:val="CA Heading L5 S4"/>
    <w:basedOn w:val="Normal"/>
    <w:qFormat/>
    <w:pPr>
      <w:keepNext/>
      <w:keepLines/>
      <w:tabs>
        <w:tab w:val="left" w:pos="3600"/>
      </w:tabs>
      <w:spacing w:before="308" w:after="252" w:line="400" w:lineRule="exact"/>
      <w:ind w:left="3600" w:hanging="720"/>
      <w:jc w:val="left"/>
      <w:outlineLvl w:val="4"/>
    </w:pPr>
    <w:rPr>
      <w:b/>
      <w:i/>
    </w:rPr>
  </w:style>
  <w:style w:type="paragraph" w:customStyle="1" w:styleId="CACentered">
    <w:name w:val="CA Centered"/>
    <w:basedOn w:val="Normal"/>
    <w:qFormat/>
    <w:pPr>
      <w:spacing w:before="0" w:after="0" w:line="400" w:lineRule="exact"/>
      <w:ind w:firstLine="0"/>
      <w:jc w:val="center"/>
    </w:pPr>
    <w:rPr/>
  </w:style>
  <w:style w:type="paragraph" w:customStyle="1" w:styleId="CACoverCourt">
    <w:name w:val="CA Cover Court"/>
    <w:basedOn w:val="CACentered"/>
    <w:qFormat/>
    <w:pPr>
      <w:keepNext/>
      <w:spacing w:before="60" w:after="60" w:line="400" w:lineRule="exact"/>
    </w:pPr>
    <w:rPr>
      <w:b/>
    </w:rPr>
  </w:style>
  <w:style w:type="paragraph" w:customStyle="1" w:styleId="CAGap">
    <w:name w:val="CA Gap"/>
    <w:basedOn w:val="Normal"/>
    <w:qFormat/>
    <w:pPr>
      <w:spacing w:before="0" w:after="0" w:line="140" w:lineRule="exact"/>
    </w:pPr>
    <w:rPr/>
  </w:style>
  <w:style w:type="paragraph" w:customStyle="1" w:styleId="CARule">
    <w:name w:val="CA Rule"/>
    <w:basedOn w:val="Normal"/>
    <w:qFormat/>
    <w:pPr>
      <w:keepNext/>
      <w:pBdr>
        <w:bottom w:val="single" w:sz="6" w:space="1" w:color="000000"/>
      </w:pBdr>
      <w:spacing w:before="0" w:after="100" w:line="120" w:lineRule="exact"/>
      <w:ind w:left="3240" w:right="3240" w:firstLine="0"/>
      <w:jc w:val="center"/>
    </w:pPr>
    <w:rPr/>
  </w:style>
  <w:style w:type="paragraph" w:customStyle="1" w:styleId="CADoubleRule">
    <w:name w:val="CA Double Rule"/>
    <w:basedOn w:val="Normal"/>
    <w:qFormat/>
    <w:pPr>
      <w:keepNext/>
      <w:pBdr>
        <w:top w:val="double" w:sz="6" w:space="1" w:color="000000"/>
      </w:pBdr>
      <w:spacing w:before="0" w:after="120" w:line="120" w:lineRule="exact"/>
      <w:ind w:firstLine="0"/>
    </w:pPr>
    <w:rPr/>
  </w:style>
  <w:style w:type="paragraph" w:customStyle="1" w:styleId="CACaption">
    <w:name w:val="CA Caption"/>
    <w:basedOn w:val="Normal"/>
    <w:qFormat/>
    <w:pPr>
      <w:keepLines/>
      <w:spacing w:before="0" w:after="0" w:line="400" w:lineRule="exact"/>
      <w:ind w:left="4680" w:firstLine="0"/>
      <w:jc w:val="left"/>
    </w:pPr>
    <w:rPr/>
  </w:style>
  <w:style w:type="paragraph" w:customStyle="1" w:styleId="CACounsel">
    <w:name w:val="CA Counsel"/>
    <w:basedOn w:val="Normal"/>
    <w:qFormat/>
    <w:pPr>
      <w:spacing w:before="0" w:after="0" w:line="400" w:lineRule="exact"/>
      <w:ind w:firstLine="0"/>
      <w:jc w:val="left"/>
    </w:pPr>
    <w:rPr/>
  </w:style>
  <w:style w:type="paragraph" w:customStyle="1" w:styleId="CASignature">
    <w:name w:val="CA Signature"/>
    <w:basedOn w:val="Normal"/>
    <w:qFormat/>
    <w:pPr>
      <w:keepNext/>
      <w:keepLines/>
      <w:spacing w:before="0" w:after="0" w:line="400" w:lineRule="exact"/>
      <w:ind w:left="4680" w:firstLine="0"/>
      <w:jc w:val="left"/>
    </w:pPr>
    <w:rPr/>
  </w:style>
  <w:style w:type="paragraph" w:customStyle="1" w:styleId="CASigHead">
    <w:name w:val="CA Signature Head"/>
    <w:basedOn w:val="CASignature"/>
    <w:qFormat/>
    <w:pPr>
      <w:spacing w:before="392" w:after="0" w:line="400" w:lineRule="exact"/>
    </w:pPr>
    <w:rPr/>
  </w:style>
  <w:style w:type="paragraph" w:customStyle="1" w:styleId="CACertificate">
    <w:name w:val="CA Certificate"/>
    <w:basedOn w:val="Normal"/>
    <w:qFormat/>
    <w:pPr>
      <w:spacing w:before="280" w:after="280" w:line="400" w:lineRule="exact"/>
      <w:ind w:firstLine="0"/>
      <w:jc w:val="left"/>
    </w:pPr>
    <w:rPr/>
  </w:style>
  <w:style w:type="paragraph" w:customStyle="1" w:styleId="CATocTop">
    <w:name w:val="CA TOC 1"/>
    <w:basedOn w:val="Normal"/>
    <w:qFormat/>
    <w:pPr>
      <w:keepLines/>
      <w:tabs>
        <w:tab w:val="right" w:leader="dot" w:pos="9360"/>
      </w:tabs>
      <w:spacing w:before="168" w:after="0" w:line="400" w:lineRule="exact"/>
      <w:ind w:left="720" w:right="720" w:hanging="720"/>
    </w:pPr>
    <w:rPr/>
  </w:style>
  <w:style w:type="paragraph" w:customStyle="1" w:styleId="CATocS0">
    <w:name w:val="CA TOC Entry S0"/>
    <w:basedOn w:val="Normal"/>
    <w:qFormat/>
    <w:pPr>
      <w:keepLines/>
      <w:tabs>
        <w:tab w:val="left" w:leader="none" w:pos="720"/>
        <w:tab w:val="right" w:leader="dot" w:pos="9360"/>
      </w:tabs>
      <w:spacing w:before="98" w:after="0" w:line="400" w:lineRule="exact"/>
      <w:ind w:left="720" w:right="720" w:hanging="720"/>
    </w:pPr>
    <w:rPr/>
  </w:style>
  <w:style w:type="paragraph" w:customStyle="1" w:styleId="CATocS1">
    <w:name w:val="CA TOC Entry S1"/>
    <w:basedOn w:val="Normal"/>
    <w:qFormat/>
    <w:pPr>
      <w:keepLines/>
      <w:tabs>
        <w:tab w:val="left" w:leader="none" w:pos="1440"/>
        <w:tab w:val="right" w:leader="dot" w:pos="9360"/>
      </w:tabs>
      <w:spacing w:before="98" w:after="0" w:line="400" w:lineRule="exact"/>
      <w:ind w:left="1440" w:right="720" w:hanging="720"/>
    </w:pPr>
    <w:rPr/>
  </w:style>
  <w:style w:type="paragraph" w:customStyle="1" w:styleId="CATocS2">
    <w:name w:val="CA TOC Entry S2"/>
    <w:basedOn w:val="Normal"/>
    <w:qFormat/>
    <w:pPr>
      <w:keepLines/>
      <w:tabs>
        <w:tab w:val="left" w:leader="none" w:pos="2160"/>
        <w:tab w:val="right" w:leader="dot" w:pos="9360"/>
      </w:tabs>
      <w:spacing w:before="98" w:after="0" w:line="400" w:lineRule="exact"/>
      <w:ind w:left="2160" w:right="720" w:hanging="720"/>
    </w:pPr>
    <w:rPr/>
  </w:style>
  <w:style w:type="paragraph" w:customStyle="1" w:styleId="CATocS3">
    <w:name w:val="CA TOC Entry S3"/>
    <w:basedOn w:val="Normal"/>
    <w:qFormat/>
    <w:pPr>
      <w:keepLines/>
      <w:tabs>
        <w:tab w:val="left" w:leader="none" w:pos="2880"/>
        <w:tab w:val="right" w:leader="dot" w:pos="9360"/>
      </w:tabs>
      <w:spacing w:before="98" w:after="0" w:line="400" w:lineRule="exact"/>
      <w:ind w:left="2880" w:right="720" w:hanging="720"/>
    </w:pPr>
    <w:rPr/>
  </w:style>
  <w:style w:type="paragraph" w:customStyle="1" w:styleId="CATocS4">
    <w:name w:val="CA TOC Entry S4"/>
    <w:basedOn w:val="Normal"/>
    <w:qFormat/>
    <w:pPr>
      <w:keepLines/>
      <w:tabs>
        <w:tab w:val="left" w:leader="none" w:pos="3600"/>
        <w:tab w:val="right" w:leader="dot" w:pos="9360"/>
      </w:tabs>
      <w:spacing w:before="98" w:after="0" w:line="400" w:lineRule="exact"/>
      <w:ind w:left="3600" w:right="720" w:hanging="720"/>
    </w:pPr>
    <w:rPr/>
  </w:style>
  <w:style w:type="paragraph" w:customStyle="1" w:styleId="CATocPage">
    <w:name w:val="CA TOC Page"/>
    <w:basedOn w:val="Normal"/>
    <w:qFormat/>
    <w:pPr>
      <w:keepNext/>
      <w:spacing w:before="84" w:after="0" w:line="400" w:lineRule="exact"/>
      <w:ind w:firstLine="0"/>
      <w:jc w:val="right"/>
    </w:pPr>
    <w:rPr>
      <w:b/>
      <w:u w:val="single"/>
    </w:rPr>
  </w:style>
  <w:style w:type="paragraph" w:customStyle="1" w:styleId="CAToaGroup">
    <w:name w:val="CA TOA Group"/>
    <w:basedOn w:val="Normal"/>
    <w:qFormat/>
    <w:pPr>
      <w:keepNext/>
      <w:tabs>
        <w:tab w:val="right" w:pos="9360"/>
      </w:tabs>
      <w:spacing w:before="392" w:after="56" w:line="400" w:lineRule="exact"/>
      <w:ind w:firstLine="0"/>
    </w:pPr>
    <w:rPr>
      <w:b/>
    </w:rPr>
  </w:style>
  <w:style w:type="paragraph" w:customStyle="1" w:styleId="CAToaEntry">
    <w:name w:val="CA TOA Entry"/>
    <w:basedOn w:val="Normal"/>
    <w:qFormat/>
    <w:pPr>
      <w:keepLines/>
      <w:tabs>
        <w:tab w:val="right" w:leader="dot" w:pos="9360"/>
      </w:tabs>
      <w:spacing w:before="196" w:after="0" w:line="400" w:lineRule="exact"/>
      <w:ind w:left="504" w:right="1120" w:hanging="504"/>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RomanFtr" Target="ftr-own1.xml"/><Relationship Type="http://schemas.openxmlformats.org/officeDocument/2006/relationships/footer" Id="rIdArabicFtr"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