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BAP No. 25-000</w:t>
      </w:r>
    </w:p>
    <w:p>
      <w:pPr>
        <w:pStyle w:val="RuleDouble"/>
      </w:pPr>
    </w:p>
    <w:p>
      <w:pPr>
        <w:pStyle w:val="Centered"/>
      </w:pPr>
      <w:r>
        <w:rPr>
          <w:b/>
          <w:bCs/>
        </w:rPr>
        <w:t xml:space="preserve">UNITED STATES BANKRUPTCY APPELLATE PANEL OF THE TENTH CIRCUIT</w:t>
      </w:r>
    </w:p>
    <w:p>
      <w:pPr>
        <w:pStyle w:val="RuleShort"/>
      </w:pPr>
    </w:p>
    <w:p>
      <w:pPr>
        <w:pStyle w:val="Centered"/>
      </w:pPr>
      <w:r>
        <w:t xml:space="preserve">IN RE EXAMPLE HOLDINGS, LLC,</w:t>
      </w:r>
    </w:p>
    <w:p>
      <w:pPr>
        <w:pStyle w:val="Designation"/>
      </w:pPr>
      <w:r>
        <w:t xml:space="preserve">Debtor.</w:t>
      </w:r>
    </w:p>
    <w:p>
      <w:pPr>
        <w:pStyle w:val="Centered"/>
      </w:pPr>
      <w:r>
        <w:t xml:space="preserve">JANE DOE,</w:t>
      </w:r>
    </w:p>
    <w:p>
      <w:pPr>
        <w:pStyle w:val="Designation"/>
      </w:pPr>
      <w:r>
        <w:t xml:space="preserve">Appellant,</w:t>
      </w:r>
    </w:p>
    <w:p>
      <w:pPr>
        <w:pStyle w:val="Centered"/>
      </w:pPr>
      <w:r>
        <w:t xml:space="preserve">v.</w:t>
      </w:r>
    </w:p>
    <w:p>
      <w:pPr>
        <w:pStyle w:val="Centered"/>
      </w:pPr>
      <w:r>
        <w:t xml:space="preserve">EXAMPLE TRUSTEE, et al.,</w:t>
      </w:r>
    </w:p>
    <w:p>
      <w:pPr>
        <w:pStyle w:val="Designation"/>
      </w:pPr>
      <w:r>
        <w:t xml:space="preserve">Appellees.</w:t>
      </w:r>
    </w:p>
    <w:p>
      <w:pPr>
        <w:pStyle w:val="Right"/>
      </w:pPr>
      <w:r>
        <w:t xml:space="preserve">Bankr. No. 25-10000, Chapter 7</w:t>
      </w:r>
    </w:p>
    <w:p>
      <w:pPr>
        <w:pStyle w:val="RuleShort"/>
      </w:pPr>
    </w:p>
    <w:p>
      <w:pPr>
        <w:pStyle w:val="Centered"/>
      </w:pPr>
      <w:r>
        <w:t xml:space="preserve">On Appeal from the United States Bankruptcy Court for the District of Example</w:t>
      </w:r>
    </w:p>
    <w:p>
      <w:pPr>
        <w:pStyle w:val="RuleShort"/>
      </w:pPr>
    </w:p>
    <w:p>
      <w:pPr>
        <w:pStyle w:val="Centered"/>
      </w:pPr>
      <w:r>
        <w:rPr>
          <w:b/>
          <w:bCs/>
        </w:rPr>
        <w:t xml:space="preserve">REPLY BRIEF OF APPELLANT JANE DOE</w:t>
      </w:r>
    </w:p>
    <w:p>
      <w:pPr>
        <w:pStyle w:val="RuleShort"/>
      </w:pPr>
    </w:p>
    <w:p>
      <w:pPr>
        <w:pStyle w:val="Counsel"/>
      </w:pPr>
      <w:r>
        <w:t xml:space="preserve">PAT EXAMPLE</w:t>
      </w:r>
    </w:p>
    <w:p>
      <w:pPr>
        <w:pStyle w:val="CounselLine"/>
      </w:pPr>
      <w:r>
        <w:rPr>
          <w:i/>
          <w:iCs/>
        </w:rPr>
        <w:t xml:space="preserve">Example Law Office</w:t>
      </w:r>
    </w:p>
    <w:p>
      <w:pPr>
        <w:pStyle w:val="CounselLine"/>
      </w:pPr>
      <w:r>
        <w:rPr>
          <w:i/>
          <w:iCs/>
        </w:rPr>
        <w:t xml:space="preserve">100 Example Street</w:t>
      </w:r>
    </w:p>
    <w:p>
      <w:pPr>
        <w:pStyle w:val="CounselLine"/>
      </w:pPr>
      <w:r>
        <w:rPr>
          <w:i/>
          <w:iCs/>
        </w:rPr>
        <w:t xml:space="preserve">Anytown, ST 00000</w:t>
      </w:r>
    </w:p>
    <w:p>
      <w:pPr>
        <w:pStyle w:val="CounselLine"/>
      </w:pPr>
      <w:r>
        <w:rPr>
          <w:i/>
          <w:iCs/>
        </w:rPr>
        <w:t xml:space="preserve">(555) 555-0100</w:t>
      </w:r>
    </w:p>
    <w:p>
      <w:pPr>
        <w:pStyle w:val="CounselLine"/>
      </w:pPr>
      <w:r>
        <w:rPr>
          <w:i/>
          <w:iCs/>
        </w:rPr>
        <w:t xml:space="preserve">pat@example.com</w:t>
      </w:r>
    </w:p>
    <w:p>
      <w:pPr>
        <w:pStyle w:val="RuleDouble"/>
      </w:pPr>
    </w:p>
    <w:p>
      <w:pPr>
        <w:pStyle w:val="SectionBreak"/>
        <w:sectPr>
          <w:footerReference w:type="default" r:id="rIdFtrNone"/>
          <w:footnotePr>
            <w:numFmt w:val="decimal"/>
            <w:numRestart w:val="continuous"/>
          </w:footnotePr>
          <w:type w:val="nextPage"/>
          <w:pgSz w:w="12240" w:h="15840"/>
          <w:pgMar w:top="1440" w:right="1440" w:bottom="1440" w:left="1440" w:header="720" w:footer="720" w:gutter="0"/>
          <w:cols w:space="720"/>
        </w:sectPr>
      </w:pPr>
    </w:p>
    <w:p>
      <w:pPr>
        <w:pStyle w:val="FrontHeading"/>
      </w:pPr>
      <w:r>
        <w:t xml:space="preserve">Table of Contents</w:t>
      </w:r>
    </w:p>
    <w:p>
      <w:pPr>
        <w:pStyle w:val="RightHead"/>
      </w:pPr>
      <w:r>
        <w:t xml:space="preserve">Page</w:t>
      </w:r>
    </w:p>
    <w:p>
      <w:pPr>
        <w:pStyle w:val="TOCK0"/>
      </w:pPr>
      <w:r>
        <w:t xml:space="preserve">TABLE OF AUTHORITIES</w:t>
      </w:r>
      <w:r>
        <w:t xml:space="preserve"> </w:t>
      </w:r>
      <w:r>
        <w:tab/>
      </w:r>
      <w:r>
        <w:t xml:space="preserve">ii</w:t>
      </w:r>
    </w:p>
    <w:p>
      <w:pPr>
        <w:pStyle w:val="TOCK0"/>
      </w:pPr>
      <w:r>
        <w:t xml:space="preserve">ARGUMENT</w:t>
      </w:r>
      <w:r>
        <w:t xml:space="preserve"> </w:t>
      </w:r>
      <w:r>
        <w:tab/>
      </w:r>
      <w:r>
        <w:t xml:space="preserve">1</w:t>
      </w:r>
    </w:p>
    <w:p>
      <w:pPr>
        <w:pStyle w:val="TOCK0"/>
      </w:pPr>
      <w:r>
        <w:t xml:space="preserve">I.</w:t>
      </w:r>
      <w:r>
        <w:tab/>
      </w:r>
      <w:r>
        <w:t xml:space="preserve">THE APPELLEES DO NOT ANSWER THE VALUATION POINT</w:t>
      </w:r>
      <w:r>
        <w:t xml:space="preserve"> </w:t>
      </w:r>
      <w:r>
        <w:tab/>
      </w:r>
      <w:r>
        <w:t xml:space="preserve">1</w:t>
      </w:r>
    </w:p>
    <w:p>
      <w:pPr>
        <w:pStyle w:val="TOCK0"/>
      </w:pPr>
      <w:r>
        <w:t xml:space="preserve">II.</w:t>
      </w:r>
      <w:r>
        <w:tab/>
      </w:r>
      <w:r>
        <w:t xml:space="preserve">THE PROCEEDS PROVISION IS A CONCESSION, NOT A REMEDY</w:t>
      </w:r>
      <w:r>
        <w:t xml:space="preserve"> </w:t>
      </w:r>
      <w:r>
        <w:tab/>
      </w:r>
      <w:r>
        <w:t xml:space="preserve">1</w:t>
      </w:r>
    </w:p>
    <w:p>
      <w:pPr>
        <w:pStyle w:val="TOCK0"/>
      </w:pPr>
      <w:r>
        <w:t xml:space="preserve">CONCLUSION</w:t>
      </w:r>
      <w:r>
        <w:t xml:space="preserve"> </w:t>
      </w:r>
      <w:r>
        <w:tab/>
      </w:r>
      <w:r>
        <w:t xml:space="preserve">2</w:t>
      </w:r>
    </w:p>
    <w:p>
      <w:pPr>
        <w:pStyle w:val="TOCK0"/>
      </w:pPr>
      <w:r>
        <w:t xml:space="preserve">CERTIFICATE OF COMPLIANCE</w:t>
      </w:r>
      <w:r>
        <w:t xml:space="preserve"> </w:t>
      </w:r>
      <w:r>
        <w:tab/>
      </w:r>
      <w:r>
        <w:t xml:space="preserve">3</w:t>
      </w:r>
    </w:p>
    <w:p>
      <w:pPr>
        <w:pStyle w:val="FrontHeadingBreak"/>
      </w:pPr>
      <w:r>
        <w:t xml:space="preserve">Table of Authorities</w:t>
      </w:r>
    </w:p>
    <w:p>
      <w:pPr>
        <w:pStyle w:val="TOAGroup"/>
      </w:pPr>
      <w:r>
        <w:t xml:space="preserve">Statutes:</w:t>
      </w:r>
      <w:r>
        <w:tab/>
      </w:r>
      <w:r>
        <w:rPr>
          <w:u w:val="single"/>
        </w:rPr>
        <w:t xml:space="preserve">Page(s)</w:t>
      </w:r>
    </w:p>
    <w:p>
      <w:pPr>
        <w:pStyle w:val="TOALine"/>
      </w:pPr>
      <w:r>
        <w:t xml:space="preserve">11 U.S.C. § 363 (2024)</w:t>
      </w:r>
      <w:r>
        <w:t xml:space="preserve"> </w:t>
      </w:r>
      <w:r>
        <w:tab/>
      </w:r>
      <w:r>
        <w:t xml:space="preserve">1</w:t>
      </w:r>
    </w:p>
    <w:p>
      <w:pPr>
        <w:pStyle w:val="SectionBreak"/>
        <w:sectPr>
          <w:footerReference w:type="default" r:id="rIdFtrPage"/>
          <w:footnotePr>
            <w:numFmt w:val="decimal"/>
            <w:numRestart w:val="continuous"/>
          </w:footnotePr>
          <w:type w:val="nextPage"/>
          <w:pgSz w:w="12240" w:h="15840"/>
          <w:pgMar w:top="1440" w:right="1440" w:bottom="1440" w:left="1440" w:header="720" w:footer="720" w:gutter="0"/>
          <w:pgNumType w:fmt="lowerRoman" w:start="1"/>
          <w:cols w:space="720"/>
        </w:sectPr>
      </w:pPr>
    </w:p>
    <w:p>
      <w:pPr>
        <w:pStyle w:val="Heading1"/>
      </w:pPr>
      <w:r>
        <w:t xml:space="preserve">Argument</w:t>
      </w:r>
    </w:p>
    <w:p>
      <w:pPr>
        <w:pStyle w:val="PointHeading"/>
      </w:pPr>
      <w:r>
        <w:t xml:space="preserve">I. THE APPELLEES DO NOT ANSWER THE VALUATION POINT</w:t>
      </w:r>
    </w:p>
    <w:p>
      <w:pPr>
        <w:pStyle w:val="FirstParagraph"/>
      </w:pPr>
      <w:r>
        <w:t xml:space="preserve">The Trustee’s answering brief relies on the broker’s rough estimate as though it were a finding. It is not. The question under 11 U.S.C. § 363(b) is whether the price reflected value, and the record contains no evidence of value other than the estimate the witness conceded he had not checked against the equipment.</w:t>
      </w:r>
    </w:p>
    <w:p>
      <w:pPr>
        <w:pStyle w:val="PointHeading"/>
      </w:pPr>
      <w:r>
        <w:t xml:space="preserve">II. THE PROCEEDS PROVISION IS A CONCESSION, NOT A REMEDY</w:t>
      </w:r>
    </w:p>
    <w:p>
      <w:pPr>
        <w:pStyle w:val="BodyText"/>
      </w:pPr>
      <w:r>
        <w:t xml:space="preserve">The Trustee accepts that Appellant’s interest must attach to the proceeds. That acknowledgment confirms that the order as written does not yet say so with the required precision. The Panel should direct the revision the Trustee’s own brief describes.</w:t>
      </w:r>
    </w:p>
    <w:p>
      <w:pPr>
        <w:pStyle w:val="Heading1"/>
      </w:pPr>
      <w:r>
        <w:t xml:space="preserve">Conclusion</w:t>
      </w:r>
    </w:p>
    <w:p>
      <w:pPr>
        <w:pStyle w:val="BodyKeep"/>
      </w:pPr>
      <w:r>
        <w:t xml:space="preserve">Appellant renews her request that the Panel vacate the sale order and remand for findings on value.</w:t>
      </w:r>
    </w:p>
    <w:p>
      <w:pPr>
        <w:pStyle w:val="Gap"/>
      </w:pPr>
    </w:p>
    <w:p>
      <w:pPr>
        <w:pStyle w:val="Counsel"/>
      </w:pPr>
      <w:r>
        <w:t xml:space="preserve">Respectfully submitted,</w:t>
      </w:r>
    </w:p>
    <w:p>
      <w:pPr>
        <w:pStyle w:val="Gap"/>
      </w:pPr>
    </w:p>
    <w:p>
      <w:pPr>
        <w:pStyle w:val="Counsel"/>
      </w:pPr>
      <w:r>
        <w:t xml:space="preserve">/s/ Pat Example</w:t>
      </w:r>
    </w:p>
    <w:p>
      <w:pPr>
        <w:pStyle w:val="Counsel"/>
      </w:pPr>
      <w:r>
        <w:t xml:space="preserve">PAT EXAMPLE</w:t>
      </w:r>
    </w:p>
    <w:p>
      <w:pPr>
        <w:pStyle w:val="CounselLine"/>
      </w:pPr>
      <w:r>
        <w:rPr>
          <w:i/>
          <w:iCs/>
        </w:rPr>
        <w:t xml:space="preserve">Example Law Office</w:t>
      </w:r>
    </w:p>
    <w:p>
      <w:pPr>
        <w:pStyle w:val="CounselLine"/>
      </w:pPr>
      <w:r>
        <w:rPr>
          <w:i/>
          <w:iCs/>
        </w:rPr>
        <w:t xml:space="preserve">100 Example Street</w:t>
      </w:r>
    </w:p>
    <w:p>
      <w:pPr>
        <w:pStyle w:val="CounselLine"/>
      </w:pPr>
      <w:r>
        <w:rPr>
          <w:i/>
          <w:iCs/>
        </w:rPr>
        <w:t xml:space="preserve">Anytown, ST 00000</w:t>
      </w:r>
    </w:p>
    <w:p>
      <w:pPr>
        <w:pStyle w:val="CounselLine"/>
      </w:pPr>
      <w:r>
        <w:rPr>
          <w:i/>
          <w:iCs/>
        </w:rPr>
        <w:t xml:space="preserve">(555) 555-0100</w:t>
      </w:r>
    </w:p>
    <w:p>
      <w:pPr>
        <w:pStyle w:val="CounselLine"/>
      </w:pPr>
      <w:r>
        <w:rPr>
          <w:i/>
          <w:iCs/>
        </w:rPr>
        <w:t xml:space="preserve">pat@example.com</w:t>
      </w:r>
    </w:p>
    <w:p>
      <w:pPr>
        <w:pStyle w:val="Gap"/>
      </w:pPr>
    </w:p>
    <w:p>
      <w:pPr>
        <w:pStyle w:val="Single"/>
      </w:pPr>
      <w:r>
        <w:t xml:space="preserve">November 18, 2026</w:t>
      </w:r>
    </w:p>
    <w:p>
      <w:pPr>
        <w:pStyle w:val="Heading1Break"/>
      </w:pPr>
      <w:r>
        <w:t xml:space="preserve">Certificate of Compliance</w:t>
      </w:r>
    </w:p>
    <w:p>
      <w:pPr>
        <w:pStyle w:val="CertItem"/>
      </w:pPr>
      <w:r>
        <w:t xml:space="preserve">1.</w:t>
      </w:r>
      <w:r>
        <w:tab/>
      </w:r>
      <w:r>
        <w:t xml:space="preserve">This brief complies with the type-volume limitation of Fed. R. Bankr. P. 8015(a)(7)(B) because, excluding the parts of the brief exempted by Fed. R. Bankr. P. 8015(g) and 10th Cir. BAP L.R. 8015-1(d), it contains no more than 6,500 words. The brief contains 129 words, as counted by the drafting software.</w:t>
      </w:r>
    </w:p>
    <w:p>
      <w:pPr>
        <w:pStyle w:val="CheckLine"/>
      </w:pPr>
      <w:r>
        <w:rPr>
          <w:b/>
          <w:sz w:val="22"/>
          <w:szCs w:val="22"/>
          <w:bdr w:val="single" w:sz="6" w:space="0" w:color="000000"/>
        </w:rPr>
        <w:t xml:space="preserve">X</w:t>
      </w:r>
      <w:r>
        <w:t xml:space="preserve">  this brief contains 129 words.</w:t>
      </w:r>
    </w:p>
    <w:p>
      <w:pPr>
        <w:pStyle w:val="CertItem"/>
      </w:pPr>
      <w:r>
        <w:t xml:space="preserve">2.</w:t>
      </w:r>
      <w:r>
        <w:tab/>
      </w:r>
      <w:r>
        <w:t xml:space="preserve">This brief complies with the typeface requirements of Fed. R. Bankr. P. 8015(a)(5) and 10th Cir. BAP L.R. 8015-1(b) because it has been prepared in a proportionally spaced typeface using Microsoft Word in 14-point Liberation Serif roman type.</w:t>
      </w:r>
    </w:p>
    <w:p>
      <w:pPr>
        <w:pStyle w:val="Gap"/>
      </w:pPr>
    </w:p>
    <w:p>
      <w:pPr>
        <w:pStyle w:val="Counsel"/>
      </w:pPr>
      <w:r>
        <w:t xml:space="preserve">/s/ Pat Example</w:t>
      </w:r>
    </w:p>
    <w:p>
      <w:pPr>
        <w:pStyle w:val="Counsel"/>
      </w:pPr>
      <w:r>
        <w:t xml:space="preserve">Attorney for Appellant Jane Doe</w:t>
      </w:r>
    </w:p>
    <w:p>
      <w:pPr>
        <w:pStyle w:val="Counsel"/>
      </w:pPr>
      <w:r>
        <w:t xml:space="preserve">Dated: November 18, 2026</w:t>
      </w:r>
    </w:p>
    <w:p>
      <w:pPr>
        <w:pStyle w:val="FrontHeadingBreak"/>
      </w:pPr>
      <w:r>
        <w:t xml:space="preserve">Statement of Related Cases</w:t>
      </w:r>
    </w:p>
    <w:p>
      <w:pPr>
        <w:pStyle w:val="Single"/>
      </w:pPr>
      <w:r>
        <w:t xml:space="preserve">The filer knows of no related case pending before the United States Supreme Court, any United States Court of Appeals, any United States District Court, or the Bankruptcy Appellate Panel.</w:t>
      </w:r>
    </w:p>
    <w:sectPr>
      <w:footerReference w:type="default" r:id="rIdFtrPage"/>
      <w:footnotePr>
        <w:numFmt w:val="decimal"/>
        <w:numRestart w:val="continuous"/>
      </w:footnotePr>
      <w:type w:val="nextPage"/>
      <w:pgSz w:w="12240" w:h="15840"/>
      <w:pgMar w:top="1440" w:right="1440" w:bottom="1440" w:left="1440" w:header="720" w:footer="720" w:gutter="0"/>
      <w:pgNumType w:fmt="decimal"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hAnsi="Liberation Serif" w:eastAsia="Liberation Serif" w:cs="Liberation Serif"/>
        <w:sz w:val="28"/>
        <w:szCs w:val="28"/>
        <w:lang w:val="en-US" w:eastAsia="en-US"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pPr>
      <w:widowControl/>
      <w:spacing w:before="0" w:after="0" w:line="240" w:lineRule="auto"/>
      <w:ind w:firstLine="0"/>
    </w:pPr>
    <w:rPr>
      <w:sz w:val="28"/>
      <w:szCs w:val="28"/>
    </w:rPr>
  </w:style>
  <w:style w:type="paragraph" w:styleId="BodyText">
    <w:name w:val="Body Text"/>
    <w:basedOn w:val="Normal"/>
    <w:link w:val="BodyTextChar"/>
    <w:qFormat/>
    <w:pPr>
      <w:spacing w:before="0" w:after="0" w:line="628" w:lineRule="exact"/>
      <w:ind w:firstLine="720"/>
    </w:pPr>
  </w:style>
  <w:style w:type="paragraph" w:styleId="FirstParagraph">
    <w:name w:val="First Paragraph"/>
    <w:basedOn w:val="BodyText"/>
    <w:next w:val="BodyText"/>
    <w:qFormat/>
  </w:style>
  <w:style w:type="paragraph" w:styleId="Compact">
    <w:name w:val="Compact"/>
    <w:basedOn w:val="BodyText"/>
    <w:qFormat/>
    <w:pPr>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type="character" w:customStyle="1" w:styleId="TitleChar">
    <w:name w:val="Title Char"/>
    <w:basedOn w:val="DefaultParagraphFont"/>
    <w:link w:val="Title"/>
    <w:uiPriority w:val="10"/>
    <w:rsid w:val="00A10FD9"/>
    <w:rPr>
      <w:rFonts w:cstheme="majorBidi"/>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360" w:line="240" w:lineRule="auto"/>
      <w:ind w:firstLine="0"/>
      <w:jc w:val="center"/>
      <w:outlineLvl w:val="0"/>
    </w:pPr>
    <w:rPr>
      <w:b/>
      <w:bCs/>
      <w:caps/>
      <w:color w:val="000000"/>
      <w:sz w:val="32"/>
      <w:szCs w:val="32"/>
    </w:rPr>
  </w:style>
  <w:style w:type="paragraph" w:styleId="Heading2">
    <w:name w:val="heading 2"/>
    <w:basedOn w:val="Normal"/>
    <w:next w:val="BodyText"/>
    <w:uiPriority w:val="9"/>
    <w:unhideWhenUsed/>
    <w:qFormat/>
    <w:pPr>
      <w:keepNext/>
      <w:keepLines/>
      <w:spacing w:before="340" w:after="260" w:line="240" w:lineRule="auto"/>
      <w:ind w:firstLine="0"/>
      <w:outlineLvl w:val="1"/>
    </w:pPr>
    <w:rPr>
      <w:b/>
      <w:bCs/>
      <w:color w:val="000000"/>
      <w:sz w:val="28"/>
      <w:szCs w:val="28"/>
    </w:rPr>
  </w:style>
  <w:style w:type="paragraph" w:styleId="Heading3">
    <w:name w:val="heading 3"/>
    <w:basedOn w:val="Heading2"/>
    <w:next w:val="BodyText"/>
    <w:uiPriority w:val="9"/>
    <w:unhideWhenUsed/>
    <w:qFormat/>
    <w:pPr>
      <w:outlineLvl w:val="2"/>
    </w:pPr>
  </w:style>
  <w:style w:type="paragraph" w:styleId="Heading4">
    <w:name w:val="heading 4"/>
    <w:basedOn w:val="Heading2"/>
    <w:next w:val="BodyText"/>
    <w:uiPriority w:val="9"/>
    <w:unhideWhenUsed/>
    <w:qFormat/>
    <w:pPr>
      <w:outlineLvl w:val="3"/>
    </w:pPr>
  </w:style>
  <w:style w:type="paragraph" w:styleId="Heading5">
    <w:name w:val="heading 5"/>
    <w:basedOn w:val="Heading2"/>
    <w:next w:val="BodyText"/>
    <w:uiPriority w:val="9"/>
    <w:unhideWhenUsed/>
    <w:qFormat/>
    <w:pPr>
      <w:outlineLvl w:val="4"/>
    </w:p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cstheme="majorBidi"/>
      <w:color w:val="272727" w:themeColor="text1" w:themeTint="D8"/>
    </w:rPr>
  </w:style>
  <w:style w:type="character" w:customStyle="1" w:styleId="Heading1Char">
    <w:name w:val="Heading 1 Char"/>
    <w:basedOn w:val="DefaultParagraphFont"/>
    <w:link w:val="Heading1"/>
    <w:uiPriority w:val="9"/>
    <w:rsid w:val="00A10FD9"/>
    <w:rPr>
      <w:rFonts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cstheme="majorBidi"/>
      <w:color w:val="595959" w:themeColor="text1" w:themeTint="A6"/>
    </w:rPr>
  </w:style>
  <w:style w:type="character" w:customStyle="1" w:styleId="Heading8Char">
    <w:name w:val="Heading 8 Char"/>
    <w:basedOn w:val="DefaultParagraphFont"/>
    <w:link w:val="Heading8"/>
    <w:uiPriority w:val="9"/>
    <w:semiHidden/>
    <w:rsid w:val="00A10FD9"/>
    <w:rPr>
      <w:rFonts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cstheme="majorBidi"/>
      <w:color w:val="272727" w:themeColor="text1" w:themeTint="D8"/>
    </w:rPr>
  </w:style>
  <w:style w:type="paragraph" w:styleId="BlockText">
    <w:name w:val="Block Text"/>
    <w:basedOn w:val="BodyText"/>
    <w:next w:val="BodyText"/>
    <w:uiPriority w:val="9"/>
    <w:qFormat/>
    <w:pPr>
      <w:pBdr/>
      <w:spacing w:before="280" w:after="280" w:line="240" w:lineRule="auto"/>
      <w:ind w:left="720" w:right="720" w:firstLine="0"/>
    </w:pPr>
  </w:style>
  <w:style w:type="paragraph" w:styleId="FootnoteText">
    <w:name w:val="footnote text"/>
    <w:basedOn w:val="Normal"/>
    <w:link w:val="FootnoteTextChar"/>
    <w:uiPriority w:val="99"/>
    <w:unhideWhenUsed/>
    <w:pPr>
      <w:spacing w:before="0" w:after="140" w:line="240" w:lineRule="auto"/>
      <w:ind w:firstLine="0"/>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DefaultParagraphFont"/>
    <w:rPr>
      <w:color w:val="000000"/>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customStyle="1" w:styleId="BodyKeep">
    <w:name w:val="Body Keep"/>
    <w:basedOn w:val="BodyText"/>
    <w:qFormat/>
    <w:pPr>
      <w:keepNext/>
      <w:keepLines/>
    </w:pPr>
  </w:style>
  <w:style w:type="paragraph" w:customStyle="1" w:styleId="Heading1Break">
    <w:name w:val="Heading 1 Break"/>
    <w:basedOn w:val="Heading1"/>
    <w:next w:val="BodyText"/>
    <w:qFormat/>
    <w:pPr>
      <w:pageBreakBefore/>
    </w:pPr>
  </w:style>
  <w:style w:type="paragraph" w:customStyle="1" w:styleId="FrontHeading">
    <w:name w:val="Front Heading"/>
    <w:basedOn w:val="Normal"/>
    <w:next w:val="Single"/>
    <w:qFormat/>
    <w:pPr>
      <w:keepNext/>
      <w:keepLines/>
      <w:spacing w:before="480" w:after="360" w:line="240" w:lineRule="auto"/>
      <w:ind w:firstLine="0"/>
      <w:jc w:val="center"/>
    </w:pPr>
    <w:rPr>
      <w:b/>
      <w:bCs/>
      <w:caps/>
      <w:sz w:val="32"/>
      <w:szCs w:val="32"/>
    </w:rPr>
  </w:style>
  <w:style w:type="paragraph" w:customStyle="1" w:styleId="FrontHeadingBreak">
    <w:name w:val="Front Heading Break"/>
    <w:basedOn w:val="FrontHeading"/>
    <w:next w:val="Single"/>
    <w:qFormat/>
    <w:pPr>
      <w:pageBreakBefore/>
    </w:pPr>
  </w:style>
  <w:style w:type="paragraph" w:customStyle="1" w:styleId="PointHeading">
    <w:name w:val="Point Heading"/>
    <w:basedOn w:val="Heading2"/>
    <w:next w:val="BodyText"/>
    <w:qFormat/>
    <w:pPr>
      <w:spacing w:before="340" w:after="280" w:line="240" w:lineRule="auto"/>
      <w:jc w:val="center"/>
    </w:pPr>
  </w:style>
  <w:style w:type="paragraph" w:customStyle="1" w:styleId="SubHead1">
    <w:name w:val="Sub Head 1"/>
    <w:basedOn w:val="Heading2"/>
    <w:next w:val="BodyText"/>
    <w:qFormat/>
    <w:pPr>
      <w:tabs>
        <w:tab w:val="left" w:pos="1440"/>
      </w:tabs>
      <w:ind w:left="1440" w:hanging="720"/>
    </w:pPr>
  </w:style>
  <w:style w:type="paragraph" w:customStyle="1" w:styleId="SubHead2">
    <w:name w:val="Sub Head 2"/>
    <w:basedOn w:val="Heading3"/>
    <w:next w:val="BodyText"/>
    <w:qFormat/>
    <w:pPr>
      <w:tabs>
        <w:tab w:val="left" w:pos="2160"/>
      </w:tabs>
      <w:ind w:left="2160" w:hanging="720"/>
    </w:pPr>
  </w:style>
  <w:style w:type="paragraph" w:customStyle="1" w:styleId="SubHead3">
    <w:name w:val="Sub Head 3"/>
    <w:basedOn w:val="Heading4"/>
    <w:next w:val="BodyText"/>
    <w:qFormat/>
    <w:pPr>
      <w:tabs>
        <w:tab w:val="left" w:pos="2880"/>
      </w:tabs>
      <w:ind w:left="2880" w:hanging="720"/>
    </w:pPr>
  </w:style>
  <w:style w:type="paragraph" w:customStyle="1" w:styleId="SubHead4">
    <w:name w:val="Sub Head 4"/>
    <w:basedOn w:val="Heading5"/>
    <w:next w:val="BodyText"/>
    <w:qFormat/>
    <w:pPr>
      <w:tabs>
        <w:tab w:val="left" w:pos="3600"/>
      </w:tabs>
      <w:ind w:left="3600" w:hanging="720"/>
    </w:pPr>
  </w:style>
  <w:style w:type="paragraph" w:styleId="Footer">
    <w:name w:val="footer"/>
    <w:basedOn w:val="Normal"/>
    <w:uiPriority w:val="99"/>
    <w:unhideWhenUsed/>
    <w:pPr>
      <w:spacing w:after="0" w:line="240" w:lineRule="auto"/>
      <w:ind w:firstLine="0"/>
      <w:jc w:val="center"/>
    </w:pPr>
  </w:style>
  <w:style w:type="paragraph" w:customStyle="1" w:styleId="SectionBreak">
    <w:name w:val="Section Break"/>
    <w:basedOn w:val="Normal"/>
    <w:pPr>
      <w:spacing w:before="0" w:after="0" w:line="20" w:lineRule="exact"/>
      <w:ind w:firstLine="0"/>
    </w:pPr>
    <w:rPr>
      <w:sz w:val="2"/>
      <w:szCs w:val="2"/>
    </w:rPr>
  </w:style>
  <w:style w:type="paragraph" w:customStyle="1" w:styleId="Centered">
    <w:name w:val="Centered"/>
    <w:basedOn w:val="Normal"/>
    <w:qFormat/>
    <w:pPr>
      <w:spacing w:before="0" w:after="70" w:line="240" w:lineRule="auto"/>
      <w:ind w:firstLine="0"/>
      <w:jc w:val="center"/>
    </w:pPr>
  </w:style>
  <w:style w:type="paragraph" w:customStyle="1" w:styleId="Single">
    <w:name w:val="Single"/>
    <w:basedOn w:val="Normal"/>
    <w:qFormat/>
    <w:pPr>
      <w:spacing w:before="0" w:after="280" w:line="240" w:lineRule="auto"/>
      <w:ind w:firstLine="0"/>
    </w:pPr>
  </w:style>
  <w:style w:type="paragraph" w:customStyle="1" w:styleId="CertItem">
    <w:name w:val="Cert Item"/>
    <w:basedOn w:val="Single"/>
    <w:qFormat/>
    <w:pPr>
      <w:tabs>
        <w:tab w:val="left" w:pos="360"/>
      </w:tabs>
      <w:ind w:left="360" w:hanging="360"/>
    </w:pPr>
  </w:style>
  <w:style w:type="paragraph" w:customStyle="1" w:styleId="CheckLine">
    <w:name w:val="Check Line"/>
    <w:basedOn w:val="Single"/>
    <w:qFormat/>
    <w:pPr>
      <w:keepLines/>
      <w:spacing w:before="0" w:after="220" w:line="240" w:lineRule="auto"/>
      <w:ind w:left="448" w:firstLine="0"/>
    </w:pPr>
  </w:style>
  <w:style w:type="paragraph" w:customStyle="1" w:styleId="Right">
    <w:name w:val="Right"/>
    <w:basedOn w:val="Normal"/>
    <w:qFormat/>
    <w:pPr>
      <w:spacing w:before="0" w:after="70" w:line="240" w:lineRule="auto"/>
      <w:ind w:firstLine="0"/>
      <w:jc w:val="right"/>
    </w:pPr>
  </w:style>
  <w:style w:type="paragraph" w:customStyle="1" w:styleId="RightHead">
    <w:name w:val="Right Head"/>
    <w:basedOn w:val="Normal"/>
    <w:pPr>
      <w:keepNext/>
      <w:spacing w:before="0" w:after="0" w:line="240" w:lineRule="auto"/>
      <w:ind w:firstLine="0"/>
      <w:jc w:val="right"/>
    </w:pPr>
    <w:rPr>
      <w:b/>
      <w:u w:val="single"/>
    </w:rPr>
  </w:style>
  <w:style w:type="paragraph" w:customStyle="1" w:styleId="Designation">
    <w:name w:val="Designation"/>
    <w:basedOn w:val="Normal"/>
    <w:qFormat/>
    <w:pPr>
      <w:spacing w:before="0" w:after="70" w:line="240" w:lineRule="auto"/>
      <w:ind w:left="4680" w:firstLine="0"/>
    </w:pPr>
  </w:style>
  <w:style w:type="paragraph" w:customStyle="1" w:styleId="Counsel">
    <w:name w:val="Counsel"/>
    <w:basedOn w:val="Normal"/>
    <w:qFormat/>
    <w:pPr>
      <w:keepNext/>
      <w:keepLines/>
      <w:spacing w:before="0" w:after="0" w:line="240" w:lineRule="auto"/>
      <w:ind w:left="4680" w:firstLine="0"/>
    </w:pPr>
  </w:style>
  <w:style w:type="paragraph" w:customStyle="1" w:styleId="CounselLine">
    <w:name w:val="Counsel Line"/>
    <w:basedOn w:val="Counsel"/>
    <w:qFormat/>
    <w:pPr>
      <w:ind w:left="4820" w:firstLine="0"/>
    </w:pPr>
  </w:style>
  <w:style w:type="paragraph" w:customStyle="1" w:styleId="Gap">
    <w:name w:val="Gap"/>
    <w:basedOn w:val="Normal"/>
    <w:pPr>
      <w:keepNext/>
      <w:spacing w:before="0" w:after="0" w:line="320" w:lineRule="exact"/>
      <w:ind w:firstLine="0"/>
    </w:pPr>
  </w:style>
  <w:style w:type="paragraph" w:customStyle="1" w:styleId="RuleDouble">
    <w:name w:val="Rule Double"/>
    <w:basedOn w:val="Centered"/>
    <w:pPr>
      <w:pBdr>
        <w:top w:val="single" w:sz="13" w:space="0" w:color="000000"/>
        <w:bottom w:val="single" w:sz="4" w:space="0" w:color="000000"/>
      </w:pBdr>
      <w:spacing w:before="260" w:after="260" w:line="50" w:lineRule="exact"/>
    </w:pPr>
    <w:rPr>
      <w:sz w:val="4"/>
      <w:szCs w:val="4"/>
    </w:rPr>
  </w:style>
  <w:style w:type="paragraph" w:customStyle="1" w:styleId="RuleShort">
    <w:name w:val="Rule Short"/>
    <w:basedOn w:val="Centered"/>
    <w:pPr>
      <w:pBdr>
        <w:bottom w:val="single" w:sz="6" w:space="1" w:color="000000"/>
      </w:pBdr>
      <w:spacing w:before="200" w:after="320" w:line="120" w:lineRule="exact"/>
      <w:ind w:left="3240" w:right="3240" w:firstLine="0"/>
    </w:pPr>
    <w:rPr>
      <w:sz w:val="4"/>
      <w:szCs w:val="4"/>
    </w:rPr>
  </w:style>
  <w:style w:type="paragraph" w:customStyle="1" w:styleId="TOCK0">
    <w:name w:val="TOC Entry 0"/>
    <w:basedOn w:val="Normal"/>
    <w:qFormat/>
    <w:pPr>
      <w:tabs>
        <w:tab w:val="left" w:pos="720"/>
        <w:tab w:val="right" w:leader="dot" w:pos="9340"/>
      </w:tabs>
      <w:spacing w:before="120" w:after="0" w:line="240" w:lineRule="auto"/>
      <w:ind w:left="720" w:right="720" w:hanging="720"/>
    </w:pPr>
  </w:style>
  <w:style w:type="paragraph" w:customStyle="1" w:styleId="TOCK1">
    <w:name w:val="TOC Entry 1"/>
    <w:basedOn w:val="TOCK0"/>
    <w:qFormat/>
    <w:pPr>
      <w:tabs>
        <w:tab w:val="left" w:pos="1440"/>
      </w:tabs>
      <w:spacing w:before="70"/>
      <w:ind w:left="1440" w:right="720" w:hanging="720"/>
    </w:pPr>
  </w:style>
  <w:style w:type="paragraph" w:customStyle="1" w:styleId="TOCK2">
    <w:name w:val="TOC Entry 2"/>
    <w:basedOn w:val="TOCK0"/>
    <w:qFormat/>
    <w:pPr>
      <w:tabs>
        <w:tab w:val="left" w:pos="2160"/>
      </w:tabs>
      <w:spacing w:before="70"/>
      <w:ind w:left="2160" w:right="720" w:hanging="720"/>
    </w:pPr>
  </w:style>
  <w:style w:type="paragraph" w:customStyle="1" w:styleId="TOCK3">
    <w:name w:val="TOC Entry 3"/>
    <w:basedOn w:val="TOCK0"/>
    <w:qFormat/>
    <w:pPr>
      <w:tabs>
        <w:tab w:val="left" w:pos="2880"/>
      </w:tabs>
      <w:spacing w:before="70"/>
      <w:ind w:left="2880" w:right="720" w:hanging="720"/>
    </w:pPr>
  </w:style>
  <w:style w:type="paragraph" w:customStyle="1" w:styleId="TOAGroup">
    <w:name w:val="TOA Group"/>
    <w:basedOn w:val="Normal"/>
    <w:qFormat/>
    <w:pPr>
      <w:keepNext/>
      <w:tabs>
        <w:tab w:val="right" w:pos="9360"/>
      </w:tabs>
      <w:spacing w:before="280" w:after="0" w:line="240" w:lineRule="auto"/>
      <w:ind w:firstLine="0"/>
    </w:pPr>
    <w:rPr>
      <w:b/>
      <w:bCs/>
    </w:rPr>
  </w:style>
  <w:style w:type="paragraph" w:customStyle="1" w:styleId="TOALine">
    <w:name w:val="TOA Line"/>
    <w:basedOn w:val="Normal"/>
    <w:qFormat/>
    <w:pPr>
      <w:keepLines/>
      <w:tabs>
        <w:tab w:val="right" w:leader="dot" w:pos="9340"/>
      </w:tabs>
      <w:spacing w:before="140" w:after="0" w:line="240" w:lineRule="auto"/>
      <w:ind w:left="504" w:right="1120" w:hanging="504"/>
    </w:pPr>
  </w:style>
  <w:style w:type="paragraph" w:customStyle="1" w:styleId="BodyKeep">
    <w:name w:val="BodyKeep"/>
    <w:basedOn w:val="BodyText"/>
    <w:qFormat/>
  </w:style>
  <w:style w:type="paragraph" w:customStyle="1" w:styleId="CertItem">
    <w:name w:val="CertItem"/>
    <w:basedOn w:val="BodyText"/>
    <w:qFormat/>
  </w:style>
  <w:style w:type="paragraph" w:customStyle="1" w:styleId="CheckLine">
    <w:name w:val="CheckLine"/>
    <w:basedOn w:val="BodyText"/>
    <w:qFormat/>
  </w:style>
  <w:style w:type="paragraph" w:customStyle="1" w:styleId="CounselLine">
    <w:name w:val="CounselLine"/>
    <w:basedOn w:val="BodyText"/>
    <w:qFormat/>
  </w:style>
  <w:style w:type="paragraph" w:customStyle="1" w:styleId="FrontHeading">
    <w:name w:val="FrontHeading"/>
    <w:basedOn w:val="BodyText"/>
    <w:qFormat/>
  </w:style>
  <w:style w:type="paragraph" w:customStyle="1" w:styleId="FrontHeadingBreak">
    <w:name w:val="FrontHeadingBreak"/>
    <w:basedOn w:val="BodyText"/>
    <w:qFormat/>
  </w:style>
  <w:style w:type="paragraph" w:customStyle="1" w:styleId="Heading1Break">
    <w:name w:val="Heading1Break"/>
    <w:basedOn w:val="BodyText"/>
    <w:qFormat/>
  </w:style>
  <w:style w:type="paragraph" w:customStyle="1" w:styleId="PointHeading">
    <w:name w:val="PointHeading"/>
    <w:basedOn w:val="BodyText"/>
    <w:qFormat/>
  </w:style>
  <w:style w:type="paragraph" w:customStyle="1" w:styleId="RightHead">
    <w:name w:val="RightHead"/>
    <w:basedOn w:val="BodyText"/>
    <w:qFormat/>
  </w:style>
  <w:style w:type="paragraph" w:customStyle="1" w:styleId="TOAGroup">
    <w:name w:val="TOAGroup"/>
    <w:basedOn w:val="BodyText"/>
    <w:qFormat/>
  </w:style>
  <w:style w:type="paragraph" w:customStyle="1" w:styleId="TOALine">
    <w:name w:val="TOALine"/>
    <w:basedOn w:val="BodyText"/>
    <w:qFormat/>
  </w:style>
  <w:style w:type="paragraph" w:customStyle="1" w:styleId="TOCK0">
    <w:name w:val="TOCK0"/>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Liberation Serif"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Liberation Serif"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