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Override PartName="/word/hdr-own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216" w:type="dxa"/>
        <w:tblInd w:w="0" w:type="dxa"/>
        <w:tblBorders>
          <w:top w:val="nil"/>
          <w:left w:val="nil"/>
          <w:bottom w:val="nil"/>
          <w:right w:val="nil"/>
        </w:tblBorders>
        <w:tblLayout w:type="fixed"/>
        <w:tblCellMar>
          <w:top w:w="0" w:type="dxa"/>
          <w:left w:w="0" w:type="dxa"/>
          <w:bottom w:w="0" w:type="dxa"/>
          <w:right w:w="0" w:type="dxa"/>
        </w:tblCellMar>
        <w:tblLook w:val="0000" w:firstRow="0" w:lastRow="0" w:firstColumn="0" w:lastColumn="0" w:noHBand="0" w:noVBand="0"/>
      </w:tblPr>
      <w:tblGrid>
        <w:gridCol w:w="9216"/>
      </w:tblGrid>
      <w:tr>
        <w:trPr>
          <w:cantSplit/>
          <w:trHeight w:val="2560" w:hRule="atLeast"/>
        </w:trPr>
        <w:tc>
          <w:tcPr>
            <w:tcW w:w="9216" w:type="dxa"/>
          </w:tcPr>
          <w:p>
            <w:pPr>
              <w:spacing w:before="0" w:after="0" w:line="320" w:lineRule="exact"/>
              <w:ind w:left="0" w:firstLine="0"/>
              <w:jc w:val="left"/>
            </w:pPr>
            <w:r>
              <w:t xml:space="preserve">Seth</w:t>
            </w:r>
            <w:r>
              <w:t xml:space="preserve"> </w:t>
            </w:r>
            <w:r>
              <w:t xml:space="preserve">J.</w:t>
            </w:r>
            <w:r>
              <w:t xml:space="preserve"> </w:t>
            </w:r>
            <w:r>
              <w:t xml:space="preserve">Berntsen,</w:t>
            </w:r>
            <w:r>
              <w:t xml:space="preserve"> </w:t>
            </w:r>
            <w:r>
              <w:t xml:space="preserve">WSBA</w:t>
            </w:r>
            <w:r>
              <w:t xml:space="preserve"> </w:t>
            </w:r>
            <w:r>
              <w:t xml:space="preserve">#30379</w:t>
            </w:r>
          </w:p>
          <w:p>
            <w:pPr>
              <w:spacing w:before="0" w:after="0" w:line="320" w:lineRule="exact"/>
              <w:ind w:left="0" w:firstLine="0"/>
              <w:jc w:val="left"/>
            </w:pPr>
            <w:r>
              <w:t xml:space="preserve">Rebecca</w:t>
            </w:r>
            <w:r>
              <w:t xml:space="preserve"> </w:t>
            </w:r>
            <w:r>
              <w:t xml:space="preserve">S.</w:t>
            </w:r>
            <w:r>
              <w:t xml:space="preserve"> </w:t>
            </w:r>
            <w:r>
              <w:t xml:space="preserve">Singleton,</w:t>
            </w:r>
            <w:r>
              <w:t xml:space="preserve"> </w:t>
            </w:r>
            <w:r>
              <w:t xml:space="preserve">WSBA</w:t>
            </w:r>
            <w:r>
              <w:t xml:space="preserve"> </w:t>
            </w:r>
            <w:r>
              <w:t xml:space="preserve">#57719</w:t>
            </w:r>
          </w:p>
          <w:p>
            <w:pPr>
              <w:spacing w:before="0" w:after="0" w:line="320" w:lineRule="exact"/>
              <w:ind w:left="0" w:firstLine="0"/>
              <w:jc w:val="left"/>
            </w:pPr>
            <w:r>
              <w:t xml:space="preserve">Eva</w:t>
            </w:r>
            <w:r>
              <w:t xml:space="preserve"> </w:t>
            </w:r>
            <w:r>
              <w:t xml:space="preserve">Oliver,</w:t>
            </w:r>
            <w:r>
              <w:t xml:space="preserve"> </w:t>
            </w:r>
            <w:r>
              <w:t xml:space="preserve">WSBA</w:t>
            </w:r>
            <w:r>
              <w:t xml:space="preserve"> </w:t>
            </w:r>
            <w:r>
              <w:t xml:space="preserve">#57019</w:t>
            </w:r>
          </w:p>
          <w:p>
            <w:pPr>
              <w:spacing w:before="0" w:after="0" w:line="320" w:lineRule="exact"/>
              <w:ind w:left="0" w:firstLine="0"/>
              <w:jc w:val="left"/>
            </w:pPr>
            <w:r>
              <w:t xml:space="preserve">Summit</w:t>
            </w:r>
            <w:r>
              <w:t xml:space="preserve"> </w:t>
            </w:r>
            <w:r>
              <w:t xml:space="preserve">Law</w:t>
            </w:r>
            <w:r>
              <w:t xml:space="preserve"> </w:t>
            </w:r>
            <w:r>
              <w:t xml:space="preserve">Group,</w:t>
            </w:r>
            <w:r>
              <w:t xml:space="preserve"> </w:t>
            </w:r>
            <w:r>
              <w:t xml:space="preserve">PLLC</w:t>
            </w:r>
          </w:p>
          <w:p>
            <w:pPr>
              <w:spacing w:before="0" w:after="0" w:line="320" w:lineRule="exact"/>
              <w:ind w:left="0" w:firstLine="0"/>
              <w:jc w:val="left"/>
            </w:pPr>
            <w:r>
              <w:t xml:space="preserve">315</w:t>
            </w:r>
            <w:r>
              <w:t xml:space="preserve"> </w:t>
            </w:r>
            <w:r>
              <w:t xml:space="preserve">Fifth</w:t>
            </w:r>
            <w:r>
              <w:t xml:space="preserve"> </w:t>
            </w:r>
            <w:r>
              <w:t xml:space="preserve">Avenue</w:t>
            </w:r>
            <w:r>
              <w:t xml:space="preserve"> </w:t>
            </w:r>
            <w:r>
              <w:t xml:space="preserve">S.,</w:t>
            </w:r>
            <w:r>
              <w:t xml:space="preserve"> </w:t>
            </w:r>
            <w:r>
              <w:t xml:space="preserve">Suite</w:t>
            </w:r>
            <w:r>
              <w:t xml:space="preserve"> </w:t>
            </w:r>
            <w:r>
              <w:t xml:space="preserve">1000</w:t>
            </w:r>
          </w:p>
          <w:p>
            <w:pPr>
              <w:spacing w:before="0" w:after="0" w:line="320" w:lineRule="exact"/>
              <w:ind w:left="0" w:firstLine="0"/>
              <w:jc w:val="left"/>
            </w:pPr>
            <w:r>
              <w:t xml:space="preserve">Seattle,</w:t>
            </w:r>
            <w:r>
              <w:t xml:space="preserve"> </w:t>
            </w:r>
            <w:r>
              <w:t xml:space="preserve">WA</w:t>
            </w:r>
            <w:r>
              <w:t xml:space="preserve"> </w:t>
            </w:r>
            <w:r>
              <w:t xml:space="preserve">98104-⁠2682</w:t>
            </w:r>
          </w:p>
          <w:p>
            <w:pPr>
              <w:spacing w:before="0" w:after="0" w:line="320" w:lineRule="exact"/>
              <w:ind w:left="0" w:firstLine="0"/>
              <w:jc w:val="left"/>
            </w:pPr>
            <w:r>
              <w:t xml:space="preserve">(206)</w:t>
            </w:r>
            <w:r>
              <w:t xml:space="preserve"> </w:t>
            </w:r>
            <w:r>
              <w:t xml:space="preserve">676-⁠7000</w:t>
            </w:r>
          </w:p>
          <w:p>
            <w:pPr>
              <w:spacing w:before="0" w:after="0" w:line="320" w:lineRule="exact"/>
              <w:ind w:left="0" w:firstLine="0"/>
              <w:jc w:val="left"/>
            </w:pPr>
            <w:r>
              <w:t xml:space="preserve">sethb@summitlaw.com</w:t>
            </w:r>
          </w:p>
          <w:p>
            <w:pPr>
              <w:spacing w:before="0" w:after="0" w:line="320" w:lineRule="exact"/>
              <w:ind w:left="0" w:firstLine="0"/>
              <w:jc w:val="left"/>
            </w:pPr>
            <w:r>
              <w:t xml:space="preserve">rebeccas@summitlaw.com</w:t>
            </w:r>
          </w:p>
          <w:p>
            <w:pPr>
              <w:spacing w:before="0" w:after="0" w:line="320" w:lineRule="exact"/>
              <w:ind w:left="0" w:firstLine="0"/>
              <w:jc w:val="left"/>
            </w:pPr>
            <w:r>
              <w:t xml:space="preserve">evao@summitlaw.com</w:t>
            </w:r>
          </w:p>
          <w:p>
            <w:pPr>
              <w:spacing w:before="0" w:after="0" w:line="320" w:lineRule="exact"/>
              <w:ind w:left="0" w:firstLine="0"/>
              <w:jc w:val="left"/>
            </w:pPr>
            <w:r>
              <w:t xml:space="preserve">Attorneys</w:t>
            </w:r>
            <w:r>
              <w:t xml:space="preserve"> </w:t>
            </w:r>
            <w:r>
              <w:t xml:space="preserve">for</w:t>
            </w:r>
            <w:r>
              <w:t xml:space="preserve"> </w:t>
            </w:r>
            <w:r>
              <w:t xml:space="preserve">Defendant</w:t>
            </w:r>
            <w:r>
              <w:t xml:space="preserve"> </w:t>
            </w:r>
            <w:r>
              <w:t xml:space="preserve">Battelle</w:t>
            </w:r>
            <w:r>
              <w:t xml:space="preserve"> </w:t>
            </w:r>
            <w:r>
              <w:t xml:space="preserve">Memorial</w:t>
            </w:r>
            <w:r>
              <w:t xml:space="preserve"> </w:t>
            </w:r>
            <w:r>
              <w:t xml:space="preserve">Institute</w:t>
            </w:r>
          </w:p>
        </w:tc>
      </w:tr>
    </w:tbl>
    <w:p>
      <w:pPr>
        <w:spacing w:before="0" w:after="0" w:line="320" w:lineRule="exact"/>
        <w:ind w:left="0" w:firstLine="0"/>
        <w:jc w:val="center"/>
      </w:pPr>
      <w:r>
        <w:t xml:space="preserve">UNITED</w:t>
      </w:r>
      <w:r>
        <w:t xml:space="preserve"> </w:t>
      </w:r>
      <w:r>
        <w:t xml:space="preserve">STATES</w:t>
      </w:r>
      <w:r>
        <w:t xml:space="preserve"> </w:t>
      </w:r>
      <w:r>
        <w:t xml:space="preserve">DISTRICT</w:t>
      </w:r>
      <w:r>
        <w:t xml:space="preserve"> </w:t>
      </w:r>
      <w:r>
        <w:t xml:space="preserve">COURT</w:t>
      </w:r>
    </w:p>
    <w:p>
      <w:pPr>
        <w:spacing w:before="0" w:after="0" w:line="320" w:lineRule="exact"/>
        <w:ind w:left="0" w:firstLine="0"/>
        <w:jc w:val="center"/>
      </w:pPr>
      <w:r>
        <w:t xml:space="preserve">EASTERN</w:t>
      </w:r>
      <w:r>
        <w:t xml:space="preserve"> </w:t>
      </w:r>
      <w:r>
        <w:t xml:space="preserve">DISTRICT</w:t>
      </w:r>
      <w:r>
        <w:t xml:space="preserve"> </w:t>
      </w:r>
      <w:r>
        <w:t xml:space="preserve">OF</w:t>
      </w:r>
      <w:r>
        <w:t xml:space="preserve"> </w:t>
      </w:r>
      <w:r>
        <w:t xml:space="preserve">WASHINGTON</w:t>
      </w:r>
    </w:p>
    <w:p>
      <w:pPr>
        <w:spacing w:before="0" w:after="0" w:line="320" w:lineRule="exact"/>
        <w:ind w:left="0" w:firstLine="0"/>
        <w:jc w:val="center"/>
      </w:pPr>
      <w:r>
        <w:t xml:space="preserve">AT</w:t>
      </w:r>
      <w:r>
        <w:t xml:space="preserve"> </w:t>
      </w:r>
      <w:r>
        <w:t xml:space="preserve">RICHLAND</w:t>
      </w:r>
    </w:p>
    <w:p>
      <w:pPr>
        <w:spacing w:before="0" w:after="0" w:line="640" w:lineRule="exact"/>
      </w:pPr>
    </w:p>
    <w:tbl>
      <w:tblPr>
        <w:tblW w:w="9216" w:type="dxa"/>
        <w:tblLayout w:type="fixed"/>
        <w:tblCellMar>
          <w:top w:w="0" w:type="dxa"/>
          <w:left w:w="0" w:type="dxa"/>
          <w:bottom w:w="0" w:type="dxa"/>
          <w:right w:w="0" w:type="dxa"/>
        </w:tblCellMar>
        <w:tblLook w:val="0000" w:firstRow="0" w:lastRow="0" w:firstColumn="0" w:lastColumn="0" w:noHBand="0" w:noVBand="0"/>
      </w:tblPr>
      <w:tblGrid>
        <w:gridCol w:w="4608"/>
        <w:gridCol w:w="4608"/>
      </w:tblGrid>
      <w:tr>
        <w:trPr>
          <w:cantSplit/>
        </w:trPr>
        <w:tc>
          <w:tcPr>
            <w:tcW w:w="4608" w:type="dxa"/>
          </w:tcPr>
          <w:tbl>
            <w:tblPr>
              <w:tblW w:w="4608" w:type="dxa"/>
              <w:tblInd w:w="0" w:type="dxa"/>
              <w:tblBorders>
                <w:top w:val="nil"/>
                <w:left w:val="nil"/>
                <w:bottom w:val="single" w:sz="6" w:space="0" w:color="000000"/>
                <w:right w:val="single" w:sz="6" w:space="0" w:color="000000"/>
              </w:tblBorders>
              <w:tblLayout w:type="fixed"/>
              <w:tblCellMar>
                <w:top w:w="0" w:type="dxa"/>
                <w:left w:w="0" w:type="dxa"/>
                <w:bottom w:w="160" w:type="dxa"/>
                <w:right w:w="200" w:type="dxa"/>
              </w:tblCellMar>
              <w:tblLook w:val="0000" w:firstRow="0" w:lastRow="0" w:firstColumn="0" w:lastColumn="0" w:noHBand="0" w:noVBand="0"/>
            </w:tblPr>
            <w:tblGrid>
              <w:gridCol w:w="4608"/>
            </w:tblGrid>
            <w:tr>
              <w:trPr>
                <w:cantSplit/>
              </w:trPr>
              <w:tc>
                <w:tcPr>
                  <w:tcW w:w="4608" w:type="dxa"/>
                </w:tcPr>
                <w:p>
                  <w:pPr>
                    <w:spacing w:before="0" w:after="0" w:line="320" w:lineRule="exact"/>
                    <w:ind w:left="0" w:firstLine="0"/>
                    <w:jc w:val="left"/>
                  </w:pPr>
                  <w:r>
                    <w:t xml:space="preserve">ALARIC</w:t>
                  </w:r>
                  <w:r>
                    <w:t xml:space="preserve"> </w:t>
                  </w:r>
                  <w:r>
                    <w:t xml:space="preserve">HARTSOCK,</w:t>
                  </w:r>
                  <w:r>
                    <w:t xml:space="preserve"> </w:t>
                  </w:r>
                  <w:r>
                    <w:t xml:space="preserve">individually,</w:t>
                  </w:r>
                </w:p>
                <w:p>
                  <w:pPr>
                    <w:spacing w:before="0" w:after="0" w:line="320" w:lineRule="exact"/>
                    <w:ind w:left="1728" w:firstLine="0"/>
                    <w:jc w:val="left"/>
                  </w:pPr>
                  <w:r>
                    <w:t xml:space="preserve">Plaintiff,</w:t>
                  </w:r>
                </w:p>
                <w:p>
                  <w:pPr>
                    <w:spacing w:before="0" w:after="0" w:line="320" w:lineRule="exact"/>
                    <w:ind w:left="0" w:firstLine="0"/>
                    <w:jc w:val="left"/>
                  </w:pPr>
                  <w:r>
                    <w:t xml:space="preserve">v.</w:t>
                  </w:r>
                </w:p>
                <w:p>
                  <w:pPr>
                    <w:spacing w:before="0" w:after="0" w:line="320" w:lineRule="exact"/>
                    <w:ind w:left="0" w:firstLine="0"/>
                    <w:jc w:val="left"/>
                  </w:pPr>
                  <w:r>
                    <w:t xml:space="preserve">BATTELLE</w:t>
                  </w:r>
                  <w:r>
                    <w:t xml:space="preserve"> </w:t>
                  </w:r>
                  <w:r>
                    <w:t xml:space="preserve">MEMORIAL</w:t>
                  </w:r>
                  <w:r>
                    <w:t xml:space="preserve"> </w:t>
                  </w:r>
                  <w:r>
                    <w:t xml:space="preserve">INSTITUTE,</w:t>
                  </w:r>
                  <w:r>
                    <w:t xml:space="preserve"> </w:t>
                  </w:r>
                  <w:r>
                    <w:t xml:space="preserve">a</w:t>
                  </w:r>
                  <w:r>
                    <w:t xml:space="preserve"> </w:t>
                  </w:r>
                  <w:r>
                    <w:t xml:space="preserve">foreign</w:t>
                  </w:r>
                  <w:r>
                    <w:t xml:space="preserve"> </w:t>
                  </w:r>
                  <w:r>
                    <w:t xml:space="preserve">non-profit</w:t>
                  </w:r>
                  <w:r>
                    <w:t xml:space="preserve"> </w:t>
                  </w:r>
                  <w:r>
                    <w:t xml:space="preserve">corporation</w:t>
                  </w:r>
                  <w:r>
                    <w:t xml:space="preserve"> </w:t>
                  </w:r>
                  <w:r>
                    <w:t xml:space="preserve">and</w:t>
                  </w:r>
                  <w:r>
                    <w:t xml:space="preserve"> </w:t>
                  </w:r>
                  <w:r>
                    <w:t xml:space="preserve">operator</w:t>
                  </w:r>
                  <w:r>
                    <w:t xml:space="preserve"> </w:t>
                  </w:r>
                  <w:r>
                    <w:t xml:space="preserve">of</w:t>
                  </w:r>
                  <w:r>
                    <w:t xml:space="preserve"> </w:t>
                  </w:r>
                  <w:r>
                    <w:t xml:space="preserve">Pacific</w:t>
                  </w:r>
                  <w:r>
                    <w:t xml:space="preserve"> </w:t>
                  </w:r>
                  <w:r>
                    <w:t xml:space="preserve">Northwest</w:t>
                  </w:r>
                  <w:r>
                    <w:t xml:space="preserve"> </w:t>
                  </w:r>
                  <w:r>
                    <w:t xml:space="preserve">National</w:t>
                  </w:r>
                  <w:r>
                    <w:t xml:space="preserve"> </w:t>
                  </w:r>
                  <w:r>
                    <w:t xml:space="preserve">Laboratory,</w:t>
                  </w:r>
                  <w:r>
                    <w:t xml:space="preserve"> </w:t>
                  </w:r>
                  <w:r>
                    <w:t xml:space="preserve">CASEY</w:t>
                  </w:r>
                  <w:r>
                    <w:t xml:space="preserve"> </w:t>
                  </w:r>
                  <w:r>
                    <w:t xml:space="preserve">PITTMAN,</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JESSICA</w:t>
                  </w:r>
                  <w:r>
                    <w:t xml:space="preserve"> </w:t>
                  </w:r>
                  <w:r>
                    <w:t xml:space="preserve">DELUCCHI</w:t>
                  </w:r>
                  <w:r>
                    <w:t xml:space="preserve"> </w:t>
                  </w:r>
                  <w:r>
                    <w:t xml:space="preserve">and</w:t>
                  </w:r>
                  <w:r>
                    <w:t xml:space="preserve"> </w:t>
                  </w:r>
                  <w:r>
                    <w:t xml:space="preserve">JOHN</w:t>
                  </w:r>
                  <w:r>
                    <w:t xml:space="preserve"> </w:t>
                  </w:r>
                  <w:r>
                    <w:t xml:space="preserve">DOE</w:t>
                  </w:r>
                  <w:r>
                    <w:t xml:space="preserve"> </w:t>
                  </w:r>
                  <w:r>
                    <w:t xml:space="preserve">DELUCCHI,</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and</w:t>
                  </w:r>
                  <w:r>
                    <w:t xml:space="preserve"> </w:t>
                  </w:r>
                  <w:r>
                    <w:t xml:space="preserve">as</w:t>
                  </w:r>
                  <w:r>
                    <w:t xml:space="preserve"> </w:t>
                  </w:r>
                  <w:r>
                    <w:t xml:space="preserve">a</w:t>
                  </w:r>
                  <w:r>
                    <w:t xml:space="preserve"> </w:t>
                  </w:r>
                  <w:r>
                    <w:t xml:space="preserve">marital</w:t>
                  </w:r>
                  <w:r>
                    <w:t xml:space="preserve"> </w:t>
                  </w:r>
                  <w:r>
                    <w:t xml:space="preserve">community,</w:t>
                  </w:r>
                  <w:r>
                    <w:t xml:space="preserve"> </w:t>
                  </w:r>
                  <w:r>
                    <w:t xml:space="preserve">STEVE</w:t>
                  </w:r>
                  <w:r>
                    <w:t xml:space="preserve"> </w:t>
                  </w:r>
                  <w:r>
                    <w:t xml:space="preserve">EKLUND,</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and</w:t>
                  </w:r>
                  <w:r>
                    <w:t xml:space="preserve"> </w:t>
                  </w:r>
                  <w:r>
                    <w:t xml:space="preserve">MITCHELL</w:t>
                  </w:r>
                  <w:r>
                    <w:t xml:space="preserve"> </w:t>
                  </w:r>
                  <w:r>
                    <w:t xml:space="preserve">TUFFORD</w:t>
                  </w:r>
                  <w:r>
                    <w:t xml:space="preserve"> </w:t>
                  </w:r>
                  <w:r>
                    <w:t xml:space="preserve">and</w:t>
                  </w:r>
                  <w:r>
                    <w:t xml:space="preserve"> </w:t>
                  </w:r>
                  <w:r>
                    <w:t xml:space="preserve">JANE</w:t>
                  </w:r>
                  <w:r>
                    <w:t xml:space="preserve"> </w:t>
                  </w:r>
                  <w:r>
                    <w:t xml:space="preserve">DOE</w:t>
                  </w:r>
                  <w:r>
                    <w:t xml:space="preserve"> </w:t>
                  </w:r>
                  <w:r>
                    <w:t xml:space="preserve">TUFFORD,</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and</w:t>
                  </w:r>
                  <w:r>
                    <w:t xml:space="preserve"> </w:t>
                  </w:r>
                  <w:r>
                    <w:t xml:space="preserve">as</w:t>
                  </w:r>
                  <w:r>
                    <w:t xml:space="preserve"> </w:t>
                  </w:r>
                  <w:r>
                    <w:t xml:space="preserve">a</w:t>
                  </w:r>
                  <w:r>
                    <w:t xml:space="preserve"> </w:t>
                  </w:r>
                  <w:r>
                    <w:t xml:space="preserve">marital</w:t>
                  </w:r>
                  <w:r>
                    <w:t xml:space="preserve"> </w:t>
                  </w:r>
                  <w:r>
                    <w:t xml:space="preserve">community,</w:t>
                  </w:r>
                </w:p>
                <w:p>
                  <w:pPr>
                    <w:spacing w:before="0" w:after="0" w:line="320" w:lineRule="exact"/>
                    <w:ind w:left="1728" w:firstLine="0"/>
                    <w:jc w:val="left"/>
                  </w:pPr>
                  <w:r>
                    <w:t xml:space="preserve">Defendants.</w:t>
                  </w:r>
                </w:p>
              </w:tc>
            </w:tr>
          </w:tbl>
          <w:p>
            <w:pPr>
              <w:spacing w:before="0" w:after="0" w:line="1" w:lineRule="exact"/>
            </w:pPr>
          </w:p>
        </w:tc>
        <w:tc>
          <w:tcPr>
            <w:tcW w:w="4608" w:type="dxa"/>
            <w:tcMar>
              <w:left w:w="288" w:type="dxa"/>
            </w:tcMar>
          </w:tcPr>
          <w:p>
            <w:pPr>
              <w:spacing w:before="0" w:after="0" w:line="320" w:lineRule="exact"/>
              <w:ind w:left="216" w:firstLine="0"/>
              <w:jc w:val="left"/>
            </w:pPr>
            <w:r>
              <w:t xml:space="preserve">Case</w:t>
            </w:r>
            <w:r>
              <w:t xml:space="preserve"> </w:t>
            </w:r>
            <w:r>
              <w:t xml:space="preserve">No.</w:t>
            </w:r>
            <w:r>
              <w:t xml:space="preserve"> </w:t>
            </w:r>
            <w:r>
              <w:t xml:space="preserve">4:26-cv-⁠05098-TOR</w:t>
            </w:r>
          </w:p>
          <w:p>
            <w:pPr>
              <w:spacing w:before="320" w:after="0" w:line="320" w:lineRule="exact"/>
              <w:ind w:left="216" w:firstLine="0"/>
              <w:jc w:val="left"/>
            </w:pPr>
            <w:r>
              <w:rPr>
                <w:b/>
                <w:bCs/>
              </w:rPr>
              <w:t xml:space="preserve">DEFENDANT</w:t>
            </w:r>
            <w:r>
              <w:rPr>
                <w:b/>
                <w:bCs/>
              </w:rPr>
              <w:t xml:space="preserve"> </w:t>
            </w:r>
            <w:r>
              <w:rPr>
                <w:b/>
                <w:bCs/>
              </w:rPr>
              <w:t xml:space="preserve">BATTELLE</w:t>
            </w:r>
            <w:r>
              <w:rPr>
                <w:b/>
                <w:bCs/>
              </w:rPr>
              <w:t xml:space="preserve"> </w:t>
            </w:r>
            <w:r>
              <w:rPr>
                <w:b/>
                <w:bCs/>
              </w:rPr>
              <w:t xml:space="preserve">MEMORIAL</w:t>
            </w:r>
            <w:r>
              <w:rPr>
                <w:b/>
                <w:bCs/>
              </w:rPr>
              <w:t xml:space="preserve"> </w:t>
            </w:r>
            <w:r>
              <w:rPr>
                <w:b/>
                <w:bCs/>
              </w:rPr>
              <w:t xml:space="preserve">INSTITUTE’S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spacing w:before="320" w:after="0" w:line="320" w:lineRule="exact"/>
              <w:ind w:left="216" w:firstLine="0"/>
              <w:jc w:val="left"/>
            </w:pPr>
            <w:r>
              <w:t xml:space="preserve">Hearing</w:t>
            </w:r>
            <w:r>
              <w:t xml:space="preserve"> </w:t>
            </w:r>
            <w:r>
              <w:t xml:space="preserve">date:</w:t>
            </w:r>
            <w:r>
              <w:t xml:space="preserve"> </w:t>
            </w:r>
            <w:r>
              <w:t xml:space="preserve">8/31/2026</w:t>
            </w:r>
          </w:p>
          <w:p>
            <w:pPr>
              <w:spacing w:before="0" w:after="0" w:line="320" w:lineRule="exact"/>
              <w:ind w:left="216" w:firstLine="0"/>
              <w:jc w:val="left"/>
            </w:pPr>
            <w:r>
              <w:t xml:space="preserve">Without</w:t>
            </w:r>
            <w:r>
              <w:t xml:space="preserve"> </w:t>
            </w:r>
            <w:r>
              <w:t xml:space="preserve">Oral</w:t>
            </w:r>
            <w:r>
              <w:t xml:space="preserve"> </w:t>
            </w:r>
            <w:r>
              <w:t xml:space="preserve">Argument</w:t>
            </w:r>
          </w:p>
        </w:tc>
      </w:tr>
    </w:tbl>
    <w:p>
      <w:pPr>
        <w:pageBreakBefore/>
        <w:spacing w:before="0" w:after="0" w:line="1" w:lineRule="exact"/>
      </w:pPr>
    </w:p>
    <w:p>
      <w:pPr>
        <w:keepNext/>
        <w:keepLines/>
        <w:spacing w:before="0" w:after="640" w:line="64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216"/>
        </w:tabs>
        <w:spacing w:before="0" w:after="0" w:line="640" w:lineRule="exact"/>
        <w:ind w:left="0" w:right="720" w:firstLine="0"/>
      </w:pPr>
      <w:r>
        <w:t xml:space="preserve">I. </w:t>
      </w:r>
      <w:r>
        <w:t xml:space="preserve">INTRODUCTION</w:t>
      </w:r>
      <w:r>
        <w:t xml:space="preserve">   </w:t>
      </w:r>
      <w:r>
        <w:tab/>
      </w:r>
      <w:r>
        <w:t xml:space="preserve">3</w:t>
      </w:r>
    </w:p>
    <w:p>
      <w:pPr>
        <w:keepLines/>
        <w:tabs>
          <w:tab w:val="right" w:leader="dot" w:pos="9216"/>
        </w:tabs>
        <w:spacing w:before="0" w:after="0" w:line="640" w:lineRule="exact"/>
        <w:ind w:left="0" w:right="720" w:firstLine="0"/>
      </w:pPr>
      <w:r>
        <w:t xml:space="preserve">II. </w:t>
      </w:r>
      <w:r>
        <w:t xml:space="preserve">FACTUAL</w:t>
      </w:r>
      <w:r>
        <w:t xml:space="preserve"> </w:t>
      </w:r>
      <w:r>
        <w:t xml:space="preserve">BACKGROUND</w:t>
      </w:r>
      <w:r>
        <w:t xml:space="preserve">   </w:t>
      </w:r>
      <w:r>
        <w:tab/>
      </w:r>
      <w:r>
        <w:t xml:space="preserve">4</w:t>
      </w:r>
    </w:p>
    <w:p>
      <w:pPr>
        <w:keepLines/>
        <w:tabs>
          <w:tab w:val="right" w:leader="dot" w:pos="9216"/>
        </w:tabs>
        <w:spacing w:before="0" w:after="0" w:line="640" w:lineRule="exact"/>
        <w:ind w:left="0" w:right="720" w:firstLine="0"/>
      </w:pPr>
      <w:r>
        <w:t xml:space="preserve">III. </w:t>
      </w:r>
      <w:r>
        <w:t xml:space="preserve">PROCEDURAL</w:t>
      </w:r>
      <w:r>
        <w:t xml:space="preserve"> </w:t>
      </w:r>
      <w:r>
        <w:t xml:space="preserve">BACKGROUND</w:t>
      </w:r>
      <w:r>
        <w:t xml:space="preserve">   </w:t>
      </w:r>
      <w:r>
        <w:tab/>
      </w:r>
      <w:r>
        <w:t xml:space="preserve">8</w:t>
      </w:r>
    </w:p>
    <w:p>
      <w:pPr>
        <w:keepLines/>
        <w:tabs>
          <w:tab w:val="right" w:leader="dot" w:pos="9216"/>
        </w:tabs>
        <w:spacing w:before="0" w:after="0" w:line="640" w:lineRule="exact"/>
        <w:ind w:left="0" w:right="720" w:firstLine="0"/>
      </w:pPr>
      <w:r>
        <w:t xml:space="preserve">IV. </w:t>
      </w:r>
      <w:r>
        <w:t xml:space="preserve">AUTHORITY</w:t>
      </w:r>
      <w:r>
        <w:t xml:space="preserve"> </w:t>
      </w:r>
      <w:r>
        <w:t xml:space="preserve">&amp;</w:t>
      </w:r>
      <w:r>
        <w:t xml:space="preserve"> </w:t>
      </w:r>
      <w:r>
        <w:t xml:space="preserve">ARGUMENT</w:t>
      </w:r>
      <w:r>
        <w:t xml:space="preserve">   </w:t>
      </w:r>
      <w:r>
        <w:tab/>
      </w:r>
      <w:r>
        <w:t xml:space="preserve">9</w:t>
      </w:r>
    </w:p>
    <w:p>
      <w:pPr>
        <w:keepLines/>
        <w:tabs>
          <w:tab w:val="right" w:leader="dot" w:pos="9216"/>
        </w:tabs>
        <w:spacing w:before="0" w:after="0" w:line="640" w:lineRule="exact"/>
        <w:ind w:left="1728" w:right="720" w:hanging="864"/>
      </w:pPr>
      <w:r>
        <w:t xml:space="preserve">A.</w:t>
      </w:r>
      <w:r>
        <w:tab/>
      </w:r>
      <w:r>
        <w:t xml:space="preserve">Legal</w:t>
      </w:r>
      <w:r>
        <w:t xml:space="preserve"> </w:t>
      </w:r>
      <w:r>
        <w:t xml:space="preserve">Standard</w:t>
      </w:r>
      <w:r>
        <w:t xml:space="preserve">   </w:t>
      </w:r>
      <w:r>
        <w:tab/>
      </w:r>
      <w:r>
        <w:t xml:space="preserve">9</w:t>
      </w:r>
    </w:p>
    <w:p>
      <w:pPr>
        <w:keepLines/>
        <w:tabs>
          <w:tab w:val="right" w:leader="dot" w:pos="9216"/>
        </w:tabs>
        <w:spacing w:before="0" w:after="0" w:line="640" w:lineRule="exact"/>
        <w:ind w:left="1728" w:right="720" w:hanging="864"/>
      </w:pPr>
      <w:r>
        <w:t xml:space="preserve">B.</w:t>
      </w:r>
      <w:r>
        <w:tab/>
      </w:r>
      <w:r>
        <w:t xml:space="preserve">Plaintiff</w:t>
      </w:r>
      <w:r>
        <w:t xml:space="preserve"> </w:t>
      </w:r>
      <w:r>
        <w:t xml:space="preserve">Fails</w:t>
      </w:r>
      <w:r>
        <w:t xml:space="preserve"> </w:t>
      </w:r>
      <w:r>
        <w:t xml:space="preserve">to</w:t>
      </w:r>
      <w:r>
        <w:t xml:space="preserve"> </w:t>
      </w:r>
      <w:r>
        <w:t xml:space="preserve">State</w:t>
      </w:r>
      <w:r>
        <w:t xml:space="preserve"> </w:t>
      </w:r>
      <w:r>
        <w:t xml:space="preserve">an</w:t>
      </w:r>
      <w:r>
        <w:t xml:space="preserve"> </w:t>
      </w:r>
      <w:r>
        <w:t xml:space="preserve">Actionable</w:t>
      </w:r>
      <w:r>
        <w:t xml:space="preserve"> </w:t>
      </w:r>
      <w:r>
        <w:t xml:space="preserve">Retaliation</w:t>
      </w:r>
      <w:r>
        <w:t xml:space="preserve"> </w:t>
      </w:r>
      <w:r>
        <w:t xml:space="preserve">Claim.</w:t>
      </w:r>
      <w:r>
        <w:t xml:space="preserve">   </w:t>
      </w:r>
      <w:r>
        <w:tab/>
      </w:r>
      <w:r>
        <w:t xml:space="preserve">10</w:t>
      </w:r>
    </w:p>
    <w:p>
      <w:pPr>
        <w:keepLines/>
        <w:tabs>
          <w:tab w:val="right" w:leader="dot" w:pos="9216"/>
        </w:tabs>
        <w:spacing w:before="0" w:after="0" w:line="640" w:lineRule="exact"/>
        <w:ind w:left="0" w:right="720" w:firstLine="0"/>
      </w:pPr>
      <w:r>
        <w:t xml:space="preserve">V. </w:t>
      </w:r>
      <w:r>
        <w:t xml:space="preserve">CONCLUSION</w:t>
      </w:r>
      <w:r>
        <w:t xml:space="preserve">   </w:t>
      </w:r>
      <w:r>
        <w:tab/>
      </w:r>
      <w:r>
        <w:t xml:space="preserve">14</w:t>
      </w:r>
    </w:p>
    <w:p>
      <w:pPr>
        <w:pageBreakBefore/>
        <w:spacing w:before="0" w:after="0" w:line="1" w:lineRule="exact"/>
      </w:pPr>
    </w:p>
    <w:p>
      <w:pPr>
        <w:keepNext/>
        <w:keepLines/>
        <w:spacing w:before="0" w:after="0" w:line="640" w:lineRule="exact"/>
        <w:ind w:left="0" w:firstLine="0"/>
        <w:jc w:val="center"/>
      </w:pPr>
      <w:r>
        <w:rPr>
          <w:b/>
          <w:bCs/>
        </w:rPr>
        <w:t xml:space="preserve">I. </w:t>
      </w:r>
      <w:r>
        <w:rPr>
          <w:b/>
          <w:bCs/>
        </w:rPr>
        <w:t xml:space="preserve">INTRODUCTION</w:t>
      </w:r>
    </w:p>
    <w:p>
      <w:pPr>
        <w:pStyle w:val="BodyText"/>
      </w:pPr>
      <w:r>
        <w:t xml:space="preserve">Plaintiff Alaric Hartsock (“Plaintiff”) brings this action against his former employer, Battelle Memorial Institute (“BMI”), and four of its employees arising out of the termination of his employment in November 2024. Plaintiff asserts seven different causes of action, all but one are legally deficient on their face and cannot survive scrutiny under Federal Rule of Civil Procedure 12(b)⁠(6).</w:t>
      </w:r>
    </w:p>
    <w:p>
      <w:pPr>
        <w:pStyle w:val="BodyText"/>
      </w:pPr>
      <w:r>
        <w:t xml:space="preserve">Plaintiff’s retaliation and wrongful discharge claims share a common and fatal deficiency: the Complaint pleads no facts plausibly suggesting that BMI terminated Plaintiff’s employment — or took any other adverse action against him — because he complained about alleged discrimination or requested accommodation.</w:t>
      </w:r>
    </w:p>
    <w:p>
      <w:pPr>
        <w:pStyle w:val="BodyText"/>
      </w:pPr>
      <w:r>
        <w:t xml:space="preserve">Plaintiff’s negligent hiring, retention, and supervision claims fare no better as the Complaint fails to allege that any of the four named individual defendants acted outside the scope of their employment, or that BMI knew or should have known that they were unfit or presented a risk of harm.</w:t>
      </w:r>
    </w:p>
    <w:p>
      <w:pPr>
        <w:pStyle w:val="BodyText"/>
      </w:pPr>
      <w:r>
        <w:t xml:space="preserve">Finally, Plaintiff’s NIED fails because it is duplicative of his discrimination claim, and because Washington law does not impose on employers a duty of care to avoid causing emotional distress in the ordinary course of managing and terminating employment.</w:t>
      </w:r>
    </w:p>
    <w:p>
      <w:pPr>
        <w:pStyle w:val="BodyText"/>
      </w:pPr>
      <w:r>
        <w:t xml:space="preserve">For these reasons, and as set forth more fully below, BMI respectfully requests that the Court dismiss each of Plaintiff’s claims with the exception of Plaintiff’s first cause of action for disparate treatment disability discrimination.</w:t>
      </w:r>
    </w:p>
    <w:p>
      <w:pPr>
        <w:keepNext/>
        <w:keepLines/>
        <w:spacing w:before="0" w:after="0" w:line="640" w:lineRule="exact"/>
        <w:ind w:left="0" w:firstLine="0"/>
        <w:jc w:val="center"/>
      </w:pPr>
      <w:r>
        <w:rPr>
          <w:b/>
          <w:bCs/>
        </w:rPr>
        <w:t xml:space="preserve">II. </w:t>
      </w:r>
      <w:r>
        <w:rPr>
          <w:b/>
          <w:bCs/>
        </w:rPr>
        <w:t xml:space="preserve">FACTUAL</w:t>
      </w:r>
      <w:r>
        <w:rPr>
          <w:b/>
          <w:bCs/>
        </w:rPr>
        <w:t xml:space="preserve"> </w:t>
      </w:r>
      <w:r>
        <w:rPr>
          <w:b/>
          <w:bCs/>
        </w:rPr>
        <w:t xml:space="preserve">BACKGROUND</w:t>
      </w:r>
    </w:p>
    <w:p>
      <w:pPr>
        <w:pStyle w:val="BodyText"/>
      </w:pPr>
      <w:r>
        <w:t xml:space="preserve">Plaintiff worked for BMI from around March 2021 until November 2024. Complaint, ¶¶3.1, 3.32. He was initially hired as an intern (Tech Student 4).</w:t>
      </w:r>
      <w:r>
        <w:t xml:space="preserve"> </w:t>
      </w:r>
      <w:r>
        <w:rPr>
          <w:i/>
          <w:iCs/>
        </w:rPr>
        <w:t xml:space="preserve">Id.</w:t>
      </w:r>
      <w:r>
        <w:t xml:space="preserve">, ¶3.1. In early 2024, prior to applying to work as a Post-Bachelors Research Assistant (“PBRA”), Plaintiff disclosed a mental health condition to his Team Lead, Ben Laroque.</w:t>
      </w:r>
      <w:r>
        <w:t xml:space="preserve"> </w:t>
      </w:r>
      <w:r>
        <w:rPr>
          <w:i/>
          <w:iCs/>
        </w:rPr>
        <w:t xml:space="preserve">Id.</w:t>
      </w:r>
      <w:r>
        <w:t xml:space="preserve">, ¶3.4. Laroque encouraged Plaintiff to apply for the position and advised that his mental health condition would not make him ineligible for security clearance.</w:t>
      </w:r>
      <w:r>
        <w:t xml:space="preserve"> </w:t>
      </w:r>
      <w:r>
        <w:rPr>
          <w:i/>
          <w:iCs/>
        </w:rPr>
        <w:t xml:space="preserve">Id.</w:t>
      </w:r>
      <w:r>
        <w:t xml:space="preserve">, ¶3.5. In mid-March 2024, Plaintiff was hired as a PBRA.</w:t>
      </w:r>
      <w:r>
        <w:t xml:space="preserve"> </w:t>
      </w:r>
      <w:r>
        <w:rPr>
          <w:i/>
          <w:iCs/>
        </w:rPr>
        <w:t xml:space="preserve">Id.</w:t>
      </w:r>
      <w:r>
        <w:t xml:space="preserve">, ¶3.6.</w:t>
      </w:r>
    </w:p>
    <w:p>
      <w:pPr>
        <w:pStyle w:val="BodyText"/>
      </w:pPr>
      <w:r>
        <w:t xml:space="preserve">Upon taking on the new role, Plaintiff disclosed his mental health condition to his new Team Lead, Paige Maxwell.</w:t>
      </w:r>
      <w:r>
        <w:t xml:space="preserve"> </w:t>
      </w:r>
      <w:r>
        <w:rPr>
          <w:i/>
          <w:iCs/>
        </w:rPr>
        <w:t xml:space="preserve">Id.</w:t>
      </w:r>
      <w:r>
        <w:t xml:space="preserve">, ¶3.7. Maxwell told him that he should still apply for a security clearance because mental health conditions are not per se disqualifying. Around this time Plaintiff disclosed to his line manager, Jeff Evans, two conditions (ulcerative colitis and ankylosing spondylitis) and requested accommodation related to bathroom access.</w:t>
      </w:r>
      <w:r>
        <w:t xml:space="preserve"> </w:t>
      </w:r>
      <w:r>
        <w:rPr>
          <w:i/>
          <w:iCs/>
        </w:rPr>
        <w:t xml:space="preserve">Id.</w:t>
      </w:r>
      <w:r>
        <w:t xml:space="preserve">, ¶3.8.</w:t>
      </w:r>
    </w:p>
    <w:p>
      <w:pPr>
        <w:pStyle w:val="BodyText"/>
      </w:pPr>
      <w:r>
        <w:t xml:space="preserve">For purposes of this Motion, this statement of facts is derived from Plaintiff’s Complaint. BMI does not concede, and reserves the right to later challenge, Plaintiff’s rendition of the facts.</w:t>
      </w:r>
    </w:p>
    <w:p>
      <w:pPr>
        <w:pStyle w:val="BodyText"/>
      </w:pPr>
      <w:r>
        <w:t xml:space="preserve">On May 5, 2024, Plaintiff completed and submitted a security clearance application to BMI for review prior to submitting it to the Department of Energy (“DOE”).</w:t>
      </w:r>
      <w:r>
        <w:t xml:space="preserve"> </w:t>
      </w:r>
      <w:r>
        <w:rPr>
          <w:i/>
          <w:iCs/>
        </w:rPr>
        <w:t xml:space="preserve">Id.</w:t>
      </w:r>
      <w:r>
        <w:t xml:space="preserve">, ¶3.9. In it, Plaintiff disclosed his mental health diagnosis and treatment.</w:t>
      </w:r>
      <w:r>
        <w:t xml:space="preserve"> </w:t>
      </w:r>
      <w:r>
        <w:rPr>
          <w:i/>
          <w:iCs/>
        </w:rPr>
        <w:t xml:space="preserve">Id.</w:t>
      </w:r>
      <w:r>
        <w:t xml:space="preserve">, ¶3.9.</w:t>
      </w:r>
    </w:p>
    <w:p>
      <w:pPr>
        <w:pStyle w:val="BodyText"/>
      </w:pPr>
      <w:r>
        <w:t xml:space="preserve">BMI’s Safeguards and Security Office then reviewed the application and disclosed Plaintiff’s mental health information to Evans.</w:t>
      </w:r>
      <w:r>
        <w:t xml:space="preserve"> </w:t>
      </w:r>
      <w:r>
        <w:rPr>
          <w:i/>
          <w:iCs/>
        </w:rPr>
        <w:t xml:space="preserve">Id.</w:t>
      </w:r>
      <w:r>
        <w:t xml:space="preserve">, ¶3.10. Plaintiff further alleges that BMI’s Safeguards and Security Office did not submit the application to the DOE, and that it withheld the application out of concerns regarding Plaintiff’s mental health and allegedly “used it as a basis for termination of Plaintiff … .”</w:t>
      </w:r>
      <w:r>
        <w:t xml:space="preserve"> </w:t>
      </w:r>
      <w:r>
        <w:rPr>
          <w:i/>
          <w:iCs/>
        </w:rPr>
        <w:t xml:space="preserve">Id.</w:t>
      </w:r>
      <w:r>
        <w:t xml:space="preserve">, ¶3.11.</w:t>
      </w:r>
    </w:p>
    <w:p>
      <w:pPr>
        <w:pStyle w:val="BodyText"/>
      </w:pPr>
      <w:r>
        <w:t xml:space="preserve">On June 12, 2024, Line Manager, Jeff Evans, informed Plaintiff that his employment would be terminated due to “unknown issues” with his security clearance application.</w:t>
      </w:r>
      <w:r>
        <w:t xml:space="preserve"> </w:t>
      </w:r>
      <w:r>
        <w:rPr>
          <w:i/>
          <w:iCs/>
        </w:rPr>
        <w:t xml:space="preserve">Id.</w:t>
      </w:r>
      <w:r>
        <w:t xml:space="preserve">, ¶3.12. Evans further advised Plaintiff that he had a month to get positive letters of recommendation for future employment, and he was removed from all projects that required interim security clearance.</w:t>
      </w:r>
      <w:r>
        <w:t xml:space="preserve"> </w:t>
      </w:r>
      <w:r>
        <w:rPr>
          <w:i/>
          <w:iCs/>
        </w:rPr>
        <w:t xml:space="preserve">Id.</w:t>
      </w:r>
      <w:r>
        <w:t xml:space="preserve">, ¶¶3.14-⁠3.15. The same day, Plaintiff made a report of mental health discrimination to Human Resources via BMI’s Employee Concerns phone hotline.</w:t>
      </w:r>
      <w:r>
        <w:t xml:space="preserve"> </w:t>
      </w:r>
      <w:r>
        <w:rPr>
          <w:i/>
          <w:iCs/>
        </w:rPr>
        <w:t xml:space="preserve">Id.</w:t>
      </w:r>
      <w:r>
        <w:t xml:space="preserve">, ¶3.16. HR representative Casey Pittman was assigned and responded to Plaintiff’s report.</w:t>
      </w:r>
      <w:r>
        <w:t xml:space="preserve"> </w:t>
      </w:r>
      <w:r>
        <w:rPr>
          <w:i/>
          <w:iCs/>
        </w:rPr>
        <w:t xml:space="preserve">Id.</w:t>
      </w:r>
      <w:r>
        <w:t xml:space="preserve">, ¶3.17. On June 13, 2024, Plaintiff requested accommodation for this mental health condition with HR.</w:t>
      </w:r>
      <w:r>
        <w:t xml:space="preserve"> </w:t>
      </w:r>
      <w:r>
        <w:rPr>
          <w:i/>
          <w:iCs/>
        </w:rPr>
        <w:t xml:space="preserve">Id.</w:t>
      </w:r>
      <w:r>
        <w:t xml:space="preserve">, ¶3.18.</w:t>
      </w:r>
    </w:p>
    <w:p>
      <w:pPr>
        <w:pStyle w:val="BodyText"/>
      </w:pPr>
      <w:r>
        <w:t xml:space="preserve">On June 14, 2024, Plaintiff alleges BMI “shifted gears away from” terminating Plaintiff’s employment as a result of his request for accommodation and report of discrimination.</w:t>
      </w:r>
      <w:r>
        <w:t xml:space="preserve"> </w:t>
      </w:r>
      <w:r>
        <w:rPr>
          <w:i/>
          <w:iCs/>
        </w:rPr>
        <w:t xml:space="preserve">Id.</w:t>
      </w:r>
      <w:r>
        <w:t xml:space="preserve">, ¶3.19. Division Director Sharon Adams began looking for other positions at BMI for Plaintiff.</w:t>
      </w:r>
      <w:r>
        <w:t xml:space="preserve"> </w:t>
      </w:r>
      <w:r>
        <w:rPr>
          <w:i/>
          <w:iCs/>
        </w:rPr>
        <w:t xml:space="preserve">Id.</w:t>
      </w:r>
      <w:r>
        <w:t xml:space="preserve"> </w:t>
      </w:r>
      <w:r>
        <w:t xml:space="preserve">Allegedly, BMI initially ignored Plaintiff’s report of discrimination and accommodation request and did not investigate.</w:t>
      </w:r>
      <w:r>
        <w:t xml:space="preserve"> </w:t>
      </w:r>
      <w:r>
        <w:rPr>
          <w:i/>
          <w:iCs/>
        </w:rPr>
        <w:t xml:space="preserve">Id.</w:t>
      </w:r>
    </w:p>
    <w:p>
      <w:pPr>
        <w:pStyle w:val="BodyText"/>
      </w:pPr>
      <w:r>
        <w:t xml:space="preserve">On June 24, 2024, Plaintiff was placed into a new half-time position on the Meeting Finder Reimagined project with Program Manager Steve Eklund.</w:t>
      </w:r>
      <w:r>
        <w:t xml:space="preserve"> </w:t>
      </w:r>
      <w:r>
        <w:rPr>
          <w:i/>
          <w:iCs/>
        </w:rPr>
        <w:t xml:space="preserve">Id.</w:t>
      </w:r>
      <w:r>
        <w:t xml:space="preserve">, ¶¶1.5, 3.20-⁠3.21. This position did not require a security clearance. Plaintiff worked with HR representative Pittman to find another position to fill the other half of his time.</w:t>
      </w:r>
      <w:r>
        <w:t xml:space="preserve"> </w:t>
      </w:r>
      <w:r>
        <w:rPr>
          <w:i/>
          <w:iCs/>
        </w:rPr>
        <w:t xml:space="preserve">Id.</w:t>
      </w:r>
      <w:r>
        <w:t xml:space="preserve">, ¶3.21. Eventually Plaintiff landed on the same project on which he had previously worked with Glenn Fink, assisting with a multi-laboratory research initiative.</w:t>
      </w:r>
      <w:r>
        <w:t xml:space="preserve"> </w:t>
      </w:r>
      <w:r>
        <w:rPr>
          <w:i/>
          <w:iCs/>
        </w:rPr>
        <w:t xml:space="preserve">Id.</w:t>
      </w:r>
    </w:p>
    <w:p>
      <w:pPr>
        <w:pStyle w:val="BodyText"/>
      </w:pPr>
      <w:r>
        <w:t xml:space="preserve">[The facts from July 2024 to November 2024 are not transcribed in this sample.]</w:t>
      </w:r>
    </w:p>
    <w:p>
      <w:pPr>
        <w:keepNext/>
        <w:keepLines/>
        <w:spacing w:before="0" w:after="0" w:line="640" w:lineRule="exact"/>
        <w:ind w:left="0" w:firstLine="0"/>
        <w:jc w:val="center"/>
      </w:pPr>
      <w:r>
        <w:rPr>
          <w:b/>
          <w:bCs/>
        </w:rPr>
        <w:t xml:space="preserve">III. </w:t>
      </w:r>
      <w:r>
        <w:rPr>
          <w:b/>
          <w:bCs/>
        </w:rPr>
        <w:t xml:space="preserve">PROCEDURAL</w:t>
      </w:r>
      <w:r>
        <w:rPr>
          <w:b/>
          <w:bCs/>
        </w:rPr>
        <w:t xml:space="preserve"> </w:t>
      </w:r>
      <w:r>
        <w:rPr>
          <w:b/>
          <w:bCs/>
        </w:rPr>
        <w:t xml:space="preserve">BACKGROUND</w:t>
      </w:r>
    </w:p>
    <w:p>
      <w:pPr>
        <w:pStyle w:val="BodyText"/>
      </w:pPr>
      <w:r>
        <w:t xml:space="preserve">On June 4, 2026, Plaintiff filed the instant Complaint in Benton County Superior Court.</w:t>
      </w:r>
      <w:r>
        <w:t xml:space="preserve"> </w:t>
      </w:r>
      <w:r>
        <w:rPr>
          <w:i/>
          <w:iCs/>
        </w:rPr>
        <w:t xml:space="preserve">See</w:t>
      </w:r>
      <w:r>
        <w:t xml:space="preserve"> </w:t>
      </w:r>
      <w:r>
        <w:t xml:space="preserve">Dkt. 1, pp. 8-⁠22. The Complaint alleges seven causes of action: disability discrimination, retaliation, wrongful discharge in violation of public policy, negligent hiring, negligent retention, negligent supervision, and NIED.</w:t>
      </w:r>
      <w:r>
        <w:t xml:space="preserve"> </w:t>
      </w:r>
      <w:r>
        <w:rPr>
          <w:i/>
          <w:iCs/>
        </w:rPr>
        <w:t xml:space="preserve">Id.</w:t>
      </w:r>
      <w:r>
        <w:t xml:space="preserve"> </w:t>
      </w:r>
      <w:r>
        <w:t xml:space="preserve">The Complaint also purports to allege a claim for “respondeat superior,” but as discussed below, such is not an independent claim but a theory of liability and one which is inapplicable here.</w:t>
      </w:r>
    </w:p>
    <w:p>
      <w:pPr>
        <w:pStyle w:val="BodyText"/>
      </w:pPr>
      <w:r>
        <w:t xml:space="preserve">On June 10, 2026, Plaintiff served the Complaint and Summons on Defendant BMI. Dkt. 2 (Berntsen Decl.), ¶2. Defendant BMI timely removed this matter to this Court pursuant to 28 U.S.C. § 1332(a). Dkt. 1. Upon information and belief, the individually named defendants have not been served.</w:t>
      </w:r>
    </w:p>
    <w:p>
      <w:pPr>
        <w:keepNext/>
        <w:keepLines/>
        <w:spacing w:before="0" w:after="0" w:line="640" w:lineRule="exact"/>
        <w:ind w:left="0" w:firstLine="0"/>
        <w:jc w:val="center"/>
      </w:pPr>
      <w:r>
        <w:rPr>
          <w:b/>
          <w:bCs/>
        </w:rPr>
        <w:t xml:space="preserve">IV. </w:t>
      </w:r>
      <w:r>
        <w:rPr>
          <w:b/>
          <w:bCs/>
        </w:rPr>
        <w:t xml:space="preserve">AUTHORITY</w:t>
      </w:r>
      <w:r>
        <w:rPr>
          <w:b/>
          <w:bCs/>
        </w:rPr>
        <w:t xml:space="preserve"> </w:t>
      </w:r>
      <w:r>
        <w:rPr>
          <w:b/>
          <w:bCs/>
        </w:rPr>
        <w:t xml:space="preserve">&amp;</w:t>
      </w:r>
      <w:r>
        <w:rPr>
          <w:b/>
          <w:bCs/>
        </w:rPr>
        <w:t xml:space="preserve"> </w:t>
      </w:r>
      <w:r>
        <w:rPr>
          <w:b/>
          <w:bCs/>
        </w:rPr>
        <w:t xml:space="preserve">ARGUMENT</w:t>
      </w:r>
    </w:p>
    <w:p>
      <w:pPr>
        <w:keepNext/>
        <w:keepLines/>
        <w:spacing w:before="0" w:after="0" w:line="640" w:lineRule="exact"/>
        <w:ind w:left="864" w:hanging="864"/>
        <w:jc w:val="left"/>
      </w:pPr>
      <w:r>
        <w:rPr>
          <w:b/>
          <w:bCs/>
        </w:rPr>
        <w:t xml:space="preserve">A.</w:t>
      </w:r>
      <w:r>
        <w:rPr>
          <w:b/>
          <w:bCs/>
        </w:rPr>
        <w:tab/>
      </w:r>
      <w:r>
        <w:rPr>
          <w:b/>
          <w:bCs/>
        </w:rPr>
        <w:t xml:space="preserve">Legal</w:t>
      </w:r>
      <w:r>
        <w:rPr>
          <w:b/>
          <w:bCs/>
        </w:rPr>
        <w:t xml:space="preserve"> </w:t>
      </w:r>
      <w:r>
        <w:rPr>
          <w:b/>
          <w:bCs/>
        </w:rPr>
        <w:t xml:space="preserve">Standard</w:t>
      </w:r>
    </w:p>
    <w:p>
      <w:pPr>
        <w:pStyle w:val="BodyText"/>
      </w:pPr>
      <w:r>
        <w:t xml:space="preserve">To survive a motion to dismiss under Federal Rule of Civil Procedure 12(b)⁠(6), the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“A claim has facial plausibility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The court is not required to accept as true legal conclusions, conclusory statements, unreasonable inferences, or “formulaic recitation[s] of the elements of a cause of action.”</w:t>
      </w:r>
      <w:r>
        <w:t xml:space="preserve"> </w:t>
      </w:r>
      <w:r>
        <w:rPr>
          <w:i/>
          <w:iCs/>
        </w:rPr>
        <w:t xml:space="preserve">Chavez v. United States</w:t>
      </w:r>
      <w:r>
        <w:t xml:space="preserve">, 683 F.3d 1102, 1108 (9th Cir. 2012).</w:t>
      </w:r>
    </w:p>
    <w:p>
      <w:pPr>
        <w:keepNext/>
        <w:keepLines/>
        <w:spacing w:before="0" w:after="0" w:line="640" w:lineRule="exact"/>
        <w:ind w:left="864" w:hanging="864"/>
        <w:jc w:val="left"/>
      </w:pPr>
      <w:r>
        <w:rPr>
          <w:b/>
          <w:bCs/>
        </w:rPr>
        <w:t xml:space="preserve">B.</w:t>
      </w:r>
      <w:r>
        <w:rPr>
          <w:b/>
          <w:bCs/>
        </w:rPr>
        <w:tab/>
      </w:r>
      <w:r>
        <w:rPr>
          <w:b/>
          <w:bCs/>
        </w:rPr>
        <w:t xml:space="preserve">Plaintiff</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an</w:t>
      </w:r>
      <w:r>
        <w:rPr>
          <w:b/>
          <w:bCs/>
        </w:rPr>
        <w:t xml:space="preserve"> </w:t>
      </w:r>
      <w:r>
        <w:rPr>
          <w:b/>
          <w:bCs/>
        </w:rPr>
        <w:t xml:space="preserve">Actionable</w:t>
      </w:r>
      <w:r>
        <w:rPr>
          <w:b/>
          <w:bCs/>
        </w:rPr>
        <w:t xml:space="preserve"> </w:t>
      </w:r>
      <w:r>
        <w:rPr>
          <w:b/>
          <w:bCs/>
        </w:rPr>
        <w:t xml:space="preserve">Retaliation</w:t>
      </w:r>
      <w:r>
        <w:rPr>
          <w:b/>
          <w:bCs/>
        </w:rPr>
        <w:t xml:space="preserve"> </w:t>
      </w:r>
      <w:r>
        <w:rPr>
          <w:b/>
          <w:bCs/>
        </w:rPr>
        <w:t xml:space="preserve">Claim.</w:t>
      </w:r>
    </w:p>
    <w:p>
      <w:pPr>
        <w:pStyle w:val="BodyText"/>
      </w:pPr>
      <w:r>
        <w:t xml:space="preserve">Plaintiff’s second cause of action alleges that Defendants retaliated against him for reporting discriminatory behavior and for requesting reasonable accommodations. Compl., ¶¶5.1-⁠5.4. Nonetheless, Plaintiff does not identify the legal basis—statutory, common law, or otherwise—for his retaliation claim. Plaintiff asserts this claim under the employment anti-retaliation provision of the Washington Law Against Discrimination (“WLAD”), RCW 49.60.210.</w:t>
      </w:r>
    </w:p>
    <w:p>
      <w:pPr>
        <w:pStyle w:val="BodyText"/>
      </w:pPr>
      <w:r>
        <w:t xml:space="preserve">A retaliation claim under this statute has three elements: (1) the employee took a statutorily protected action, (2) the employee suffered an adverse employment action, and (3) a causal link between the employee’s protected activity and the adverse employment action.</w:t>
      </w:r>
      <w:r>
        <w:t xml:space="preserve"> </w:t>
      </w:r>
      <w:r>
        <w:rPr>
          <w:i/>
          <w:iCs/>
        </w:rPr>
        <w:t xml:space="preserve">Williams v. Recovery Innovations Inc</w:t>
      </w:r>
      <w:r>
        <w:t xml:space="preserve">, No. 3:24-CV-⁠05496-DGE, 2026 WL 1291915, at *6 (W.D. Wash. May 12, 2026), citing</w:t>
      </w:r>
      <w:r>
        <w:t xml:space="preserve"> </w:t>
      </w:r>
      <w:r>
        <w:rPr>
          <w:i/>
          <w:iCs/>
        </w:rPr>
        <w:t xml:space="preserve">Cornwell v. Microsoft Corp.</w:t>
      </w:r>
      <w:r>
        <w:t xml:space="preserve">, 192 Wn.2d 403, 411, 430 P.3d 229 (2018);</w:t>
      </w:r>
      <w:r>
        <w:t xml:space="preserve"> </w:t>
      </w:r>
      <w:r>
        <w:rPr>
          <w:i/>
          <w:iCs/>
        </w:rPr>
        <w:t xml:space="preserve">see also Goodson v. Triumph Composite Sys.</w:t>
      </w:r>
      <w:r>
        <w:t xml:space="preserve">, No. 13-CV-⁠0289-TOR, 2014 WL 6908743, at *12 (E.D. Wash. Dec. 8, 2014).</w:t>
      </w:r>
    </w:p>
    <w:p>
      <w:pPr>
        <w:pStyle w:val="BodyText"/>
      </w:pPr>
      <w:r>
        <w:t xml:space="preserve">Plaintiff’s retaliation claim is expressly premised on his June 12, 2024 report of discrimination and June 13, 2024 request for accommodation. Compl., ¶¶3.16, 3.18, 5.3. This Motion assumes such allegations satisfy the protected activity element. The Complaint further alleges Plaintiff suffered an adverse action when he was terminated on November 21, 2024.</w:t>
      </w:r>
      <w:r>
        <w:t xml:space="preserve"> </w:t>
      </w:r>
      <w:r>
        <w:rPr>
          <w:i/>
          <w:iCs/>
        </w:rPr>
        <w:t xml:space="preserve">Id.</w:t>
      </w:r>
      <w:r>
        <w:t xml:space="preserve">, ¶3.32.</w:t>
      </w:r>
    </w:p>
    <w:p>
      <w:pPr>
        <w:pStyle w:val="BodyText"/>
      </w:pPr>
      <w:r>
        <w:t xml:space="preserve">But fatally, the Complaint fails to allege any facts plausibly suggesting that BMI terminated Plaintiff’s employment or took any other adverse action against him because he reported discrimination or because he requested accommodation. Instead Plaintiff alleges that BMI failed to investigate his June 12, 2024 discrimination report, initially “ignored” his accommodation request, required him to “follow up,” and later “approved” his request.</w:t>
      </w:r>
      <w:r>
        <w:t xml:space="preserve"> </w:t>
      </w:r>
      <w:r>
        <w:rPr>
          <w:i/>
          <w:iCs/>
        </w:rPr>
        <w:t xml:space="preserve">Id.</w:t>
      </w:r>
      <w:r>
        <w:t xml:space="preserve">, ¶¶3.19, 3.20, 3.22, 3.23, 3.25, 3.26.</w:t>
      </w:r>
    </w:p>
    <w:p>
      <w:pPr>
        <w:pStyle w:val="BodyText"/>
      </w:pPr>
      <w:r>
        <w:t xml:space="preserve">Nowhere in the Complaint are facts alleged suggesting BMI terminated Plaintiff’s employment or took any other adverse action against him for requesting accommodation or reporting discrimination. Nor does it allege that anyone at BMI harbored or expressed animosity towards Plaintiff for requesting accommodation or reporting discrimination. In fact, to the contrary, the Complaint alleges that BMI “shifted gears away from termination” due to Plaintiff’s repeated report of discrimination and accommodation request. Compl., ¶3.19 (emphasis added). Plaintiff alleges that BMI terminated his employment not due to any opposition activity but due to his disclosed mental health condition and associated concerns about his security application.</w:t>
      </w:r>
      <w:r>
        <w:t xml:space="preserve"> </w:t>
      </w:r>
      <w:r>
        <w:rPr>
          <w:i/>
          <w:iCs/>
        </w:rPr>
        <w:t xml:space="preserve">See, id.</w:t>
      </w:r>
      <w:r>
        <w:t xml:space="preserve">, ¶¶3.11-⁠3.13, 3.40. If, as Plaintiff alleges, BMI terminated his employment due to a disability, such allegations would support a disparate treatment disability discrimination claim—Plaintiff’s first cause of action—not a retaliation claim, which must be premised upon opposition activity.</w:t>
      </w:r>
    </w:p>
    <w:p>
      <w:pPr>
        <w:pStyle w:val="BodyText"/>
      </w:pPr>
      <w:r>
        <w:t xml:space="preserve">Moreover, causation cannot be inferred from the timing of events. BMI terminated Plaintiff’s employment roughly eight months after he first requested accommodation, and more than five months after he reported discrimination.</w:t>
      </w:r>
      <w:r>
        <w:t xml:space="preserve"> </w:t>
      </w:r>
      <w:r>
        <w:rPr>
          <w:i/>
          <w:iCs/>
        </w:rPr>
        <w:t xml:space="preserve">See id.</w:t>
      </w:r>
      <w:r>
        <w:t xml:space="preserve">, ¶¶3.6-⁠3.8 (Plaintiff first requested accommodation around the time he took the new PBRA role in mid-March 2024), ¶3.16 (Plaintiff reported discrimination on June 12, 2024);</w:t>
      </w:r>
      <w:r>
        <w:t xml:space="preserve"> </w:t>
      </w:r>
      <w:r>
        <w:rPr>
          <w:i/>
          <w:iCs/>
        </w:rPr>
        <w:t xml:space="preserve">see also Kahn v. TransForce, Inc.</w:t>
      </w:r>
      <w:r>
        <w:t xml:space="preserve">, 2023 WL 346627, at *3 (W.D. Wash. Jan. 20, 2023) (citations omitted) (court “may not infer causation from temporal proximity unless the time between the employer’s knowledge of the protected activity and the adverse employment action is very close.”);</w:t>
      </w:r>
      <w:r>
        <w:t xml:space="preserve"> </w:t>
      </w:r>
      <w:r>
        <w:rPr>
          <w:i/>
          <w:iCs/>
        </w:rPr>
        <w:t xml:space="preserve">Woods v. Washington</w:t>
      </w:r>
      <w:r>
        <w:t xml:space="preserve">, 475 Fed. Appx. 111, 113 (9th Cir. 2012) (“eight-month interval does not permit an inference of causation”).</w:t>
      </w:r>
    </w:p>
    <w:p>
      <w:pPr>
        <w:pStyle w:val="BodyText"/>
      </w:pPr>
      <w:r>
        <w:t xml:space="preserve">[Sections IV.C to IV.E (the wrongful discharge, negligent hiring, supervision and retention, and NIED arguments) are not transcribed in this sample.]</w:t>
      </w:r>
    </w:p>
    <w:p>
      <w:pPr>
        <w:keepNext/>
        <w:keepLines/>
        <w:spacing w:before="0" w:after="0" w:line="640" w:lineRule="exact"/>
        <w:ind w:left="0" w:firstLine="0"/>
        <w:jc w:val="center"/>
      </w:pPr>
      <w:r>
        <w:rPr>
          <w:b/>
          <w:bCs/>
        </w:rPr>
        <w:t xml:space="preserve">V. </w:t>
      </w:r>
      <w:r>
        <w:rPr>
          <w:b/>
          <w:bCs/>
        </w:rPr>
        <w:t xml:space="preserve">CONCLUSION</w:t>
      </w:r>
    </w:p>
    <w:p>
      <w:pPr>
        <w:pStyle w:val="BodyTextKeep"/>
      </w:pPr>
      <w:r>
        <w:t xml:space="preserve">For the reasons set forth herein, BMI respectfully requests that the Court grant BMI’s Motion to Dismiss.</w:t>
      </w:r>
    </w:p>
    <w:p>
      <w:pPr>
        <w:keepNext/>
        <w:keepLines/>
        <w:spacing w:before="0" w:after="0" w:line="320" w:lineRule="exact"/>
      </w:pPr>
    </w:p>
    <w:tbl>
      <w:tblPr>
        <w:tblW w:w="9216" w:type="dxa"/>
        <w:tblLayout w:type="fixed"/>
        <w:tblCellMar>
          <w:top w:w="0" w:type="dxa"/>
          <w:left w:w="0" w:type="dxa"/>
          <w:bottom w:w="0" w:type="dxa"/>
          <w:right w:w="0" w:type="dxa"/>
        </w:tblCellMar>
        <w:tblLook w:val="0000" w:firstRow="0" w:lastRow="0" w:firstColumn="0" w:lastColumn="0" w:noHBand="0" w:noVBand="0"/>
      </w:tblPr>
      <w:tblGrid>
        <w:gridCol w:w="3744"/>
        <w:gridCol w:w="5472"/>
      </w:tblGrid>
      <w:tr>
        <w:trPr>
          <w:cantSplit/>
        </w:trPr>
        <w:tc>
          <w:tcPr>
            <w:tcW w:w="3744" w:type="dxa"/>
          </w:tcPr>
          <w:p>
            <w:pPr>
              <w:spacing w:before="0" w:after="0" w:line="320" w:lineRule="exact"/>
              <w:ind w:left="0" w:firstLine="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July,</w:t>
            </w:r>
            <w:r>
              <w:t xml:space="preserve"> </w:t>
            </w:r>
            <w:r>
              <w:t xml:space="preserve">2026</w:t>
            </w:r>
          </w:p>
        </w:tc>
        <w:tc>
          <w:tcPr>
            <w:tcW w:w="5472" w:type="dxa"/>
            <w:tcMar>
              <w:left w:w="288" w:type="dxa"/>
            </w:tcMar>
          </w:tcPr>
          <w:p>
            <w:pPr>
              <w:spacing w:before="0" w:after="0" w:line="320" w:lineRule="exact"/>
              <w:ind w:left="0" w:firstLine="0"/>
              <w:jc w:val="left"/>
            </w:pPr>
            <w:r>
              <w:t xml:space="preserve">Respectfully</w:t>
            </w:r>
            <w:r>
              <w:t xml:space="preserve"> </w:t>
            </w:r>
            <w:r>
              <w:t xml:space="preserve">submitted,</w:t>
            </w:r>
          </w:p>
          <w:p>
            <w:pPr>
              <w:spacing w:before="320" w:after="0" w:line="320" w:lineRule="exact"/>
              <w:ind w:left="0" w:firstLine="0"/>
              <w:jc w:val="left"/>
            </w:pPr>
            <w:r>
              <w:t xml:space="preserve">SUMMIT</w:t>
            </w:r>
            <w:r>
              <w:t xml:space="preserve"> </w:t>
            </w:r>
            <w:r>
              <w:t xml:space="preserve">LAW</w:t>
            </w:r>
            <w:r>
              <w:t xml:space="preserve"> </w:t>
            </w:r>
            <w:r>
              <w:t xml:space="preserve">GROUP,</w:t>
            </w:r>
            <w:r>
              <w:t xml:space="preserve"> </w:t>
            </w:r>
            <w:r>
              <w:t xml:space="preserve">PLLC</w:t>
            </w:r>
          </w:p>
          <w:p>
            <w:pPr>
              <w:spacing w:before="320" w:after="0" w:line="320" w:lineRule="exact"/>
              <w:ind w:left="0" w:firstLine="0"/>
              <w:jc w:val="left"/>
            </w:pPr>
            <w:r>
              <w:t xml:space="preserve">By</w:t>
            </w:r>
            <w:r>
              <w:t xml:space="preserve"> </w:t>
            </w:r>
            <w:r>
              <w:t xml:space="preserve">s/​Seth</w:t>
            </w:r>
            <w:r>
              <w:t xml:space="preserve"> </w:t>
            </w:r>
            <w:r>
              <w:t xml:space="preserve">J.</w:t>
            </w:r>
            <w:r>
              <w:t xml:space="preserve"> </w:t>
            </w:r>
            <w:r>
              <w:t xml:space="preserve">Berntsen,</w:t>
            </w:r>
            <w:r>
              <w:t xml:space="preserve"> </w:t>
            </w:r>
            <w:r>
              <w:t xml:space="preserve">WSBA</w:t>
            </w:r>
            <w:r>
              <w:t xml:space="preserve"> </w:t>
            </w:r>
            <w:r>
              <w:t xml:space="preserve">#30379</w:t>
            </w:r>
          </w:p>
          <w:p>
            <w:pPr>
              <w:spacing w:before="0" w:after="0" w:line="320" w:lineRule="exact"/>
              <w:ind w:left="0" w:firstLine="0"/>
              <w:jc w:val="left"/>
            </w:pPr>
            <w:r>
              <w:t xml:space="preserve">Rebecca</w:t>
            </w:r>
            <w:r>
              <w:t xml:space="preserve"> </w:t>
            </w:r>
            <w:r>
              <w:t xml:space="preserve">R.</w:t>
            </w:r>
            <w:r>
              <w:t xml:space="preserve"> </w:t>
            </w:r>
            <w:r>
              <w:t xml:space="preserve">Singleton,</w:t>
            </w:r>
            <w:r>
              <w:t xml:space="preserve"> </w:t>
            </w:r>
            <w:r>
              <w:t xml:space="preserve">WSBA</w:t>
            </w:r>
            <w:r>
              <w:t xml:space="preserve"> </w:t>
            </w:r>
            <w:r>
              <w:t xml:space="preserve">#57719</w:t>
            </w:r>
          </w:p>
          <w:p>
            <w:pPr>
              <w:spacing w:before="0" w:after="0" w:line="320" w:lineRule="exact"/>
              <w:ind w:left="0" w:firstLine="0"/>
              <w:jc w:val="left"/>
            </w:pPr>
            <w:r>
              <w:t xml:space="preserve">Eva</w:t>
            </w:r>
            <w:r>
              <w:t xml:space="preserve"> </w:t>
            </w:r>
            <w:r>
              <w:t xml:space="preserve">Oliver,</w:t>
            </w:r>
            <w:r>
              <w:t xml:space="preserve"> </w:t>
            </w:r>
            <w:r>
              <w:t xml:space="preserve">WSBA</w:t>
            </w:r>
            <w:r>
              <w:t xml:space="preserve"> </w:t>
            </w:r>
            <w:r>
              <w:t xml:space="preserve">#57019</w:t>
            </w:r>
          </w:p>
          <w:p>
            <w:pPr>
              <w:spacing w:before="0" w:after="0" w:line="320" w:lineRule="exact"/>
              <w:ind w:left="0" w:firstLine="0"/>
              <w:jc w:val="left"/>
            </w:pPr>
            <w:r>
              <w:t xml:space="preserve">sethb@summitlaw.com</w:t>
            </w:r>
          </w:p>
          <w:p>
            <w:pPr>
              <w:spacing w:before="0" w:after="0" w:line="320" w:lineRule="exact"/>
              <w:ind w:left="0" w:firstLine="0"/>
              <w:jc w:val="left"/>
            </w:pPr>
            <w:r>
              <w:t xml:space="preserve">rebeccas@summitlaw.com</w:t>
            </w:r>
          </w:p>
          <w:p>
            <w:pPr>
              <w:spacing w:before="0" w:after="0" w:line="320" w:lineRule="exact"/>
              <w:ind w:left="0" w:firstLine="0"/>
              <w:jc w:val="left"/>
            </w:pPr>
            <w:r>
              <w:t xml:space="preserve">evao@summitlaw.com</w:t>
            </w:r>
          </w:p>
          <w:p>
            <w:pPr>
              <w:spacing w:before="0" w:after="0" w:line="320" w:lineRule="exact"/>
              <w:ind w:left="0" w:firstLine="0"/>
              <w:jc w:val="left"/>
            </w:pPr>
            <w:r>
              <w:t xml:space="preserve">Attorneys</w:t>
            </w:r>
            <w:r>
              <w:t xml:space="preserve"> </w:t>
            </w:r>
            <w:r>
              <w:t xml:space="preserve">for</w:t>
            </w:r>
            <w:r>
              <w:t xml:space="preserve"> </w:t>
            </w:r>
            <w:r>
              <w:t xml:space="preserve">Defendant</w:t>
            </w:r>
            <w:r>
              <w:t xml:space="preserve"> </w:t>
            </w:r>
            <w:r>
              <w:t xml:space="preserve">Battelle</w:t>
            </w:r>
            <w:r>
              <w:t xml:space="preserve"> </w:t>
            </w:r>
            <w:r>
              <w:t xml:space="preserve">Memorial</w:t>
            </w:r>
            <w:r>
              <w:t xml:space="preserve"> </w:t>
            </w:r>
            <w:r>
              <w:t xml:space="preserve">Institute,</w:t>
            </w:r>
            <w:r>
              <w:t xml:space="preserve"> </w:t>
            </w:r>
            <w:r>
              <w:t xml:space="preserve">dba</w:t>
            </w:r>
            <w:r>
              <w:t xml:space="preserve"> </w:t>
            </w:r>
            <w:r>
              <w:t xml:space="preserve">Pacific</w:t>
            </w:r>
            <w:r>
              <w:t xml:space="preserve"> </w:t>
            </w:r>
            <w:r>
              <w:t xml:space="preserve">Northwest</w:t>
            </w:r>
            <w:r>
              <w:t xml:space="preserve"> </w:t>
            </w:r>
            <w:r>
              <w:t xml:space="preserve">National</w:t>
            </w:r>
            <w:r>
              <w:t xml:space="preserve"> </w:t>
            </w:r>
            <w:r>
              <w:t xml:space="preserve">Laboratory</w:t>
            </w:r>
          </w:p>
        </w:tc>
      </w:tr>
    </w:tbl>
    <w:p>
      <w:pPr>
        <w:pageBreakBefore/>
        <w:spacing w:before="0" w:after="0" w:line="1" w:lineRule="exact"/>
      </w:pPr>
    </w:p>
    <w:p>
      <w:pPr>
        <w:spacing w:before="0" w:after="0" w:line="640"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0"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day</w:t>
      </w:r>
      <w:r>
        <w:t xml:space="preserve"> </w:t>
      </w:r>
      <w:r>
        <w:t xml:space="preserve">I</w:t>
      </w:r>
      <w:r>
        <w:t xml:space="preserve"> </w:t>
      </w:r>
      <w:r>
        <w:t xml:space="preserve">caused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to</w:t>
      </w:r>
      <w:r>
        <w:t xml:space="preserve"> </w:t>
      </w:r>
      <w:r>
        <w:t xml:space="preserve">be</w:t>
      </w:r>
      <w:r>
        <w:t xml:space="preserve"> </w:t>
      </w:r>
      <w:r>
        <w:t xml:space="preserve">served,</w:t>
      </w:r>
      <w:r>
        <w:t xml:space="preserve"> </w:t>
      </w:r>
      <w:r>
        <w:t xml:space="preserve">as</w:t>
      </w:r>
      <w:r>
        <w:t xml:space="preserve"> </w:t>
      </w:r>
      <w:r>
        <w:t xml:space="preserve">indicated,</w:t>
      </w:r>
      <w:r>
        <w:t xml:space="preserve"> </w:t>
      </w:r>
      <w:r>
        <w:t xml:space="preserve">upon</w:t>
      </w:r>
      <w:r>
        <w:t xml:space="preserve"> </w:t>
      </w:r>
      <w:r>
        <w:t xml:space="preserve">the</w:t>
      </w:r>
      <w:r>
        <w:t xml:space="preserve"> </w:t>
      </w:r>
      <w:r>
        <w:t xml:space="preserve">following</w:t>
      </w:r>
      <w:r>
        <w:t xml:space="preserve"> </w:t>
      </w:r>
      <w:r>
        <w:t xml:space="preserve">participants:</w:t>
      </w:r>
      <w:r>
        <w:t xml:space="preserve"> </w:t>
      </w:r>
      <w:r>
        <w:t xml:space="preserve">Carrie</w:t>
      </w:r>
      <w:r>
        <w:t xml:space="preserve"> </w:t>
      </w:r>
      <w:r>
        <w:t xml:space="preserve">M.</w:t>
      </w:r>
      <w:r>
        <w:t xml:space="preserve"> </w:t>
      </w:r>
      <w:r>
        <w:t xml:space="preserve">Coppinger,</w:t>
      </w:r>
      <w:r>
        <w:t xml:space="preserve"> </w:t>
      </w:r>
      <w:r>
        <w:t xml:space="preserve">Coppinger</w:t>
      </w:r>
      <w:r>
        <w:t xml:space="preserve"> </w:t>
      </w:r>
      <w:r>
        <w:t xml:space="preserve">Law</w:t>
      </w:r>
      <w:r>
        <w:t xml:space="preserve"> </w:t>
      </w:r>
      <w:r>
        <w:t xml:space="preserve">P.S.,</w:t>
      </w:r>
      <w:r>
        <w:t xml:space="preserve"> </w:t>
      </w:r>
      <w:r>
        <w:t xml:space="preserve">103</w:t>
      </w:r>
      <w:r>
        <w:t xml:space="preserve"> </w:t>
      </w:r>
      <w:r>
        <w:t xml:space="preserve">W.</w:t>
      </w:r>
      <w:r>
        <w:t xml:space="preserve"> </w:t>
      </w:r>
      <w:r>
        <w:t xml:space="preserve">Main</w:t>
      </w:r>
      <w:r>
        <w:t xml:space="preserve"> </w:t>
      </w:r>
      <w:r>
        <w:t xml:space="preserve">Street,</w:t>
      </w:r>
      <w:r>
        <w:t xml:space="preserve"> </w:t>
      </w:r>
      <w:r>
        <w:t xml:space="preserve">Suite</w:t>
      </w:r>
      <w:r>
        <w:t xml:space="preserve"> </w:t>
      </w:r>
      <w:r>
        <w:t xml:space="preserve">202,</w:t>
      </w:r>
      <w:r>
        <w:t xml:space="preserve"> </w:t>
      </w:r>
      <w:r>
        <w:t xml:space="preserve">Everson,</w:t>
      </w:r>
      <w:r>
        <w:t xml:space="preserve"> </w:t>
      </w:r>
      <w:r>
        <w:t xml:space="preserve">WA</w:t>
      </w:r>
      <w:r>
        <w:t xml:space="preserve"> </w:t>
      </w:r>
      <w:r>
        <w:t xml:space="preserve">98247</w:t>
      </w:r>
      <w:r>
        <w:t xml:space="preserve"> </w:t>
      </w:r>
      <w:r>
        <w:t xml:space="preserve">(cc@coppingerlawps.com;</w:t>
      </w:r>
      <w:r>
        <w:t xml:space="preserve"> </w:t>
      </w:r>
      <w:r>
        <w:t xml:space="preserve">service@coppingerlawps.com),</w:t>
      </w:r>
      <w:r>
        <w:t xml:space="preserve"> </w:t>
      </w:r>
      <w:r>
        <w:t xml:space="preserve">attorney</w:t>
      </w:r>
      <w:r>
        <w:t xml:space="preserve"> </w:t>
      </w:r>
      <w:r>
        <w:t xml:space="preserve">for</w:t>
      </w:r>
      <w:r>
        <w:t xml:space="preserve"> </w:t>
      </w:r>
      <w:r>
        <w:t xml:space="preserve">Plaintiff,</w:t>
      </w:r>
      <w:r>
        <w:t xml:space="preserve"> </w:t>
      </w:r>
      <w:r>
        <w:t xml:space="preserve">via</w:t>
      </w:r>
      <w:r>
        <w:t xml:space="preserve"> </w:t>
      </w:r>
      <w:r>
        <w:t xml:space="preserve">CM/​ECF,</w:t>
      </w:r>
      <w:r>
        <w:t xml:space="preserve"> </w:t>
      </w:r>
      <w:r>
        <w:t xml:space="preserve">email,</w:t>
      </w:r>
      <w:r>
        <w:t xml:space="preserve"> </w:t>
      </w:r>
      <w:r>
        <w:t xml:space="preserve">and</w:t>
      </w:r>
      <w:r>
        <w:t xml:space="preserve"> </w:t>
      </w:r>
      <w:r>
        <w:t xml:space="preserve">U.S.</w:t>
      </w:r>
      <w:r>
        <w:t xml:space="preserve"> </w:t>
      </w:r>
      <w:r>
        <w:t xml:space="preserve">Mail.</w:t>
      </w:r>
    </w:p>
    <w:p>
      <w:pPr>
        <w:spacing w:before="0" w:after="0" w:line="640" w:lineRule="exact"/>
        <w:ind w:left="0" w:firstLine="720"/>
        <w:jc w:val="left"/>
      </w:pPr>
      <w:r>
        <w:t xml:space="preserve">DATED</w:t>
      </w:r>
      <w:r>
        <w:t xml:space="preserve"> </w:t>
      </w:r>
      <w:r>
        <w:t xml:space="preserve">this</w:t>
      </w:r>
      <w:r>
        <w:t xml:space="preserve"> </w:t>
      </w:r>
      <w:r>
        <w:t xml:space="preserve">6th</w:t>
      </w:r>
      <w:r>
        <w:t xml:space="preserve"> </w:t>
      </w:r>
      <w:r>
        <w:t xml:space="preserve">day</w:t>
      </w:r>
      <w:r>
        <w:t xml:space="preserve"> </w:t>
      </w:r>
      <w:r>
        <w:t xml:space="preserve">of</w:t>
      </w:r>
      <w:r>
        <w:t xml:space="preserve"> </w:t>
      </w:r>
      <w:r>
        <w:t xml:space="preserve">July,</w:t>
      </w:r>
      <w:r>
        <w:t xml:space="preserve"> </w:t>
      </w:r>
      <w:r>
        <w:t xml:space="preserve">2026.</w:t>
      </w:r>
    </w:p>
    <w:p>
      <w:pPr>
        <w:spacing w:before="0" w:after="0" w:line="640" w:lineRule="exact"/>
        <w:ind w:left="0" w:firstLine="720"/>
        <w:jc w:val="left"/>
      </w:pPr>
      <w:r>
        <w:t xml:space="preserve">s/​Dominique</w:t>
      </w:r>
      <w:r>
        <w:t xml:space="preserve"> </w:t>
      </w:r>
      <w:r>
        <w:t xml:space="preserve">Barrientes,</w:t>
      </w:r>
      <w:r>
        <w:t xml:space="preserve"> </w:t>
      </w:r>
      <w:r>
        <w:t xml:space="preserve">Legal</w:t>
      </w:r>
      <w:r>
        <w:t xml:space="preserve"> </w:t>
      </w:r>
      <w:r>
        <w:t xml:space="preserve">Assistant,</w:t>
      </w:r>
      <w:r>
        <w:t xml:space="preserve"> </w:t>
      </w:r>
      <w:r>
        <w:t xml:space="preserve">dominiqueb@summitlaw.com</w:t>
      </w:r>
    </w:p>
    <w:sectPr>
      <w:headerReference w:type="default" r:id="rIdXdPleading"/>
      <w:footerReference w:type="default" r:id="rIdXdPage"/>
      <w:pgSz w:w="12240" w:h="15840"/>
      <w:pgMar w:top="1440" w:right="1440" w:bottom="1599" w:left="1584" w:header="720" w:footer="104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0" w:lineRule="exact"/>
      <w:jc w:val="lef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0" w:lineRule="exact"/>
      <w:jc w:val="left"/>
    </w:pPr>
    <w:r>
      <w:t xml:space="preserve">BATTELLE’S</w:t>
    </w:r>
    <w:r>
      <w:t xml:space="preserve"> </w:t>
    </w:r>
    <w:r>
      <w:t xml:space="preserve">MOTION</w:t>
    </w:r>
    <w:r>
      <w:t xml:space="preserve"> </w:t>
    </w:r>
    <w:r>
      <w:t xml:space="preserve">TO</w:t>
    </w:r>
    <w:r>
      <w:t xml:space="preserve"> </w:t>
    </w:r>
    <w:r>
      <w:t xml:space="preserve">DISMISS</w:t>
    </w:r>
    <w:r>
      <w:t xml:space="preserve"> - </w:t>
    </w: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0" w:lineRule="exact"/>
      <w:jc w:val="left"/>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hdr-own1.xml><?xml version="1.0" encoding="utf-8"?>
<w:hdr xmlns:w="http://schemas.openxmlformats.org/wordprocessingml/2006/main" xmlns:r="http://schemas.openxmlformats.org/officeDocument/2006/relationships">
  <w:p>
    <w:pPr>
      <w:spacing w:before="0" w:after="0" w:line="20" w:lineRule="exact"/>
    </w:pPr>
    <w:r>
      <w:drawing xmlns:wp="http://schemas.openxmlformats.org/drawingml/2006/wordprocessingDrawing">
        <wp:anchor distT="0" distB="0" distL="0" distR="0" simplePos="0" relativeHeight="1" behindDoc="1" locked="1" layoutInCell="1" allowOverlap="1">
          <wp:simplePos x="0" y="0"/>
          <wp:positionH relativeFrom="page">
            <wp:posOffset>0</wp:posOffset>
          </wp:positionH>
          <wp:positionV relativeFrom="page">
            <wp:posOffset>914400</wp:posOffset>
          </wp:positionV>
          <wp:extent cx="594360" cy="8128000"/>
          <wp:effectExtent l="0" t="0" r="0" b="0"/>
          <wp:wrapNone/>
          <wp:docPr id="9911" name="Pleading line numbers"/>
          <wp:cNvGraphicFramePr/>
          <a:graphic xmlns:a="http://schemas.openxmlformats.org/drawingml/2006/main">
            <a:graphicData uri="http://schemas.microsoft.com/office/word/2010/wordprocessingShape">
              <wps:wsp xmlns:wps="http://schemas.microsoft.com/office/word/2010/wordprocessingShape">
                <wps:cNvSpPr txBox="1"/>
                <wps:spPr>
                  <a:xfrm>
                    <a:off x="0" y="0"/>
                    <a:ext cx="594360" cy="8128000"/>
                  </a:xfrm>
                  <a:prstGeom prst="rect">
                    <a:avLst/>
                  </a:prstGeom>
                  <a:noFill/>
                  <a:ln>
                    <a:noFill/>
                  </a:ln>
                </wps:spPr>
                <wps:txbx>
                  <w:txbxContent>
                    <w:p>
                      <w:pPr>
                        <w:spacing w:before="0" w:after="0" w:line="640" w:lineRule="exact"/>
                        <w:ind w:left="0" w:right="0" w:firstLine="0"/>
                        <w:jc w:val="right"/>
                      </w:pPr>
                      <w:r>
                        <w:rPr>
                          <w:sz w:val="28"/>
                          <w:szCs w:val="28"/>
                        </w:rPr>
                        <w:t>1</w:t>
                      </w:r>
                    </w:p>
                    <w:p>
                      <w:pPr>
                        <w:spacing w:before="0" w:after="0" w:line="640" w:lineRule="exact"/>
                        <w:ind w:left="0" w:right="0" w:firstLine="0"/>
                        <w:jc w:val="right"/>
                      </w:pPr>
                      <w:r>
                        <w:rPr>
                          <w:sz w:val="28"/>
                          <w:szCs w:val="28"/>
                        </w:rPr>
                        <w:t>2</w:t>
                      </w:r>
                    </w:p>
                    <w:p>
                      <w:pPr>
                        <w:spacing w:before="0" w:after="0" w:line="640" w:lineRule="exact"/>
                        <w:ind w:left="0" w:right="0" w:firstLine="0"/>
                        <w:jc w:val="right"/>
                      </w:pPr>
                      <w:r>
                        <w:rPr>
                          <w:sz w:val="28"/>
                          <w:szCs w:val="28"/>
                        </w:rPr>
                        <w:t>3</w:t>
                      </w:r>
                    </w:p>
                    <w:p>
                      <w:pPr>
                        <w:spacing w:before="0" w:after="0" w:line="640" w:lineRule="exact"/>
                        <w:ind w:left="0" w:right="0" w:firstLine="0"/>
                        <w:jc w:val="right"/>
                      </w:pPr>
                      <w:r>
                        <w:rPr>
                          <w:sz w:val="28"/>
                          <w:szCs w:val="28"/>
                        </w:rPr>
                        <w:t>4</w:t>
                      </w:r>
                    </w:p>
                    <w:p>
                      <w:pPr>
                        <w:spacing w:before="0" w:after="0" w:line="640" w:lineRule="exact"/>
                        <w:ind w:left="0" w:right="0" w:firstLine="0"/>
                        <w:jc w:val="right"/>
                      </w:pPr>
                      <w:r>
                        <w:rPr>
                          <w:sz w:val="28"/>
                          <w:szCs w:val="28"/>
                        </w:rPr>
                        <w:t>5</w:t>
                      </w:r>
                    </w:p>
                    <w:p>
                      <w:pPr>
                        <w:spacing w:before="0" w:after="0" w:line="640" w:lineRule="exact"/>
                        <w:ind w:left="0" w:right="0" w:firstLine="0"/>
                        <w:jc w:val="right"/>
                      </w:pPr>
                      <w:r>
                        <w:rPr>
                          <w:sz w:val="28"/>
                          <w:szCs w:val="28"/>
                        </w:rPr>
                        <w:t>6</w:t>
                      </w:r>
                    </w:p>
                    <w:p>
                      <w:pPr>
                        <w:spacing w:before="0" w:after="0" w:line="640" w:lineRule="exact"/>
                        <w:ind w:left="0" w:right="0" w:firstLine="0"/>
                        <w:jc w:val="right"/>
                      </w:pPr>
                      <w:r>
                        <w:rPr>
                          <w:sz w:val="28"/>
                          <w:szCs w:val="28"/>
                        </w:rPr>
                        <w:t>7</w:t>
                      </w:r>
                    </w:p>
                    <w:p>
                      <w:pPr>
                        <w:spacing w:before="0" w:after="0" w:line="640" w:lineRule="exact"/>
                        <w:ind w:left="0" w:right="0" w:firstLine="0"/>
                        <w:jc w:val="right"/>
                      </w:pPr>
                      <w:r>
                        <w:rPr>
                          <w:sz w:val="28"/>
                          <w:szCs w:val="28"/>
                        </w:rPr>
                        <w:t>8</w:t>
                      </w:r>
                    </w:p>
                    <w:p>
                      <w:pPr>
                        <w:spacing w:before="0" w:after="0" w:line="640" w:lineRule="exact"/>
                        <w:ind w:left="0" w:right="0" w:firstLine="0"/>
                        <w:jc w:val="right"/>
                      </w:pPr>
                      <w:r>
                        <w:rPr>
                          <w:sz w:val="28"/>
                          <w:szCs w:val="28"/>
                        </w:rPr>
                        <w:t>9</w:t>
                      </w:r>
                    </w:p>
                    <w:p>
                      <w:pPr>
                        <w:spacing w:before="0" w:after="0" w:line="640" w:lineRule="exact"/>
                        <w:ind w:left="0" w:right="0" w:firstLine="0"/>
                        <w:jc w:val="right"/>
                      </w:pPr>
                      <w:r>
                        <w:rPr>
                          <w:sz w:val="28"/>
                          <w:szCs w:val="28"/>
                        </w:rPr>
                        <w:t>10</w:t>
                      </w:r>
                    </w:p>
                    <w:p>
                      <w:pPr>
                        <w:spacing w:before="0" w:after="0" w:line="640" w:lineRule="exact"/>
                        <w:ind w:left="0" w:right="0" w:firstLine="0"/>
                        <w:jc w:val="right"/>
                      </w:pPr>
                      <w:r>
                        <w:rPr>
                          <w:sz w:val="28"/>
                          <w:szCs w:val="28"/>
                        </w:rPr>
                        <w:t>11</w:t>
                      </w:r>
                    </w:p>
                    <w:p>
                      <w:pPr>
                        <w:spacing w:before="0" w:after="0" w:line="640" w:lineRule="exact"/>
                        <w:ind w:left="0" w:right="0" w:firstLine="0"/>
                        <w:jc w:val="right"/>
                      </w:pPr>
                      <w:r>
                        <w:rPr>
                          <w:sz w:val="28"/>
                          <w:szCs w:val="28"/>
                        </w:rPr>
                        <w:t>12</w:t>
                      </w:r>
                    </w:p>
                    <w:p>
                      <w:pPr>
                        <w:spacing w:before="0" w:after="0" w:line="640" w:lineRule="exact"/>
                        <w:ind w:left="0" w:right="0" w:firstLine="0"/>
                        <w:jc w:val="right"/>
                      </w:pPr>
                      <w:r>
                        <w:rPr>
                          <w:sz w:val="28"/>
                          <w:szCs w:val="28"/>
                        </w:rPr>
                        <w:t>13</w:t>
                      </w:r>
                    </w:p>
                    <w:p>
                      <w:pPr>
                        <w:spacing w:before="0" w:after="0" w:line="640" w:lineRule="exact"/>
                        <w:ind w:left="0" w:right="0" w:firstLine="0"/>
                        <w:jc w:val="right"/>
                      </w:pPr>
                      <w:r>
                        <w:rPr>
                          <w:sz w:val="28"/>
                          <w:szCs w:val="28"/>
                        </w:rPr>
                        <w:t>14</w:t>
                      </w:r>
                    </w:p>
                    <w:p>
                      <w:pPr>
                        <w:spacing w:before="0" w:after="0" w:line="640" w:lineRule="exact"/>
                        <w:ind w:left="0" w:right="0" w:firstLine="0"/>
                        <w:jc w:val="right"/>
                      </w:pPr>
                      <w:r>
                        <w:rPr>
                          <w:sz w:val="28"/>
                          <w:szCs w:val="28"/>
                        </w:rPr>
                        <w:t>15</w:t>
                      </w:r>
                    </w:p>
                    <w:p>
                      <w:pPr>
                        <w:spacing w:before="0" w:after="0" w:line="640" w:lineRule="exact"/>
                        <w:ind w:left="0" w:right="0" w:firstLine="0"/>
                        <w:jc w:val="right"/>
                      </w:pPr>
                      <w:r>
                        <w:rPr>
                          <w:sz w:val="28"/>
                          <w:szCs w:val="28"/>
                        </w:rPr>
                        <w:t>16</w:t>
                      </w:r>
                    </w:p>
                    <w:p>
                      <w:pPr>
                        <w:spacing w:before="0" w:after="0" w:line="640" w:lineRule="exact"/>
                        <w:ind w:left="0" w:right="0" w:firstLine="0"/>
                        <w:jc w:val="right"/>
                      </w:pPr>
                      <w:r>
                        <w:rPr>
                          <w:sz w:val="28"/>
                          <w:szCs w:val="28"/>
                        </w:rPr>
                        <w:t>17</w:t>
                      </w:r>
                    </w:p>
                    <w:p>
                      <w:pPr>
                        <w:spacing w:before="0" w:after="0" w:line="640" w:lineRule="exact"/>
                        <w:ind w:left="0" w:right="0" w:firstLine="0"/>
                        <w:jc w:val="right"/>
                      </w:pPr>
                      <w:r>
                        <w:rPr>
                          <w:sz w:val="28"/>
                          <w:szCs w:val="28"/>
                        </w:rPr>
                        <w:t>18</w:t>
                      </w:r>
                    </w:p>
                    <w:p>
                      <w:pPr>
                        <w:spacing w:before="0" w:after="0" w:line="640" w:lineRule="exact"/>
                        <w:ind w:left="0" w:right="0" w:firstLine="0"/>
                        <w:jc w:val="right"/>
                      </w:pPr>
                      <w:r>
                        <w:rPr>
                          <w:sz w:val="28"/>
                          <w:szCs w:val="28"/>
                        </w:rPr>
                        <w:t>19</w:t>
                      </w:r>
                    </w:p>
                    <w:p>
                      <w:pPr>
                        <w:spacing w:before="0" w:after="0" w:line="640" w:lineRule="exact"/>
                        <w:ind w:left="0" w:right="0" w:firstLine="0"/>
                        <w:jc w:val="right"/>
                      </w:pPr>
                      <w:r>
                        <w:rPr>
                          <w:sz w:val="28"/>
                          <w:szCs w:val="28"/>
                        </w:rPr>
                        <w:t>20</w:t>
                      </w:r>
                    </w:p>
                  </w:txbxContent>
                </wps:txbx>
                <wps:bodyPr rot="0" vert="horz" wrap="square" lIns="0" tIns="0" rIns="0" bIns="0" anchor="t" anchorCtr="0">
                  <a:noAutofit/>
                </wps:bodyPr>
              </wps:wsp>
            </a:graphicData>
          </a:graphic>
        </wp:anchor>
      </w:drawing>
    </w:r>
    <w:r>
      <w:drawing xmlns:wp="http://schemas.openxmlformats.org/drawingml/2006/wordprocessingDrawing">
        <wp:anchor distT="0" distB="0" distL="0" distR="0" simplePos="0" relativeHeight="2" behindDoc="1" locked="1" layoutInCell="1" allowOverlap="1">
          <wp:simplePos x="0" y="0"/>
          <wp:positionH relativeFrom="page">
            <wp:posOffset>822960</wp:posOffset>
          </wp:positionH>
          <wp:positionV relativeFrom="page">
            <wp:posOffset>0</wp:posOffset>
          </wp:positionV>
          <wp:extent cx="0" cy="10058400"/>
          <wp:effectExtent l="0" t="0" r="0" b="0"/>
          <wp:wrapNone/>
          <wp:docPr id="9912" name="Pleading rule 1"/>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3" behindDoc="1" locked="1" layoutInCell="1" allowOverlap="1">
          <wp:simplePos x="0" y="0"/>
          <wp:positionH relativeFrom="page">
            <wp:posOffset>859790</wp:posOffset>
          </wp:positionH>
          <wp:positionV relativeFrom="page">
            <wp:posOffset>0</wp:posOffset>
          </wp:positionV>
          <wp:extent cx="0" cy="10058400"/>
          <wp:effectExtent l="0" t="0" r="0" b="0"/>
          <wp:wrapNone/>
          <wp:docPr id="9913" name="Pleading rule 2"/>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r>
      <w:drawing xmlns:wp="http://schemas.openxmlformats.org/drawingml/2006/wordprocessingDrawing">
        <wp:anchor distT="0" distB="0" distL="0" distR="0" simplePos="0" relativeHeight="4" behindDoc="1" locked="1" layoutInCell="1" allowOverlap="1">
          <wp:simplePos x="0" y="0"/>
          <wp:positionH relativeFrom="page">
            <wp:posOffset>6949440</wp:posOffset>
          </wp:positionH>
          <wp:positionV relativeFrom="page">
            <wp:posOffset>0</wp:posOffset>
          </wp:positionV>
          <wp:extent cx="0" cy="10058400"/>
          <wp:effectExtent l="0" t="0" r="0" b="0"/>
          <wp:wrapNone/>
          <wp:docPr id="9914" name="Pleading rule 3"/>
          <wp:cNvGraphicFramePr/>
          <a:graphic xmlns:a="http://schemas.openxmlformats.org/drawingml/2006/main">
            <a:graphicData uri="http://schemas.microsoft.com/office/word/2010/wordprocessingShape">
              <wps:wsp xmlns:wps="http://schemas.microsoft.com/office/word/2010/wordprocessingShape">
                <wps:cNvCnPr/>
                <wps:spPr>
                  <a:xfrm>
                    <a:off x="0" y="0"/>
                    <a:ext cx="0" cy="10058400"/>
                  </a:xfrm>
                  <a:prstGeom prst="line">
                    <a:avLst/>
                  </a:prstGeom>
                  <a:ln w="9525">
                    <a:solidFill>
                      <a:srgbClr val="000000"/>
                    </a:solidFill>
                  </a:ln>
                </wps:spPr>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Mono" w:hAnsi="Liberation Mono" w:eastAsia="Liberation Mono" w:cs="Liberation Mono"/>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0" w:lineRule="exact"/>
      <w:ind w:firstLine="0"/>
      <w:jc w:val="center"/>
      <w:outlineLvl w:val="0"/>
    </w:pPr>
    <w:rPr>
      <w:rFonts w:ascii="Liberation Mono" w:hAnsi="Liberation Mono" w:eastAsia="Liberation Mono" w:cs="Liberation Mono"/>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0" w:lineRule="exact"/>
      <w:ind w:firstLine="0"/>
      <w:outlineLvl w:val="1"/>
    </w:pPr>
    <w:rPr>
      <w:rFonts w:ascii="Liberation Mono" w:hAnsi="Liberation Mono" w:eastAsia="Liberation Mono" w:cs="Liberation Mono"/>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0" w:lineRule="exact"/>
      <w:ind w:firstLine="0"/>
      <w:outlineLvl w:val="2"/>
    </w:pPr>
    <w:rPr>
      <w:rFonts w:ascii="Liberation Mono" w:hAnsi="Liberation Mono" w:eastAsia="Liberation Mono" w:cs="Liberation Mono"/>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0" w:lineRule="exact"/>
      <w:ind w:firstLine="0"/>
      <w:outlineLvl w:val="3"/>
    </w:pPr>
    <w:rPr>
      <w:rFonts w:ascii="Liberation Mono" w:hAnsi="Liberation Mono" w:eastAsia="Liberation Mono" w:cs="Liberation Mono"/>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0" w:lineRule="exact"/>
      <w:ind w:firstLine="0"/>
      <w:outlineLvl w:val="4"/>
    </w:pPr>
    <w:rPr>
      <w:rFonts w:ascii="Liberation Mono" w:hAnsi="Liberation Mono" w:eastAsia="Liberation Mono" w:cs="Liberation Mono"/>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0"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0" w:line="6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0" w:lineRule="exact"/>
      <w:ind w:left="720" w:right="720" w:firstLine="0"/>
    </w:pPr>
  </w:style>
  <w:style w:type="paragraph" w:customStyle="1" w:styleId="XdQuoteFirst">
    <w:name w:val="Xd Quote First"/>
    <w:basedOn w:val="Normal"/>
    <w:qFormat/>
    <w:pPr>
      <w:spacing w:before="0" w:after="0" w:line="320" w:lineRule="exact"/>
      <w:ind w:left="720" w:right="720" w:firstLine="0"/>
    </w:pPr>
  </w:style>
  <w:style w:type="paragraph" w:customStyle="1" w:styleId="XdQuoteLast">
    <w:name w:val="Xd Quote Last"/>
    <w:basedOn w:val="Normal"/>
    <w:qFormat/>
    <w:pPr>
      <w:spacing w:before="0" w:after="0" w:line="320" w:lineRule="exact"/>
      <w:ind w:left="720" w:right="720" w:firstLine="0"/>
    </w:pPr>
  </w:style>
  <w:style w:type="paragraph" w:customStyle="1" w:styleId="XdQuoteOnly">
    <w:name w:val="Xd Quote Only"/>
    <w:basedOn w:val="Normal"/>
    <w:qFormat/>
    <w:pPr>
      <w:spacing w:before="0" w:after="0" w:line="320" w:lineRule="exact"/>
      <w:ind w:left="720" w:right="720" w:firstLine="0"/>
    </w:pPr>
  </w:style>
  <w:style w:type="paragraph" w:customStyle="1" w:styleId="XdTail">
    <w:name w:val="Xd Tail"/>
    <w:basedOn w:val="Normal"/>
    <w:qFormat/>
    <w:pPr>
      <w:spacing w:before="0" w:after="0" w:line="320"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0" w:lineRule="exact"/>
      <w:ind w:left="720" w:hanging="720"/>
    </w:pPr>
  </w:style>
  <w:style w:type="paragraph" w:customStyle="1" w:styleId="XdList2">
    <w:name w:val="XdList 2"/>
    <w:basedOn w:val="Normal"/>
    <w:qFormat/>
    <w:pPr>
      <w:spacing w:before="0" w:after="0" w:line="640" w:lineRule="exact"/>
      <w:ind w:left="1440" w:hanging="720"/>
    </w:pPr>
  </w:style>
  <w:style w:type="paragraph" w:customStyle="1" w:styleId="XdList3">
    <w:name w:val="XdList 3"/>
    <w:basedOn w:val="Normal"/>
    <w:qFormat/>
    <w:pPr>
      <w:spacing w:before="0" w:after="0" w:line="640" w:lineRule="exact"/>
      <w:ind w:left="2160" w:hanging="720"/>
    </w:pPr>
  </w:style>
  <w:style w:type="paragraph" w:customStyle="1" w:styleId="XdTailList1">
    <w:name w:val="XdTailList 1"/>
    <w:basedOn w:val="Normal"/>
    <w:qFormat/>
    <w:pPr>
      <w:spacing w:before="0" w:after="0" w:line="320" w:lineRule="exact"/>
      <w:ind w:left="720" w:hanging="720"/>
    </w:pPr>
  </w:style>
  <w:style w:type="paragraph" w:customStyle="1" w:styleId="XdTailList2">
    <w:name w:val="XdTailList 2"/>
    <w:basedOn w:val="Normal"/>
    <w:qFormat/>
    <w:pPr>
      <w:spacing w:before="0" w:after="0" w:line="320" w:lineRule="exact"/>
      <w:ind w:left="1440" w:hanging="720"/>
    </w:pPr>
  </w:style>
  <w:style w:type="paragraph" w:customStyle="1" w:styleId="XdTailList3">
    <w:name w:val="XdTailList 3"/>
    <w:basedOn w:val="Normal"/>
    <w:qFormat/>
    <w:pPr>
      <w:spacing w:before="0" w:after="0" w:line="320" w:lineRule="exact"/>
      <w:ind w:left="2160" w:hanging="720"/>
    </w:pPr>
  </w:style>
  <w:style w:type="paragraph" w:customStyle="1" w:styleId="XdQuoteList1">
    <w:name w:val="Xd Quote List 1"/>
    <w:basedOn w:val="Normal"/>
    <w:qFormat/>
    <w:pPr>
      <w:spacing w:before="0" w:after="0" w:line="320" w:lineRule="exact"/>
      <w:ind w:left="1440" w:right="720" w:hanging="720"/>
    </w:pPr>
  </w:style>
  <w:style w:type="paragraph" w:customStyle="1" w:styleId="XdQuoteList2">
    <w:name w:val="Xd Quote List 2"/>
    <w:basedOn w:val="Normal"/>
    <w:qFormat/>
    <w:pPr>
      <w:spacing w:before="0" w:after="0" w:line="320" w:lineRule="exact"/>
      <w:ind w:left="2160" w:right="720" w:hanging="720"/>
    </w:pPr>
  </w:style>
  <w:style w:type="paragraph" w:customStyle="1" w:styleId="XdQuoteList3">
    <w:name w:val="Xd Quote List 3"/>
    <w:basedOn w:val="Normal"/>
    <w:qFormat/>
    <w:pPr>
      <w:spacing w:before="0" w:after="0" w:line="320"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 Type="http://schemas.openxmlformats.org/officeDocument/2006/relationships/header" Id="rIdXdPleading" Target="hd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