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BAP No. 00-0000</w:t>
      </w:r>
    </w:p>
    <w:p>
      <w:pPr>
        <w:spacing w:before="0" w:after="0" w:line="1326" w:lineRule="exact"/>
        <w:ind w:firstLine="0"/>
      </w:pPr>
    </w:p>
    <w:p>
      <w:pPr>
        <w:pStyle w:val="Centered"/>
      </w:pPr>
      <w:r>
        <w:t xml:space="preserve">UNITED STATES BANKRUPTCY APPELLATE PANEL</w:t>
      </w:r>
    </w:p>
    <w:p>
      <w:pPr>
        <w:pStyle w:val="Centered"/>
      </w:pPr>
      <w:r>
        <w:t xml:space="preserve">FOR THE FIRST CIRCUIT</w:t>
      </w:r>
    </w:p>
    <w:p>
      <w:pPr>
        <w:spacing w:before="0" w:after="0" w:line="902" w:lineRule="exact"/>
        <w:ind w:firstLine="0"/>
      </w:pPr>
    </w:p>
    <w:p>
      <w:pPr>
        <w:pStyle w:val="Centered"/>
      </w:pPr>
      <w:r>
        <w:t xml:space="preserve">Example Creditor, Inc.</w:t>
      </w:r>
    </w:p>
    <w:p>
      <w:pPr>
        <w:pStyle w:val="Centered"/>
      </w:pPr>
      <w:r>
        <w:t xml:space="preserve">Appellant,</w:t>
      </w:r>
    </w:p>
    <w:p>
      <w:pPr>
        <w:spacing w:before="0" w:after="0" w:line="112" w:lineRule="exact"/>
        <w:ind w:firstLine="0"/>
      </w:pPr>
    </w:p>
    <w:p>
      <w:pPr>
        <w:pStyle w:val="Centered"/>
      </w:pPr>
      <w:r>
        <w:t xml:space="preserve">v.</w:t>
      </w:r>
    </w:p>
    <w:p>
      <w:pPr>
        <w:spacing w:before="0" w:after="0" w:line="112" w:lineRule="exact"/>
        <w:ind w:firstLine="0"/>
      </w:pPr>
    </w:p>
    <w:p>
      <w:pPr>
        <w:pStyle w:val="Centered"/>
      </w:pPr>
      <w:r>
        <w:t xml:space="preserve">Sample Debtor,</w:t>
      </w:r>
      <w:r>
        <w:t xml:space="preserve"> </w:t>
      </w:r>
      <w:r>
        <w:rPr>
          <w:i/>
          <w:iCs/>
        </w:rPr>
        <w:t xml:space="preserve">et al.</w:t>
      </w:r>
    </w:p>
    <w:p>
      <w:pPr>
        <w:pStyle w:val="Centered"/>
      </w:pPr>
      <w:r>
        <w:t xml:space="preserve">Appellees.</w:t>
      </w:r>
    </w:p>
    <w:p>
      <w:pPr>
        <w:spacing w:before="0" w:after="0" w:line="902" w:lineRule="exact"/>
        <w:ind w:firstLine="0"/>
      </w:pPr>
    </w:p>
    <w:p>
      <w:pPr>
        <w:pStyle w:val="Centered"/>
      </w:pPr>
      <w:r>
        <w:t xml:space="preserve">On Appeal from the United States Bankruptcy Court for the District of Example</w:t>
      </w:r>
    </w:p>
    <w:p>
      <w:pPr>
        <w:pStyle w:val="Centered"/>
      </w:pPr>
      <w:r>
        <w:t xml:space="preserve">Bankruptcy Case No. 00-00000</w:t>
      </w:r>
    </w:p>
    <w:p>
      <w:pPr>
        <w:spacing w:before="0" w:after="0" w:line="1194" w:lineRule="exact"/>
        <w:ind w:firstLine="0"/>
      </w:pPr>
    </w:p>
    <w:p>
      <w:pPr>
        <w:pStyle w:val="Centered"/>
      </w:pPr>
      <w:r>
        <w:rPr>
          <w:b/>
          <w:bCs/>
        </w:rPr>
        <w:t xml:space="preserve">REPLY BRIEF FOR APPELLANT</w:t>
      </w:r>
    </w:p>
    <w:p>
      <w:pPr>
        <w:spacing w:before="0" w:after="0" w:line="1194" w:lineRule="exact"/>
        <w:ind w:firstLine="0"/>
      </w:pPr>
    </w:p>
    <w:p>
      <w:pPr>
        <w:pStyle w:val="CoverLeft"/>
      </w:pPr>
      <w:r>
        <w:rPr>
          <w:b/>
          <w:bCs/>
        </w:rPr>
        <w:t xml:space="preserve">JANE A. EXAMPLE</w:t>
      </w:r>
    </w:p>
    <w:p>
      <w:pPr>
        <w:pStyle w:val="CoverLeft"/>
      </w:pPr>
      <w:r>
        <w:rPr>
          <w:i/>
          <w:iCs/>
        </w:rPr>
        <w:t xml:space="preserve">Example Law Office</w:t>
      </w:r>
    </w:p>
    <w:p>
      <w:pPr>
        <w:pStyle w:val="CoverLeft"/>
      </w:pPr>
      <w:r>
        <w:rPr>
          <w:i/>
          <w:iCs/>
        </w:rPr>
        <w:t xml:space="preserve">1 Sample Street</w:t>
      </w:r>
    </w:p>
    <w:p>
      <w:pPr>
        <w:pStyle w:val="CoverLeft"/>
      </w:pPr>
      <w:r>
        <w:rPr>
          <w:i/>
          <w:iCs/>
        </w:rPr>
        <w:t xml:space="preserve">Boston, MA 02100</w:t>
      </w:r>
    </w:p>
    <w:p>
      <w:pPr>
        <w:spacing w:before="0" w:after="0" w:line="90" w:lineRule="exact"/>
        <w:ind w:firstLine="0"/>
      </w:pPr>
    </w:p>
    <w:p>
      <w:pPr>
        <w:pStyle w:val="CoverLeft"/>
        <w:sectPr>
          <w:pgSz w:w="12240" w:h="15840"/>
          <w:pgMar w:top="1440" w:right="1440" w:bottom="1440" w:left="1440" w:header="720" w:footer="720" w:gutter="0"/>
        </w:sectPr>
      </w:pPr>
      <w:r>
        <w:t xml:space="preserve">Telephone: (000) 000-0000</w:t>
      </w:r>
    </w:p>
    <w:p>
      <w:pPr>
        <w:pStyle w:val="FrontTitle"/>
      </w:pPr>
      <w:r>
        <w:t xml:space="preserve">Table of Contents</w:t>
      </w:r>
    </w:p>
    <w:p>
      <w:pPr>
        <w:pStyle w:val="TOC1"/>
      </w:pPr>
      <w:r>
        <w:fldChar w:fldCharType="begin"/>
      </w:r>
      <w:r>
        <w:instrText xml:space="preserve"> TOC \o "1-4" \h \z \u </w:instrText>
      </w:r>
      <w:r>
        <w:fldChar w:fldCharType="separate"/>
      </w:r>
      <w:r>
        <w:t xml:space="preserve">Argument</w:t>
      </w:r>
    </w:p>
    <w:p>
      <w:pPr>
        <w:pStyle w:val="TOC2"/>
      </w:pPr>
      <w:r>
        <w:t xml:space="preserve">I. The Answering Brief Concedes the Recording Issue</w:t>
      </w:r>
    </w:p>
    <w:p>
      <w:pPr>
        <w:pStyle w:val="TOC2"/>
      </w:pPr>
      <w:r>
        <w:t xml:space="preserve">II. The Valuation Question Turns on the Excluded Exhibit</w:t>
      </w:r>
    </w:p>
    <w:p>
      <w:pPr>
        <w:pStyle w:val="TOC1"/>
      </w:pPr>
      <w:r>
        <w:t xml:space="preserve">Conclusion</w:t>
      </w:r>
      <w:r>
        <w:fldChar w:fldCharType="end"/>
      </w:r>
    </w:p>
    <w:p>
      <w:r>
        <w:br w:type="page"/>
      </w:r>
    </w:p>
    <w:p>
      <w:pPr>
        <w:pStyle w:val="FrontTitle"/>
      </w:pPr>
      <w:r>
        <w:t xml:space="preserve">Table of Authorities</w:t>
      </w:r>
    </w:p>
    <w:p>
      <w:pPr>
        <w:pStyle w:val="TOAHead"/>
      </w:pPr>
      <w:r>
        <w:t xml:space="preserve">Cases</w:t>
      </w:r>
    </w:p>
    <w:p>
      <w:pPr>
        <w:pStyle w:val="TOAEntry"/>
      </w:pPr>
      <w:r>
        <w:rPr>
          <w:i/>
          <w:iCs/>
        </w:rPr>
        <w:t xml:space="preserve">Gamma Trust v. Delta Estate</w:t>
      </w:r>
      <w:r>
        <w:t xml:space="preserve">, 300 F.3d 30 (1st Cir. 2002)</w:t>
      </w:r>
    </w:p>
    <w:p>
      <w:pPr>
        <w:pStyle w:val="TOAHead"/>
      </w:pPr>
      <w:r>
        <w:t xml:space="preserve">Statutes</w:t>
      </w:r>
    </w:p>
    <w:p>
      <w:pPr>
        <w:pStyle w:val="TOAEntry"/>
      </w:pPr>
      <w:r>
        <w:t xml:space="preserve">11 U.S.C. § 506(a)</w:t>
      </w:r>
    </w:p>
    <w:p>
      <w:r>
        <w:br w:type="page"/>
      </w:r>
    </w:p>
    <w:bookmarkStart w:id="22" w:name="argument"/>
    <w:p>
      <w:pPr>
        <w:pStyle w:val="Heading1"/>
      </w:pPr>
      <w:r>
        <w:t xml:space="preserve">Argument</w:t>
      </w:r>
    </w:p>
    <w:bookmarkStart w:id="20" w:name="X7fe24bcf7ace2644b7e31d8ac2cfd4f3a5ab350"/>
    <w:p>
      <w:pPr>
        <w:pStyle w:val="Heading2"/>
      </w:pPr>
      <w:r>
        <w:t xml:space="preserve">I. The Answering Brief Concedes the Recording Issue</w:t>
      </w:r>
    </w:p>
    <w:p>
      <w:pPr>
        <w:pStyle w:val="FirstParagraph"/>
      </w:pPr>
      <w:r>
        <w:t xml:space="preserve">Appellees do not dispute that the financing statement identified the collateral by type. They argue only that the Debtor’s relocation of the equipment ended perfection. That argument has no support in the statute. A relocation within the same jurisdiction does not require a new filing, as</w:t>
      </w:r>
      <w:r>
        <w:t xml:space="preserve"> </w:t>
      </w:r>
      <w:r>
        <w:rPr>
          <w:i/>
          <w:iCs/>
        </w:rPr>
        <w:t xml:space="preserve">Gamma Trust v. Delta Estate</w:t>
      </w:r>
      <w:r>
        <w:t xml:space="preserve">, 300 F.3d 30, 38 (1st Cir. 2002) explains.</w:t>
      </w:r>
    </w:p>
    <w:bookmarkEnd w:id="20"/>
    <w:bookmarkStart w:id="21" w:name="X2663b71651baee7af2d58e649d0f0d11d570594"/>
    <w:p>
      <w:pPr>
        <w:pStyle w:val="Heading2"/>
      </w:pPr>
      <w:r>
        <w:t xml:space="preserve">II. The Valuation Question Turns on the Excluded Exhibit</w:t>
      </w:r>
    </w:p>
    <w:p>
      <w:pPr>
        <w:pStyle w:val="FirstParagraph"/>
      </w:pPr>
      <w:r>
        <w:t xml:space="preserve">Appellees say the court relied on both witnesses. The order says otherwise: it adopts a figure between the two witnesses’ numbers without explaining how it reached that figure. App. at 27. Under 11 U.S.C. § 506(a), the court must value the collateral, and an unexplained midpoint does not permit review.</w:t>
      </w:r>
    </w:p>
    <w:bookmarkEnd w:id="21"/>
    <w:bookmarkEnd w:id="22"/>
    <w:bookmarkStart w:id="23" w:name="conclusion"/>
    <w:p>
      <w:pPr>
        <w:pStyle w:val="Heading1"/>
      </w:pPr>
      <w:r>
        <w:t xml:space="preserve">Conclusion</w:t>
      </w:r>
    </w:p>
    <w:p>
      <w:pPr>
        <w:pStyle w:val="FirstParagraph"/>
      </w:pPr>
      <w:r>
        <w:t xml:space="preserve">The order should be vacated and the matter remanded for valuation.</w:t>
      </w:r>
    </w:p>
    <w:p>
      <w:pPr>
        <w:spacing w:before="0" w:after="0" w:line="336" w:lineRule="exact"/>
        <w:ind w:firstLine="0"/>
      </w:pPr>
    </w:p>
    <w:p>
      <w:pPr>
        <w:pStyle w:val="Signature"/>
      </w:pPr>
      <w:r>
        <w:t xml:space="preserve">Respectfully submitted,</w:t>
      </w:r>
    </w:p>
    <w:p>
      <w:pPr>
        <w:pStyle w:val="Signature"/>
      </w:pPr>
      <w:r>
        <w:t xml:space="preserve">February 15, 2030</w:t>
      </w:r>
    </w:p>
    <w:p>
      <w:pPr>
        <w:keepNext/>
        <w:spacing w:before="0" w:after="0" w:line="224" w:lineRule="exact"/>
        <w:ind w:firstLine="0"/>
      </w:pPr>
    </w:p>
    <w:p>
      <w:pPr>
        <w:pStyle w:val="Signature"/>
      </w:pPr>
      <w:r>
        <w:t xml:space="preserve">s/ JANE A. EXAMPLE</w:t>
      </w:r>
    </w:p>
    <w:p>
      <w:pPr>
        <w:pStyle w:val="Signature"/>
      </w:pPr>
      <w:r>
        <w:rPr>
          <w:i/>
          <w:iCs/>
        </w:rPr>
        <w:t xml:space="preserve">Counsel for Appellant</w:t>
      </w:r>
    </w:p>
    <w:p>
      <w:pPr>
        <w:pStyle w:val="Signature"/>
      </w:pPr>
      <w:r>
        <w:rPr>
          <w:i/>
          <w:iCs/>
        </w:rPr>
        <w:t xml:space="preserve">1 Sample Street</w:t>
      </w:r>
    </w:p>
    <w:p>
      <w:pPr>
        <w:pStyle w:val="Signature"/>
      </w:pPr>
      <w:r>
        <w:rPr>
          <w:i/>
          <w:iCs/>
        </w:rPr>
        <w:t xml:space="preserve">Boston, MA 02100</w:t>
      </w:r>
    </w:p>
    <w:p>
      <w:pPr>
        <w:pStyle w:val="Signature"/>
      </w:pPr>
      <w:r>
        <w:rPr>
          <w:i/>
          <w:iCs/>
        </w:rPr>
        <w:t xml:space="preserve">(000) 000-0000</w:t>
      </w:r>
    </w:p>
    <w:p>
      <w:pPr>
        <w:pStyle w:val="SignatureEnd"/>
      </w:pPr>
      <w:r>
        <w:rPr>
          <w:i/>
          <w:iCs/>
        </w:rPr>
        <w:t xml:space="preserve">jane@example.invalid</w:t>
      </w:r>
    </w:p>
    <w:p>
      <w:r>
        <w:br w:type="page"/>
      </w:r>
    </w:p>
    <w:p>
      <w:pPr>
        <w:pStyle w:val="FrontTitle"/>
      </w:pPr>
      <w:r>
        <w:t xml:space="preserve">Statement Regarding Related Cases</w:t>
      </w:r>
    </w:p>
    <w:p>
      <w:pPr>
        <w:pStyle w:val="FrontFirst"/>
      </w:pPr>
      <w:r>
        <w:t xml:space="preserve">1st Cir. BAP L.R. 8014-1(a)(2)</w:t>
      </w:r>
    </w:p>
    <w:p>
      <w:pPr>
        <w:pStyle w:val="Single"/>
      </w:pPr>
      <w:r>
        <w:rPr>
          <w:rFonts w:ascii="DejaVu Sans" w:hAnsi="DejaVu Sans" w:eastAsia="DejaVu Sans" w:cs="DejaVu Sans"/>
        </w:rPr>
        <w:t xml:space="preserve">☐</w:t>
      </w:r>
      <w:r>
        <w:t xml:space="preserve"> </w:t>
      </w:r>
      <w:r>
        <w:t xml:space="preserve">The undersigned certifies that the following are known related cases and appeals:</w:t>
      </w:r>
    </w:p>
    <w:p>
      <w:pPr>
        <w:pStyle w:val="Single"/>
      </w:pPr>
      <w:r>
        <w:rPr>
          <w:rFonts w:ascii="DejaVu Sans" w:hAnsi="DejaVu Sans" w:eastAsia="DejaVu Sans" w:cs="DejaVu Sans"/>
        </w:rPr>
        <w:t xml:space="preserve">☒</w:t>
      </w:r>
      <w:r>
        <w:t xml:space="preserve"> </w:t>
      </w:r>
      <w:r>
        <w:t xml:space="preserve">The undersigned certifies that the undersigned knows of no related cases or appeals as that term is defined in 1st Cir. BAP L.R. 8014-1(a)(2)(A).</w:t>
      </w:r>
    </w:p>
    <w:p>
      <w:r>
        <w:br w:type="page"/>
      </w:r>
    </w:p>
    <w:p>
      <w:pPr>
        <w:pStyle w:val="FrontTitle"/>
      </w:pPr>
      <w:r>
        <w:t xml:space="preserve">Certificate of Compliance</w:t>
      </w:r>
    </w:p>
    <w:p>
      <w:pPr>
        <w:pStyle w:val="FrontFirst"/>
      </w:pPr>
      <w:r>
        <w:t xml:space="preserve">This brief complies with the type-volume limitation of Fed. R. Bankr. P. 8015(a)(7)(B) because it contains 136 words, excluding the parts of the brief exempted under Fed. R. Bankr. P. 8015(g).</w:t>
      </w:r>
    </w:p>
    <w:p>
      <w:pPr>
        <w:pStyle w:val="BodyIndent"/>
      </w:pPr>
      <w:r>
        <w:t xml:space="preserve">This brief complies with the typeface and type-style requirements of Fed. R. Bankr. P. 8015(a)(5) and (6) because it has been prepared in a proportionally spaced typeface, EB Garamond 14-point, using the vendored font.</w:t>
      </w:r>
    </w:p>
    <w:p>
      <w:pPr>
        <w:spacing w:before="0" w:after="0" w:line="336" w:lineRule="exact"/>
        <w:ind w:firstLine="0"/>
      </w:pPr>
    </w:p>
    <w:p>
      <w:pPr>
        <w:pStyle w:val="Signature"/>
      </w:pPr>
      <w:r>
        <w:t xml:space="preserve">s/ JANE A. EXAMPLE</w:t>
      </w:r>
    </w:p>
    <w:p>
      <w:pPr>
        <w:pStyle w:val="Signature"/>
      </w:pPr>
      <w:r>
        <w:rPr>
          <w:i/>
          <w:iCs/>
        </w:rPr>
        <w:t xml:space="preserve">Counsel for Appellant</w:t>
      </w:r>
    </w:p>
    <w:p>
      <w:pPr>
        <w:pStyle w:val="Signature"/>
      </w:pPr>
      <w:r>
        <w:t xml:space="preserve">Dated: February 15, 2030</w:t>
      </w:r>
    </w:p>
    <w:bookmarkEnd w:id="23"/>
    <w:sectPr>
      <w:footerReference r:id="rId9" w:type="default"/>
      <w:pgSz w:h="15840" w:w="12240"/>
      <w:pgMar w:bottom="1440" w:footer="720" w:gutter="0" w:header="720" w:left="1440" w:right="1440" w:top="1440"/>
      <w:pgNumType w:start="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8"/>
        <w:szCs w:val="28"/>
        <w:lang w:bidi="ar-SA" w:eastAsia="en-US" w:val="en-US"/>
      </w:rPr>
    </w:rPrDefault>
    <w:pPrDefault>
      <w:pPr>
        <w:spacing w:after="0" w:before="0" w:line="240" w:lineRule="auto"/>
      </w:pPr>
    </w:pPrDefault>
  </w:docDefaults>
  <w:style w:default="1" w:styleId="Normal" w:type="paragraph">
    <w:name w:val="Normal"/>
    <w:qFormat/>
    <w:pPr>
      <w:widowControl/>
      <w:spacing w:after="0" w:before="0" w:line="445" w:lineRule="exact"/>
    </w:pPr>
    <w:rPr>
      <w:rFonts w:ascii="EB Garamond" w:cs="EB Garamond" w:eastAsia="EB Garamond" w:hAnsi="EB Garamond"/>
      <w:color w:val="000000"/>
      <w:sz w:val="28"/>
      <w:szCs w:val="28"/>
    </w:rPr>
  </w:style>
  <w:style w:default="1" w:styleId="DefaultParagraphFont" w:type="character">
    <w:name w:val="Default Paragraph Font"/>
    <w:uiPriority w:val="1"/>
    <w:semiHidden/>
    <w:unhideWhenUsed/>
  </w:style>
  <w:style w:styleId="BodyText" w:type="paragraph">
    <w:name w:val="Body Text"/>
    <w:basedOn w:val="Normal"/>
    <w:qFormat/>
    <w:pPr>
      <w:ind w:firstLine="720"/>
      <w:jc w:val="left"/>
    </w:pPr>
  </w:style>
  <w:style w:styleId="FirstParagraph" w:type="paragraph">
    <w:name w:val="First Paragraph"/>
    <w:basedOn w:val="BodyText"/>
    <w:next w:val="BodyText"/>
    <w:qFormat/>
    <w:pPr>
      <w:ind w:firstLine="0"/>
    </w:pPr>
  </w:style>
  <w:style w:styleId="Compact" w:type="paragraph">
    <w:name w:val="Compact"/>
    <w:basedOn w:val="BodyText"/>
    <w:qFormat/>
    <w:pPr>
      <w:ind w:firstLine="0"/>
    </w:pPr>
  </w:style>
  <w:style w:styleId="BlockText" w:type="paragraph">
    <w:name w:val="Block Text"/>
    <w:basedOn w:val="Normal"/>
    <w:next w:val="BodyText"/>
    <w:qFormat/>
    <w:pPr>
      <w:spacing w:after="0" w:before="0" w:line="300" w:lineRule="exact"/>
      <w:ind w:firstLine="0" w:left="720" w:right="720"/>
    </w:pPr>
  </w:style>
  <w:style w:styleId="Heading1" w:type="paragraph">
    <w:name w:val="heading 1"/>
    <w:basedOn w:val="Normal"/>
    <w:next w:val="FirstParagraph"/>
    <w:qFormat/>
    <w:pPr>
      <w:keepNext/>
      <w:keepLines/>
      <w:spacing w:after="240" w:before="170" w:line="445" w:lineRule="exact"/>
      <w:ind w:firstLine="0"/>
      <w:jc w:val="center"/>
      <w:outlineLvl w:val="0"/>
    </w:pPr>
    <w:rPr>
      <w:b/>
      <w:bCs/>
      <w:caps/>
      <w:color w:val="000000"/>
      <w:sz w:val="39"/>
      <w:szCs w:val=" 39"/>
    </w:rPr>
  </w:style>
  <w:style w:styleId="Heading2" w:type="paragraph">
    <w:name w:val="heading 2"/>
    <w:basedOn w:val="Normal"/>
    <w:next w:val="FirstParagraph"/>
    <w:qFormat/>
    <w:pPr>
      <w:keepNext/>
      <w:keepLines/>
      <w:spacing w:after="240" w:before="170" w:line="445" w:lineRule="exact"/>
      <w:ind w:firstLine="0"/>
      <w:jc w:val="center"/>
      <w:outlineLvl w:val="1"/>
    </w:pPr>
    <w:rPr>
      <w:b/>
      <w:bCs/>
      <w:color w:val="000000"/>
      <w:sz w:val="34"/>
      <w:szCs w:val=" 34"/>
    </w:rPr>
  </w:style>
  <w:style w:styleId="Heading3" w:type="paragraph">
    <w:name w:val="heading 3"/>
    <w:basedOn w:val="Normal"/>
    <w:next w:val="FirstParagraph"/>
    <w:qFormat/>
    <w:pPr>
      <w:keepNext/>
      <w:keepLines/>
      <w:spacing w:after="200" w:before="170" w:line="445" w:lineRule="exact"/>
      <w:ind w:firstLine="0" w:left="0"/>
      <w:jc w:val="left"/>
      <w:outlineLvl w:val="2"/>
    </w:pPr>
    <w:rPr>
      <w:b/>
      <w:bCs/>
      <w:color w:val="000000"/>
      <w:sz w:val="28"/>
      <w:szCs w:val="28"/>
    </w:rPr>
  </w:style>
  <w:style w:styleId="Heading4" w:type="paragraph">
    <w:name w:val="heading 4"/>
    <w:basedOn w:val="Normal"/>
    <w:next w:val="FirstParagraph"/>
    <w:qFormat/>
    <w:pPr>
      <w:keepNext/>
      <w:keepLines/>
      <w:spacing w:after="120" w:before="160" w:line="445" w:lineRule="exact"/>
      <w:ind w:firstLine="0" w:left="0"/>
      <w:jc w:val="left"/>
      <w:outlineLvl w:val="3"/>
    </w:pPr>
    <w:rPr>
      <w:b/>
      <w:bCs/>
      <w:color w:val="000000"/>
      <w:sz w:val="28"/>
      <w:szCs w:val="28"/>
    </w:rPr>
  </w:style>
  <w:style w:styleId="Heading5" w:type="paragraph">
    <w:name w:val="heading 5"/>
    <w:basedOn w:val="Normal"/>
    <w:next w:val="FirstParagraph"/>
    <w:qFormat/>
    <w:pPr>
      <w:keepNext/>
      <w:keepLines/>
      <w:spacing w:after="120" w:before="160" w:line="445" w:lineRule="exact"/>
      <w:ind w:firstLine="0" w:left="0"/>
      <w:jc w:val="left"/>
      <w:outlineLvl w:val="4"/>
    </w:pPr>
    <w:rPr>
      <w:i/>
      <w:iCs/>
      <w:color w:val="000000"/>
      <w:sz w:val="28"/>
      <w:szCs w:val="28"/>
    </w:rPr>
  </w:style>
  <w:style w:styleId="FootnoteText" w:type="paragraph">
    <w:name w:val="footnote text"/>
    <w:basedOn w:val="Normal"/>
    <w:uiPriority w:val="99"/>
    <w:unhideWhenUsed/>
    <w:pPr>
      <w:spacing w:after="0" w:before="0" w:line="445" w:lineRule="exact"/>
      <w:ind w:firstLine="0"/>
    </w:pPr>
    <w:rPr>
      <w:sz w:val="28"/>
      <w:szCs w:val="28"/>
    </w:rPr>
  </w:style>
  <w:style w:styleId="FootnoteReference" w:type="character">
    <w:name w:val="footnote reference"/>
    <w:uiPriority w:val="99"/>
    <w:unhideWhenUsed/>
    <w:rPr>
      <w:vertAlign w:val="superscript"/>
    </w:rPr>
  </w:style>
  <w:style w:styleId="Hyperlink" w:type="character">
    <w:name w:val="Hyperlink"/>
    <w:uiPriority w:val="99"/>
    <w:unhideWhenUsed/>
    <w:rPr>
      <w:color w:val="000000"/>
    </w:rPr>
  </w:style>
  <w:style w:styleId="VerbatimChar" w:type="character">
    <w:name w:val="Verbatim Char"/>
    <w:rPr>
      <w:rFonts w:ascii="Liberation Mono" w:cs="Liberation Mono" w:hAnsi="Liberation Mono"/>
    </w:rPr>
  </w:style>
  <w:style w:styleId="Footer" w:type="paragraph">
    <w:name w:val="footer"/>
    <w:basedOn w:val="Normal"/>
    <w:uiPriority w:val="99"/>
    <w:unhideWhenUsed/>
    <w:pPr>
      <w:tabs>
        <w:tab w:pos="4680" w:val="center"/>
        <w:tab w:pos="9360" w:val="right"/>
      </w:tabs>
      <w:spacing w:after="0" w:before="0" w:line="240" w:lineRule="auto"/>
      <w:ind w:firstLine="0"/>
      <w:jc w:val="center"/>
    </w:pPr>
  </w:style>
  <w:style w:customStyle="1" w:styleId="Centered" w:type="paragraph">
    <w:name w:val="Centered"/>
    <w:basedOn w:val="Normal"/>
    <w:qFormat/>
    <w:pPr>
      <w:ind w:firstLine="0"/>
      <w:jc w:val="center"/>
    </w:pPr>
  </w:style>
  <w:style w:customStyle="1" w:styleId="CoverLeft" w:type="paragraph">
    <w:name w:val="CoverLeft"/>
    <w:basedOn w:val="Normal"/>
    <w:qFormat/>
    <w:pPr>
      <w:ind w:firstLine="0"/>
      <w:jc w:val="left"/>
    </w:pPr>
  </w:style>
  <w:style w:customStyle="1" w:styleId="Gap" w:type="paragraph">
    <w:name w:val="Gap"/>
    <w:basedOn w:val="Normal"/>
    <w:qFormat/>
    <w:pPr>
      <w:ind w:firstLine="0"/>
    </w:pPr>
  </w:style>
  <w:style w:customStyle="1" w:styleId="Single" w:type="paragraph">
    <w:name w:val="Single"/>
    <w:basedOn w:val="Normal"/>
    <w:qFormat/>
    <w:pPr>
      <w:ind w:firstLine="0"/>
    </w:pPr>
  </w:style>
  <w:style w:customStyle="1" w:styleId="FrontTitle" w:type="paragraph">
    <w:name w:val="FrontTitle"/>
    <w:basedOn w:val="Normal"/>
    <w:next w:val="BodyText"/>
    <w:qFormat/>
    <w:pPr>
      <w:keepNext/>
      <w:keepLines/>
      <w:spacing w:after="336" w:before="0" w:line="445" w:lineRule="exact"/>
      <w:ind w:firstLine="0"/>
      <w:jc w:val="center"/>
    </w:pPr>
    <w:rPr>
      <w:b/>
      <w:bCs/>
      <w:caps/>
    </w:rPr>
  </w:style>
  <w:style w:customStyle="1" w:styleId="Signature" w:type="paragraph">
    <w:name w:val="Signature"/>
    <w:basedOn w:val="Normal"/>
    <w:qFormat/>
    <w:pPr>
      <w:keepNext/>
      <w:keepLines/>
      <w:ind w:firstLine="0"/>
      <w:jc w:val="left"/>
    </w:pPr>
  </w:style>
  <w:style w:customStyle="1" w:styleId="BodyIndent" w:type="paragraph">
    <w:name w:val="BodyIndent"/>
    <w:basedOn w:val="BodyText"/>
    <w:qFormat/>
    <w:pPr>
      <w:ind w:firstLine="720"/>
    </w:pPr>
  </w:style>
  <w:style w:customStyle="1" w:styleId="SignatureEnd" w:type="paragraph">
    <w:name w:val="SignatureEnd"/>
    <w:basedOn w:val="Signature"/>
    <w:qFormat/>
    <w:pPr>
      <w:keepNext w:val="0"/>
    </w:pPr>
  </w:style>
  <w:style w:customStyle="1" w:styleId="FrontFirst" w:type="paragraph">
    <w:name w:val="FrontFirst"/>
    <w:basedOn w:val="BodyText"/>
    <w:qFormat/>
    <w:pPr>
      <w:ind w:firstLine="0"/>
    </w:pPr>
  </w:style>
  <w:style w:customStyle="1" w:styleId="CaseIndent" w:type="paragraph">
    <w:name w:val="CaseIndent"/>
    <w:basedOn w:val="Single"/>
    <w:qFormat/>
    <w:pPr>
      <w:ind w:firstLine="0" w:left="720"/>
    </w:pPr>
  </w:style>
  <w:style w:customStyle="1" w:styleId="TOAHead" w:type="paragraph">
    <w:name w:val="TOAHead"/>
    <w:basedOn w:val="Normal"/>
    <w:next w:val="TOAEntry"/>
    <w:qFormat/>
    <w:pPr>
      <w:keepNext/>
      <w:spacing w:after="0" w:before="200" w:line="445" w:lineRule="exact"/>
      <w:ind w:firstLine="0"/>
    </w:pPr>
    <w:rPr>
      <w:b/>
      <w:bCs/>
    </w:rPr>
  </w:style>
  <w:style w:customStyle="1" w:styleId="TOAEntry" w:type="paragraph">
    <w:name w:val="TOAEntry"/>
    <w:basedOn w:val="Normal"/>
    <w:qFormat/>
    <w:pPr>
      <w:spacing w:after="0" w:before="0" w:line="445" w:lineRule="exact"/>
      <w:ind w:firstLine="0" w:hanging="720" w:left="720"/>
    </w:pPr>
  </w:style>
  <w:style w:styleId="TOC1" w:type="paragraph">
    <w:name w:val="toc 1"/>
    <w:basedOn w:val="Normal"/>
    <w:next w:val="Normal"/>
    <w:uiPriority w:val="39"/>
    <w:unhideWhenUsed/>
    <w:pPr>
      <w:spacing w:after="0" w:before="0" w:line="445" w:lineRule="exact"/>
      <w:ind w:firstLine="0" w:left="0"/>
    </w:pPr>
  </w:style>
  <w:style w:styleId="TOC2" w:type="paragraph">
    <w:name w:val="toc 2"/>
    <w:basedOn w:val="Normal"/>
    <w:next w:val="Normal"/>
    <w:uiPriority w:val="39"/>
    <w:unhideWhenUsed/>
    <w:pPr>
      <w:spacing w:after="0" w:before="0" w:line="445" w:lineRule="exact"/>
      <w:ind w:firstLine="0" w:left="720"/>
    </w:pPr>
  </w:style>
  <w:style w:styleId="TOC3" w:type="paragraph">
    <w:name w:val="toc 3"/>
    <w:basedOn w:val="Normal"/>
    <w:next w:val="Normal"/>
    <w:uiPriority w:val="39"/>
    <w:unhideWhenUsed/>
    <w:pPr>
      <w:spacing w:after="0" w:before="0" w:line="445" w:lineRule="exact"/>
      <w:ind w:firstLine="0" w:left="1440"/>
    </w:pPr>
  </w:style>
  <w:style w:styleId="TOC4" w:type="paragraph">
    <w:name w:val="toc 4"/>
    <w:basedOn w:val="Normal"/>
    <w:next w:val="Normal"/>
    <w:uiPriority w:val="39"/>
    <w:unhideWhenUsed/>
    <w:pPr>
      <w:spacing w:after="0" w:before="0" w:line="445" w:lineRule="exact"/>
      <w:ind w:firstLine="0" w:left="2160"/>
    </w:pPr>
  </w:style>
  <w:style w:styleId="Caption" w:type="paragraph">
    <w:name w:val="caption"/>
    <w:basedOn w:val="Normal"/>
    <w:qFormat/>
    <w:pPr>
      <w:ind w:firstLine="0"/>
    </w:p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 w:type="table">
    <w:name w:val="Table"/>
    <w:basedOn w:val="TableNormal"/>
    <w:tblPr>
      <w:tblBorders>
        <w:top w:val="nil"/>
        <w:left w:val="nil"/>
        <w:bottom w:val="nil"/>
        <w:right w:val="nil"/>
        <w:insideH w:val="nil"/>
        <w:insideV w:val="nil"/>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2026-10-15T13:12:51Z</dcterms:created>
  <dcterms:modified xsi:type="dcterms:W3CDTF">2026-10-15T13:12:51Z</dcterms:modified>
</cp:coreProperties>
</file>

<file path=docProps/custom.xml><?xml version="1.0" encoding="utf-8"?>
<Properties xmlns="http://schemas.openxmlformats.org/officeDocument/2006/custom-properties" xmlns:vt="http://schemas.openxmlformats.org/officeDocument/2006/docPropsVTypes"/>
</file>