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120"/>
      </w:pPr>
      <w:r>
        <w:rPr>
          <w:b/>
        </w:rPr>
        <w:t xml:space="preserve">IN THE UNITED STATES DISTRICT COURT</w:t>
      </w:r>
    </w:p>
    <w:p>
      <w:pPr>
        <w:pStyle w:val="Centered"/>
        <w:spacing w:before="0" w:after="120"/>
      </w:pPr>
      <w:r>
        <w:rPr>
          <w:b/>
        </w:rPr>
        <w:t xml:space="preserve">FOR THE NORTHERN DISTRICT OF TEXAS</w:t>
      </w:r>
    </w:p>
    <w:p>
      <w:pPr>
        <w:pStyle w:val="Centered"/>
        <w:spacing w:before="0" w:after="480"/>
      </w:pPr>
      <w:r>
        <w:rPr>
          <w:b/>
        </w:rPr>
        <w:t xml:space="preserve">DALLAS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576"/>
        <w:gridCol w:w="3600"/>
      </w:tblGrid>
      <w:tr>
        <w:trPr>
          <w:cantSplit/>
        </w:trPr>
        <w:tc>
          <w:tcPr>
            <w:tcW w:w="5184" w:type="dxa"/>
          </w:tcPr>
          <w:p>
            <w:pPr>
              <w:pStyle w:val="Single"/>
              <w:spacing w:before="0" w:after="120"/>
            </w:pPr>
            <w:r>
              <w:t xml:space="preserve">ELI</w:t>
            </w:r>
            <w:r>
              <w:t xml:space="preserve"> </w:t>
            </w:r>
            <w:r>
              <w:t xml:space="preserve">LILLY</w:t>
            </w:r>
            <w:r>
              <w:t xml:space="preserve"> </w:t>
            </w:r>
            <w:r>
              <w:t xml:space="preserve">AND</w:t>
            </w:r>
            <w:r>
              <w:t xml:space="preserve"> </w:t>
            </w:r>
            <w:r>
              <w:t xml:space="preserve">COMPANY,</w:t>
            </w:r>
          </w:p>
        </w:tc>
        <w:tc>
          <w:tcPr>
            <w:tcW w:w="576" w:type="dxa"/>
          </w:tcPr>
          <w:p>
            <w:pPr>
              <w:pStyle w:val="Centered"/>
              <w:spacing w:before="0" w:after="120"/>
            </w:pPr>
            <w:r>
              <w:t xml:space="preserve">§</w:t>
            </w:r>
          </w:p>
        </w:tc>
        <w:tc>
          <w:tcPr>
            <w:tcW w:w="3600" w:type="dxa"/>
          </w:tcPr>
          <w:p>
            <w:pPr>
              <w:pStyle w:val="Single"/>
              <w:spacing w:before="0" w:after="120"/>
            </w:pPr>
          </w:p>
        </w:tc>
      </w:tr>
      <w:tr>
        <w:trPr>
          <w:cantSplit/>
        </w:trPr>
        <w:tc>
          <w:tcPr>
            <w:tcW w:w="5184" w:type="dxa"/>
          </w:tcPr>
          <w:p>
            <w:pPr>
              <w:pStyle w:val="Single"/>
              <w:spacing w:before="0" w:after="120"/>
            </w:pPr>
            <w:r>
              <w:t xml:space="preserve">Plaintiff,</w:t>
            </w:r>
          </w:p>
        </w:tc>
        <w:tc>
          <w:tcPr>
            <w:tcW w:w="576" w:type="dxa"/>
          </w:tcPr>
          <w:p>
            <w:pPr>
              <w:pStyle w:val="Centered"/>
              <w:spacing w:before="0" w:after="120"/>
            </w:pPr>
            <w:r>
              <w:t xml:space="preserve">§</w:t>
            </w:r>
          </w:p>
        </w:tc>
        <w:tc>
          <w:tcPr>
            <w:tcW w:w="3600" w:type="dxa"/>
          </w:tcPr>
          <w:p>
            <w:pPr>
              <w:pStyle w:val="Single"/>
              <w:spacing w:before="0" w:after="120"/>
            </w:pPr>
            <w:r>
              <w:t xml:space="preserve">CIVIL ACTION NO. 3:26-cv-03514</w:t>
            </w:r>
          </w:p>
        </w:tc>
      </w:tr>
      <w:tr>
        <w:trPr>
          <w:cantSplit/>
        </w:trPr>
        <w:tc>
          <w:tcPr>
            <w:tcW w:w="5184" w:type="dxa"/>
          </w:tcPr>
          <w:p>
            <w:pPr>
              <w:pStyle w:val="Single"/>
              <w:spacing w:before="0" w:after="120"/>
            </w:pPr>
            <w:r>
              <w:t xml:space="preserve">v.</w:t>
            </w:r>
          </w:p>
        </w:tc>
        <w:tc>
          <w:tcPr>
            <w:tcW w:w="576" w:type="dxa"/>
          </w:tcPr>
          <w:p>
            <w:pPr>
              <w:pStyle w:val="Centered"/>
              <w:spacing w:before="0" w:after="120"/>
            </w:pPr>
            <w:r>
              <w:t xml:space="preserve">§</w:t>
            </w:r>
          </w:p>
        </w:tc>
        <w:tc>
          <w:tcPr>
            <w:tcW w:w="3600" w:type="dxa"/>
          </w:tcPr>
          <w:p>
            <w:pPr>
              <w:pStyle w:val="Single"/>
              <w:spacing w:before="0" w:after="120"/>
            </w:pPr>
            <w:r>
              <w:rPr>
                <w:b/>
              </w:rPr>
              <w:t xml:space="preserve">JURY TRIAL DEMANDED</w:t>
            </w:r>
          </w:p>
        </w:tc>
      </w:tr>
      <w:tr>
        <w:trPr>
          <w:cantSplit/>
        </w:trPr>
        <w:tc>
          <w:tcPr>
            <w:tcW w:w="5184" w:type="dxa"/>
          </w:tcPr>
          <w:p>
            <w:pPr>
              <w:pStyle w:val="Single"/>
              <w:spacing w:before="0" w:after="120"/>
            </w:pPr>
            <w:r>
              <w:t xml:space="preserve">WILLIAM</w:t>
            </w:r>
            <w:r>
              <w:t xml:space="preserve"> </w:t>
            </w:r>
            <w:r>
              <w:t xml:space="preserve">“IAN”</w:t>
            </w:r>
            <w:r>
              <w:t xml:space="preserve"> </w:t>
            </w:r>
            <w:r>
              <w:t xml:space="preserve">BROWN,</w:t>
            </w:r>
            <w:r>
              <w:t xml:space="preserve"> </w:t>
            </w:r>
            <w:r>
              <w:t xml:space="preserve">d/b/a</w:t>
            </w:r>
            <w:r>
              <w:t xml:space="preserve"> </w:t>
            </w:r>
            <w:r>
              <w:t xml:space="preserve">LIVEWELL</w:t>
            </w:r>
            <w:r>
              <w:t xml:space="preserve"> </w:t>
            </w:r>
            <w:r>
              <w:t xml:space="preserve">PEPTIDES,</w:t>
            </w:r>
          </w:p>
        </w:tc>
        <w:tc>
          <w:tcPr>
            <w:tcW w:w="576" w:type="dxa"/>
          </w:tcPr>
          <w:p>
            <w:pPr>
              <w:pStyle w:val="Centered"/>
              <w:spacing w:before="0" w:after="120"/>
            </w:pPr>
            <w:r>
              <w:t xml:space="preserve">§</w:t>
            </w:r>
          </w:p>
        </w:tc>
        <w:tc>
          <w:tcPr>
            <w:tcW w:w="3600" w:type="dxa"/>
          </w:tcPr>
          <w:p>
            <w:pPr>
              <w:pStyle w:val="Single"/>
              <w:spacing w:before="0" w:after="120"/>
            </w:pPr>
          </w:p>
        </w:tc>
      </w:tr>
      <w:tr>
        <w:trPr>
          <w:cantSplit/>
        </w:trPr>
        <w:tc>
          <w:tcPr>
            <w:tcW w:w="5184" w:type="dxa"/>
          </w:tcPr>
          <w:p>
            <w:pPr>
              <w:pStyle w:val="Single"/>
              <w:spacing w:before="0" w:after="120"/>
            </w:pPr>
            <w:r>
              <w:t xml:space="preserve">Defendant.</w:t>
            </w:r>
          </w:p>
        </w:tc>
        <w:tc>
          <w:tcPr>
            <w:tcW w:w="576" w:type="dxa"/>
          </w:tcPr>
          <w:p>
            <w:pPr>
              <w:pStyle w:val="Centered"/>
              <w:spacing w:before="0" w:after="120"/>
            </w:pPr>
            <w:r>
              <w:t xml:space="preserve">§</w:t>
            </w:r>
          </w:p>
        </w:tc>
        <w:tc>
          <w:tcPr>
            <w:tcW w:w="3600" w:type="dxa"/>
          </w:tcPr>
          <w:p>
            <w:pPr>
              <w:pStyle w:val="Single"/>
              <w:spacing w:before="0" w:after="120"/>
            </w:pPr>
          </w:p>
        </w:tc>
      </w:tr>
    </w:tbl>
    <w:p>
      <w:pPr>
        <w:pStyle w:val="Centered"/>
        <w:spacing w:before="480" w:after="480"/>
      </w:pPr>
      <w:r>
        <w:rPr>
          <w:b/>
        </w:rPr>
        <w:t xml:space="preserve">COMPLAINT</w:t>
      </w:r>
    </w:p>
    <w:p>
      <w:pPr>
        <w:pStyle w:val="FirstParagraph"/>
      </w:pPr>
      <w:r>
        <w:t xml:space="preserve">1. Defendant William “Ian” Brown, d/b/a LiveWell Peptides (“LiveWell”) claims to be a Dallas-based online seller of purportedly “research use only” products. In reality, LiveWell is selling illegal drugs to consumers and profiting from it. LiveWell markets and sells weight-management products it claims contain retatrutide, an investigational molecule developed by Plaintiff Eli Lilly and Company (“Lilly”) for use as a prescription medicine. Neither the U.S. Food and Drug Administration (“FDA”) nor any other regulatory agency in the world has approved a medicine containing retatrutide for any use. And despite the pretext LiveWell uses, the substance it sells is not a chemical intended for research use but instead a drug it intends and sells for human use—making LiveWell’s product an illegal drug. Retatrutide cannot legally be sold for human use to anyone, anywhere, for any reason. Lilly brings this action to stop LiveWell’s conduct—conduct that harms both consumers and Lilly.</w:t>
      </w:r>
    </w:p>
    <w:p>
      <w:pPr>
        <w:pStyle w:val="BodyText"/>
      </w:pPr>
      <w:r>
        <w:t xml:space="preserve">2. The American prescription drug market is built on a fundamental premise: before any drug can be sold to patients, FDA must find it to be safe and effective through rigorous clinical testing and review of scientific evidence. Congress and the states developed this system of pre-market review over time after Americans were repeatedly and regularly harmed by unregulated, dangerous products sold as medicine. In fact, the Food, Drug &amp; Cosmetic Act’s (“FDCA”) requirement of rigorous clinical data supporting both safety and effectiveness before a drug is marketed to Americans traces directly to severe cases of patient death and harm from unapproved drugs sold by unscrupulous sellers.</w:t>
      </w:r>
    </w:p>
    <w:p>
      <w:pPr>
        <w:pStyle w:val="BodyText"/>
      </w:pPr>
      <w:r>
        <w:t xml:space="preserve">3. Even after the laws passed, unapproved drugs illegally sold as medicine have caused hundreds of deaths. LiveWell is engaged in the same type of conduct. In selling its illegal drugs under a false pretext, LiveWell mocks the safety guarantees imposed by Congress and the states, flouts drug-regulatory standards, and exploits the clinical trial data from investigational medicines that Lilly and others have developed.</w:t>
      </w:r>
    </w:p>
    <w:p>
      <w:pPr>
        <w:pStyle w:val="BodyText"/>
      </w:pPr>
      <w:r>
        <w:t xml:space="preserve">4. Lilly’s Phase 3 clinical trials have produced powerful data, including a recent trial that showed retatrutide helped adults living with obesity lose an average of approximately 70 pounds over 80 weeks at the highest dose. But retatrutide is still an investigational molecule, and Lilly has not finished its clinical trials or submitted a final data package to FDA to establish the safety and effectiveness of any retatrutide medicine—nor has any other manufacturer—and FDA has not approved it. So, right now, there is no approved product containing retatrutide that has been proven safe and effective or authorized for human use. Accordingly, retatrutide is legally available only under strict protocols to select patients as an investigational new drug. No other lawful access to any retatrutide product for human use exists. The law is therefore clear and categorical: no drug containing retatrutide may be sold to consumers. Period.</w:t>
      </w:r>
    </w:p>
    <w:p>
      <w:pPr>
        <w:pStyle w:val="BodyText"/>
      </w:pPr>
      <w:r>
        <w:t xml:space="preserve">5. The consequences of LiveWell’s conduct are real and dangerous for consumers. Research use only products are, definitionally, not for human use. Consumers who purchase these illegal products are injecting themselves with substances of unknown composition, purity, potency, and sterility. These formulations and manufacturing quality processes have never been subject to FDA testing or review, clinical studies, or efficacy research. Consumers have no way to know whether these products are safe or effective.</w:t>
      </w:r>
    </w:p>
    <w:p>
      <w:pPr>
        <w:pStyle w:val="BodyText"/>
      </w:pPr>
      <w:r>
        <w:t xml:space="preserve">6. LiveWell’s illegal scheme also directly harms Lilly. In addition to its research developing retatrutide, Lilly has developed several FDA-approved obesity management medicines. By relying on Lilly’s studies and presenting LiveWell’s purported retatrutide products as superior to approved medicines treating obesity, LiveWell free rides on Lilly’s innovation and research and development while bearing none of the costs, regulatory burdens, or responsibility for patient safety during that process.</w:t>
      </w:r>
    </w:p>
    <w:p>
      <w:pPr>
        <w:pStyle w:val="BodyText"/>
      </w:pPr>
      <w:r>
        <w:t xml:space="preserve">7. Lilly asks this Court to put a stop to it. Lilly seeks a permanent injunction barring LiveWell from marketing, selling, or distributing any product containing or purporting to contain retatrutide; damages and disgorgement of LiveWell’s profits; and an award of attorneys’ fees and costs.</w:t>
      </w:r>
    </w:p>
    <w:bookmarkStart w:id="20" w:name="the-parties"/>
    <w:p>
      <w:pPr>
        <w:pStyle w:val="Heading1"/>
      </w:pPr>
      <w:r>
        <w:t xml:space="preserve">THE PARTIES</w:t>
      </w:r>
    </w:p>
    <w:p>
      <w:pPr>
        <w:pStyle w:val="FirstParagraph"/>
      </w:pPr>
      <w:r>
        <w:t xml:space="preserve">8. Plaintiff Eli Lilly and Company is a corporation organized and existing under the laws of Indiana with its principal place of business in Indiana.</w:t>
      </w:r>
    </w:p>
    <w:p>
      <w:pPr>
        <w:pStyle w:val="BodyText"/>
      </w:pPr>
      <w:r>
        <w:t xml:space="preserve">9. Upon information and belief, Defendant LiveWell Peptides is a Texas-based sole proprietorship owned and operated by William “Ian” Brown with a principal place of business at 1910 Pacific Avenue, No. 9350, Dallas, Texas 75201. LiveWell was founded in 2023 and operates an e-commerce website through which it markets, distributes, and sells products it claims contain retatrutide and other peptides directly to consumers nationwide. LiveWell sells, markets, and distributes products it claims contain retatrutide.</w:t>
      </w:r>
    </w:p>
    <w:p>
      <w:pPr>
        <w:pStyle w:val="BodyText"/>
      </w:pPr>
      <w:r>
        <w:t xml:space="preserve">10. LiveWell ships its purported retatrutide products from within the United States to all U.S. addresses. LiveWell’s website states that “[d]omestic orders are dispatched from our Dallas, Texas facility” and that “temperature-sensitive products ship same-day with thermo-packaging and ice packs to protect stability in transit.”</w:t>
      </w:r>
    </w:p>
    <w:bookmarkEnd w:id="20"/>
    <w:bookmarkStart w:id="21" w:name="jurisdiction-and-venue"/>
    <w:p>
      <w:pPr>
        <w:pStyle w:val="Heading1"/>
      </w:pPr>
      <w:r>
        <w:t xml:space="preserve">JURISDICTION AND VENUE</w:t>
      </w:r>
    </w:p>
    <w:p>
      <w:pPr>
        <w:pStyle w:val="FirstParagraph"/>
      </w:pPr>
      <w:r>
        <w:t xml:space="preserve">11. This Court has subject matter jurisdiction under 28 U.S.C. § 1332 because this is a civil action between citizens of different states and the amount in controversy exceeds $75,000, exclusive of interest and costs.</w:t>
      </w:r>
    </w:p>
    <w:p>
      <w:pPr>
        <w:pStyle w:val="BodyText"/>
      </w:pPr>
      <w:r>
        <w:t xml:space="preserve">12. LiveWell is subject to personal jurisdiction in Texas because its principal place of business is in Texas. LiveWell is also subject to personal jurisdiction in Texas because it has significant contacts with the forum and has purposefully availed itself of the privilege of conducting business in Texas, including by owning and operating an e-commerce website that markets and sells purported retatrutide products to consumers nationwide from its Texas-based operations in Dallas, Texas.</w:t>
      </w:r>
    </w:p>
    <w:p>
      <w:pPr>
        <w:pStyle w:val="BodyText"/>
      </w:pPr>
      <w:r>
        <w:t xml:space="preserve">13. Venue is proper in this District pursuant to 28 U.S.C. § 1391 because a substantial part of the events or omissions giving rise to Lilly’s claims occurred in this District. LiveWell operates and conducts business in this District, including by engaging in its unlawful promotion and sale of retatrutide products here and by shipping its products here.</w:t>
      </w:r>
    </w:p>
    <w:bookmarkEnd w:id="21"/>
    <w:bookmarkStart w:id="27" w:name="general-allegations"/>
    <w:p>
      <w:pPr>
        <w:pStyle w:val="Heading1"/>
      </w:pPr>
      <w:r>
        <w:t xml:space="preserve">GENERAL ALLEGATIONS</w:t>
      </w:r>
    </w:p>
    <w:bookmarkStart w:id="22" w:name="X102ebc364736bea7d1dd5fbaef893d2bbf61fe8"/>
    <w:p>
      <w:pPr>
        <w:pStyle w:val="Heading2"/>
      </w:pPr>
      <w:r>
        <w:t xml:space="preserve">I. FDA’S RIGOROUS AND THOROUGH REVIEW OF NEW DRUGS AND MEDICINES PROTECTS AMERICAN PATIENTS</w:t>
      </w:r>
    </w:p>
    <w:p>
      <w:pPr>
        <w:pStyle w:val="FirstParagraph"/>
      </w:pPr>
      <w:r>
        <w:t xml:space="preserve">14. In FDA’s words, “American consumers benefit from having access to the safest and most advanced pharmaceutical system in the world.” The American system for reviewing new medicines, with its rigorous and thorough pre-market evaluation of scientific data, is crucial for public health.</w:t>
      </w:r>
    </w:p>
    <w:p>
      <w:pPr>
        <w:pStyle w:val="BodyText"/>
      </w:pPr>
      <w:r>
        <w:t xml:space="preserve">15. Before a new drug can be brought to market, the drug must be clinically tested through a rigorous series of studies designed to determine whether the medication is safe and effective for use under specific conditions and for specific indicated purposes. As an initial step, a drug sponsor must obtain FDA authorization to administer an investigational drug to human subjects through an Investigational New Drug (“IND”) application. The IND does not authorize commercial sale of the drug. Any distribution to or use of the investigational drug on humans outside of an effective IND protocol is unlawful.</w:t>
      </w:r>
    </w:p>
    <w:p>
      <w:pPr>
        <w:pStyle w:val="BodyText"/>
      </w:pPr>
      <w:r>
        <w:t xml:space="preserve">16. FDA approval is notoriously hard to achieve in the United States. More than 90% of candidates fail. It is also an enormously costly and time-intensive process. On average, it takes ten to fifteen years and costs $2.6 billion to develop one new FDA-approved medicine.</w:t>
      </w:r>
    </w:p>
    <w:p>
      <w:pPr>
        <w:pStyle w:val="BodyText"/>
      </w:pPr>
      <w:r>
        <w:t xml:space="preserve">17. If a prescription drug or biologic is approved, FDA’s vigorous oversight continues after its approval. Among other things, sponsors must report all promotional materials to FDA; track and trace each finished product and report any deviations; and promptly report adverse events.</w:t>
      </w:r>
    </w:p>
    <w:p>
      <w:pPr>
        <w:pStyle w:val="BodyText"/>
      </w:pPr>
      <w:r>
        <w:t xml:space="preserve">18. This continuous oversight allows America to represent what FDA has called “the gold standard” for pharmaceutical regulation.</w:t>
      </w:r>
    </w:p>
    <w:p>
      <w:pPr>
        <w:pStyle w:val="BodyText"/>
      </w:pPr>
      <w:r>
        <w:t xml:space="preserve">19. In addition to federal regulations, states play an important role in regulating the sale of drugs and biologics within their borders. Most states prohibit the sale of prescription drugs that lack FDA or state regulatory approval and further prohibit the sale of even approved drugs that are misbranded (e.g., false, misleading, or inaccurate information on drug labels) or adulterated (e.g., manufactured under unsanitary conditions).</w:t>
      </w:r>
    </w:p>
    <w:bookmarkEnd w:id="22"/>
    <w:bookmarkStart w:id="23" w:name="X992e3b3d55716e0aa451a790db55cb258f8c26b"/>
    <w:p>
      <w:pPr>
        <w:pStyle w:val="Heading2"/>
      </w:pPr>
      <w:r>
        <w:t xml:space="preserve">II. LILLY DEVELOPS FDA-APPROVED OBESITY MANAGEMENT MEDICINES AND INVESTIGATIONAL TREATMENTS</w:t>
      </w:r>
    </w:p>
    <w:p>
      <w:pPr>
        <w:pStyle w:val="FirstParagraph"/>
      </w:pPr>
      <w:r>
        <w:t xml:space="preserve">20. Lilly is an international medicine company and pharmaceutical manufacturer. Throughout its 150-year existence, Lilly has pioneered countless life-changing discoveries. Today, Lilly’s medicines help more than 70 million patients across the globe.</w:t>
      </w:r>
    </w:p>
    <w:p>
      <w:pPr>
        <w:pStyle w:val="BodyText"/>
      </w:pPr>
      <w:r>
        <w:t xml:space="preserve">21. Lilly developed tirzepatide over nearly a decade of research and development, conducting 37 clinical trials involving tens of thousands of patients. Tirzepatide is a first-in-class dual-action molecule that simultaneously targets receptors for glucagon-like peptide-1 (“GLP-1”) and glucose-dependent insulinotropic polypeptide (“GIP”).</w:t>
      </w:r>
    </w:p>
    <w:p>
      <w:pPr>
        <w:pStyle w:val="BodyText"/>
      </w:pPr>
      <w:r>
        <w:t xml:space="preserve">22. Tirzepatide is the active pharmaceutical ingredient in MOUNJARO® and ZEPBOUND®, two of Lilly’s important FDA-approved medicines. MOUNJARO® was approved by FDA to treat type 2 diabetes. ZEPBOUND® was approved by FDA for chronic weight management in adults with obesity or overweight with at least one weight-related medical condition, as well as moderate-to-severe obstructive sleep apnea (“OSA”) in certain adults with obesity.</w:t>
      </w:r>
    </w:p>
    <w:p>
      <w:pPr>
        <w:pStyle w:val="BodyText"/>
      </w:pPr>
      <w:r>
        <w:t xml:space="preserve">23. Lilly also brought to market the novel molecule orforglipron, which targets GLP-1 receptors. Orforglipron is the active pharmaceutical ingredient in FOUNDAYO™, which was approved by FDA on April 1, 2026, to treat obesity or overweight with at least one weight-related comorbid condition. It is a once-daily oral pill that represents a significant advance in obesity treatment as one of the first oral GLP-1 receptor agonists approved for chronic weight management.</w:t>
      </w:r>
    </w:p>
    <w:p>
      <w:pPr>
        <w:pStyle w:val="BodyText"/>
      </w:pPr>
      <w:r>
        <w:t xml:space="preserve">24. Lilly is the only lawful source of commercially manufactured tirzepatide products in the United States. No other company has obtained FDA approval to manufacture or sell tirzepatide. Likewise, Lilly is the only company that has sought and received FDA approval for orforglipron. No other entity has conducted the clinical trials or obtained the regulatory approvals necessary to lawfully market orforglipron in the United States.</w:t>
      </w:r>
    </w:p>
    <w:p>
      <w:pPr>
        <w:pStyle w:val="BodyText"/>
      </w:pPr>
      <w:r>
        <w:t xml:space="preserve">25. Over the past decade, Lilly has developed another investigational molecule, retatrutide, a triple hormone receptor agonist that simultaneously activates receptors for GIP, GLP-1, and glucagon—hence the designation “triple agonist.” Lilly is studying retatrutide in several Phase 3 clinical trials to evaluate its potential efficacy and safety in treating obesity and overweight with at least one weight-related medical problem, type 2 diabetes, knee osteoarthritis pain, moderate-to-severe OSA, chronic low back pain, cardiovascular and renal outcomes, and metabolic dysfunction-associated steatotic liver disease. In Lilly’s clinical trials, retatrutide is administered as a once-weekly subcutaneous injection.</w:t>
      </w:r>
    </w:p>
    <w:p>
      <w:pPr>
        <w:pStyle w:val="BodyText"/>
      </w:pPr>
      <w:r>
        <w:t xml:space="preserve">26. Lilly identified retatrutide as a candidate through extensive laboratory and analytical work, advanced it through preclinical testing, and filed an Investigational New Drug application with FDA to authorize human clinical trials. Lilly began the clinical trial process for retatrutide in 2019.</w:t>
      </w:r>
    </w:p>
    <w:p>
      <w:pPr>
        <w:pStyle w:val="BodyText"/>
      </w:pPr>
      <w:r>
        <w:t xml:space="preserve">27. Lilly holds an effective IND application for retatrutide, meaning that Lilly is authorized under federal law to conduct human clinical trials to evaluate the molecule’s safety and efficacy. An IND authorizes only carefully controlled clinical investigations and use under strict FDA oversight; it does not permit general commercial distribution or sale of the investigational drug to consumers.</w:t>
      </w:r>
    </w:p>
    <w:p>
      <w:pPr>
        <w:pStyle w:val="BodyText"/>
      </w:pPr>
      <w:r>
        <w:t xml:space="preserve">28. While Lilly’s controlled tests are encouraging, no retatrutide medicine has yet been approved by FDA or any other regulatory agency in the world—and especially not LiveWell’s products. No medicine containing retatrutide has approved labeling, retatrutide as an API is not a component of any FDA-approved product, and no manufacturing process for retatrutide API or finished products has been validated under cGMP for public commercial distribution. Any sale of retatrutide for human use is illegal.</w:t>
      </w:r>
    </w:p>
    <w:bookmarkEnd w:id="23"/>
    <w:bookmarkStart w:id="26" w:name="X349fcfd5fc7800df1773edfe276cfdc883e6d11"/>
    <w:p>
      <w:pPr>
        <w:pStyle w:val="Heading2"/>
      </w:pPr>
      <w:r>
        <w:t xml:space="preserve">III. BAD ACTORS ILLEGALLY SELL RETATRUTIDE TO CONSUMERS PRIOR TO ITS FDA APPROVAL</w:t>
      </w:r>
    </w:p>
    <w:bookmarkStart w:id="24" w:name="a.-the-black-market-for-retatrutide"/>
    <w:p>
      <w:pPr>
        <w:pStyle w:val="Heading3"/>
      </w:pPr>
      <w:r>
        <w:t xml:space="preserve">A. The Black Market for Retatrutide</w:t>
      </w:r>
    </w:p>
    <w:p>
      <w:pPr>
        <w:pStyle w:val="FirstParagraph"/>
      </w:pPr>
      <w:r>
        <w:t xml:space="preserve">29. The powerful clinical trial results for retatrutide have generated significant consumer interest in it. Bad actors have taken advantage of that interest to make a profit, and a black market has emerged that is threatening consumer safety by illegally advertising, selling, and distributing products purportedly containing retatrutide directly to the public.</w:t>
      </w:r>
    </w:p>
    <w:p>
      <w:pPr>
        <w:pStyle w:val="BodyText"/>
      </w:pPr>
      <w:r>
        <w:t xml:space="preserve">30. Capitalizing on consumer demand for obesity management medications, sellers—including online retailers, “research use only” peptide suppliers like LiveWell, and med spas—bypass the lawful approval process. They offer consumers what they call “retatrutide,” but the substance they sell is an illegal drug produced entirely outside of FDA’s oversight—often sourced from unknown foreign suppliers and illegally imported.</w:t>
      </w:r>
    </w:p>
    <w:p>
      <w:pPr>
        <w:pStyle w:val="BodyText"/>
      </w:pPr>
      <w:r>
        <w:t xml:space="preserve">31. These illegal sales of purported retatrutide products represent a dangerous end-run around the rigorous FDA approval process. By selling unverified substances directly to consumers for human use, LiveWell and other sellers like it expose the public to unknown adverse events while undermining the regulatory framework designed to protect patients and promote the lawful development of safe and effective new drugs.</w:t>
      </w:r>
    </w:p>
    <w:bookmarkEnd w:id="24"/>
    <w:bookmarkStart w:id="25" w:name="Xfcda1046b7c43b21c01e95ebec2081df7f8230a"/>
    <w:p>
      <w:pPr>
        <w:pStyle w:val="Heading3"/>
      </w:pPr>
      <w:r>
        <w:t xml:space="preserve">B. FDA’s and Lilly’s Efforts to Warn Consumers</w:t>
      </w:r>
    </w:p>
    <w:p>
      <w:pPr>
        <w:pStyle w:val="FirstParagraph"/>
      </w:pPr>
      <w:r>
        <w:t xml:space="preserve">32. FDA has recognized the danger of illicit retatrutide and taken direct action against retatrutide sellers to curtail these illegal sales. FDA has explicitly stated in warning letters that “introducing or delivering these products for introduction into interstate commerce violates” federal law. FDA has also cautioned consumers “not to purchase” retatrutide products labeled “for research purposes” because “they are of unknown quality and may be harmful to their health.” Most recently, FDA reiterated that retatrutide is an “unapproved drug,” is “not [a] component[] of FDA-approved drugs,” and has “not been found safe and effective for any condition.”</w:t>
      </w:r>
    </w:p>
    <w:p>
      <w:pPr>
        <w:pStyle w:val="BodyText"/>
      </w:pPr>
      <w:r>
        <w:t xml:space="preserve">33. In total, FDA has sent at least 21 warning letters related to retatrutide, in addition to more than 100 warning letters since September 2025 to entities marketing compounded GLP-1 receptor agonists with “false or misleading claims.” As FDA stated in a recent press release, these warning letters mark “a new era” of enforcement against the illegal sale of unapproved drugs.</w:t>
      </w:r>
    </w:p>
    <w:p>
      <w:pPr>
        <w:pStyle w:val="BodyText"/>
      </w:pPr>
      <w:r>
        <w:t xml:space="preserve">34. Lilly has also publicly warned consumers about the dangers of illegal products claiming to be or to contain retatrutide, making clear that selling retatrutide to consumers for human use is illegal, and that consumers have no way to verify the safety of what they are receiving on the black market. To combat black-market drugs, Lilly continues to work with law enforcement and regulatory authorities.</w:t>
      </w:r>
    </w:p>
    <w:bookmarkEnd w:id="25"/>
    <w:bookmarkEnd w:id="26"/>
    <w:bookmarkEnd w:id="27"/>
    <w:bookmarkStart w:id="30" w:name="causes-of-action"/>
    <w:p>
      <w:pPr>
        <w:pStyle w:val="Heading1"/>
      </w:pPr>
      <w:r>
        <w:t xml:space="preserve">CAUSES OF ACTION</w:t>
      </w:r>
    </w:p>
    <w:bookmarkStart w:id="29" w:name="first-cause-of-action"/>
    <w:p>
      <w:pPr>
        <w:pStyle w:val="Heading2"/>
      </w:pPr>
      <w:r>
        <w:t xml:space="preserve">FIRST CAUSE OF ACTION</w:t>
      </w:r>
    </w:p>
    <w:bookmarkStart w:id="28" w:name="Xaf0d286402e55d9c284d977e250cb3303884df3"/>
    <w:p>
      <w:pPr>
        <w:pStyle w:val="Heading3"/>
      </w:pPr>
      <w:r>
        <w:t xml:space="preserve">Unfair Competition in Violation of the Alaska Unfair Trade Practices and Consumer Protection Act</w:t>
      </w:r>
    </w:p>
    <w:p>
      <w:pPr>
        <w:pStyle w:val="FirstParagraph"/>
      </w:pPr>
      <w:r>
        <w:t xml:space="preserve">35. Lilly incorporates by reference the allegations above as if fully set forth herein.</w:t>
      </w:r>
    </w:p>
    <w:p>
      <w:pPr>
        <w:pStyle w:val="BodyText"/>
      </w:pPr>
      <w:r>
        <w:t xml:space="preserve">36. The Alaska Unfair Trade Practices and Consumer Protection Act, Alaska Stat. §§ 45.50.471 et seq., prohibits unfair methods of competition and unfair or deceptive acts or practices in the conduct of trade or commerce.</w:t>
      </w:r>
    </w:p>
    <w:p>
      <w:pPr>
        <w:pStyle w:val="BodyText"/>
      </w:pPr>
      <w:r>
        <w:t xml:space="preserve">37. Alaska Stat. § 17.20.110(a)(1)–(2) prohibits the sale, delivery, or offering for sale of any “new drug” unless an application has been approved for such drug under federal law. Under Alaska law, a “new drug” means a drug that is not generally recognized among qualified experts as safe and effective for use under the conditions prescribed, recommended, or suggested in the labeling thereof, or which has not, other than in such investigations, been used to a material extent or for a material time under such conditions.</w:t>
      </w:r>
    </w:p>
    <w:p>
      <w:pPr>
        <w:pStyle w:val="BodyText"/>
      </w:pPr>
      <w:r>
        <w:t xml:space="preserve">38. LiveWell’s purported retatrutide products are “new drugs” within the meaning of Alaska law. Retatrutide has not been approved by FDA, is not yet generally recognized as safe and effective, and has not been used to a material extent or for a material time.</w:t>
      </w:r>
    </w:p>
    <w:p>
      <w:pPr>
        <w:pStyle w:val="BodyText"/>
      </w:pPr>
      <w:r>
        <w:t xml:space="preserve">39. LiveWell has violated Alaska Stat. § 17.20.110(a)(1)–(2) by distributing, selling, and offering for sale unapproved retatrutide products to consumers in Alaska and throughout the United States.</w:t>
      </w:r>
    </w:p>
    <w:p>
      <w:pPr>
        <w:pStyle w:val="BodyText"/>
      </w:pPr>
      <w:r>
        <w:t xml:space="preserve">40. LiveWell’s sale of unapproved new drugs in violation of Alaska Stat. § 17.20.110(a)(1)–(2) constitutes an unfair or deceptive act or practice and an unfair method of competition in violation of the Alaska Unfair Trade Practices and Consumer Protection Act.</w:t>
      </w:r>
    </w:p>
    <w:p>
      <w:pPr>
        <w:pStyle w:val="BodyText"/>
      </w:pPr>
      <w:r>
        <w:t xml:space="preserve">41. Lilly has been injured by LiveWell’s unlawful conduct, including through lost sales, damage to goodwill, harm to Lilly’s competitive position, and diversion of consumers to unapproved and potentially unsafe products.</w:t>
      </w:r>
    </w:p>
    <w:p>
      <w:pPr>
        <w:pStyle w:val="BodyText"/>
      </w:pPr>
      <w:r>
        <w:t xml:space="preserve">42. Lilly has standing to bring this action and is entitled to all available remedies under Alaska Stat. § 45.50.531, including injunctive relief, damages, and reasonable attorneys’ fees and costs.</w:t>
      </w:r>
    </w:p>
    <w:bookmarkEnd w:id="28"/>
    <w:bookmarkEnd w:id="29"/>
    <w:bookmarkEnd w:id="30"/>
    <w:bookmarkStart w:id="31" w:name="prayer-for-relief"/>
    <w:p>
      <w:pPr>
        <w:pStyle w:val="Heading1"/>
      </w:pPr>
      <w:r>
        <w:t xml:space="preserve">PRAYER FOR RELIEF</w:t>
      </w:r>
    </w:p>
    <w:p>
      <w:pPr>
        <w:pStyle w:val="FirstParagraph"/>
      </w:pPr>
      <w:r>
        <w:t xml:space="preserve">43. WHEREFORE, Plaintiff Lilly prays that this Court enter judgment in Lilly’s favor on Lilly’s claims and award Lilly relief including:</w:t>
      </w:r>
    </w:p>
    <w:p>
      <w:pPr>
        <w:pStyle w:val="Compact"/>
        <w:numPr>
          <w:ilvl w:val="0"/>
          <w:numId w:val="1001"/>
        </w:numPr>
      </w:pPr>
      <w:r>
        <w:t xml:space="preserve">An Order declaring that LiveWell engaged in unfair competition in violation of the Alaska Unfair Trade Practices and Consumer Protection Act by its unlawful distribution and sale of unapproved new drugs in violation of the Alaska Food, Drug, and Cosmetic Act;</w:t>
      </w:r>
    </w:p>
    <w:p>
      <w:pPr>
        <w:pStyle w:val="Compact"/>
        <w:numPr>
          <w:ilvl w:val="0"/>
          <w:numId w:val="1001"/>
        </w:numPr>
      </w:pPr>
      <w:r>
        <w:t xml:space="preserve">A permanent injunction enjoining LiveWell and its officers, agents, servants, employees, and all persons acting in concert with them from marketing, advertising, distributing, dispensing, or selling any product containing or purporting to contain retatrutide;</w:t>
      </w:r>
    </w:p>
    <w:p>
      <w:pPr>
        <w:pStyle w:val="Compact"/>
        <w:numPr>
          <w:ilvl w:val="0"/>
          <w:numId w:val="1001"/>
        </w:numPr>
      </w:pPr>
      <w:r>
        <w:t xml:space="preserve">An Order directing LiveWell to file with this Court and serve on Lilly’s attorneys, thirty (30) days after the date of entry of any injunction, a report in writing and under oath setting forth in detail the manner and form in which it has complied with the Court’s injunction;</w:t>
      </w:r>
    </w:p>
    <w:p>
      <w:pPr>
        <w:pStyle w:val="Compact"/>
        <w:numPr>
          <w:ilvl w:val="0"/>
          <w:numId w:val="1001"/>
        </w:numPr>
      </w:pPr>
      <w:r>
        <w:t xml:space="preserve">An Order requiring LiveWell to account for and pay to Lilly any and all monetary damages, including disgorgement of profits, arising from the foregoing unlawful acts;</w:t>
      </w:r>
    </w:p>
    <w:p>
      <w:pPr>
        <w:pStyle w:val="Compact"/>
        <w:numPr>
          <w:ilvl w:val="0"/>
          <w:numId w:val="1001"/>
        </w:numPr>
      </w:pPr>
      <w:r>
        <w:t xml:space="preserve">An Order for pre-judgment and post-judgment interest on all damages;</w:t>
      </w:r>
    </w:p>
    <w:p>
      <w:pPr>
        <w:pStyle w:val="Compact"/>
        <w:numPr>
          <w:ilvl w:val="0"/>
          <w:numId w:val="1001"/>
        </w:numPr>
      </w:pPr>
      <w:r>
        <w:t xml:space="preserve">An Order requiring LiveWell to pay Lilly’s costs and attorneys’ fees in this action; and</w:t>
      </w:r>
    </w:p>
    <w:p>
      <w:pPr>
        <w:pStyle w:val="Compact"/>
        <w:numPr>
          <w:ilvl w:val="0"/>
          <w:numId w:val="1001"/>
        </w:numPr>
      </w:pPr>
      <w:r>
        <w:t xml:space="preserve">Other relief as the Court may deem appropriate.</w:t>
      </w:r>
    </w:p>
    <w:bookmarkEnd w:id="31"/>
    <w:bookmarkStart w:id="32" w:name="jury-demand"/>
    <w:p>
      <w:pPr>
        <w:pStyle w:val="Heading1"/>
      </w:pPr>
      <w:r>
        <w:t xml:space="preserve">JURY DEMAND</w:t>
      </w:r>
    </w:p>
    <w:p>
      <w:pPr>
        <w:pStyle w:val="FirstParagraph"/>
      </w:pPr>
      <w:r>
        <w:t xml:space="preserve">44. Plaintiff Eli Lilly and Company hereby demands a trial by jury on all issues so triable.</w:t>
      </w: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288"/>
        <w:gridCol w:w="4752"/>
      </w:tblGrid>
      <w:tr>
        <w:trPr>
          <w:cantSplit/>
        </w:trPr>
        <w:tc>
          <w:tcPr>
            <w:tcW w:w="4320" w:type="dxa"/>
          </w:tcPr>
          <w:p>
            <w:pPr>
              <w:pStyle w:val="Single"/>
              <w:spacing w:before="480" w:after="0"/>
            </w:pPr>
            <w:r>
              <w:t xml:space="preserve">Dated: </w:t>
            </w:r>
          </w:p>
        </w:tc>
        <w:tc>
          <w:tcPr>
            <w:tcW w:w="288" w:type="dxa"/>
          </w:tcPr>
          <w:p>
            <w:pPr>
              <w:pStyle w:val="Single"/>
            </w:pPr>
          </w:p>
        </w:tc>
        <w:tc>
          <w:tcPr>
            <w:tcW w:w="4752" w:type="dxa"/>
          </w:tcPr>
          <w:p>
            <w:pPr>
              <w:pStyle w:val="Single"/>
              <w:spacing w:before="240" w:after="0"/>
            </w:pPr>
            <w:r>
              <w:t xml:space="preserve">Respectfully submitted,</w:t>
            </w:r>
          </w:p>
          <w:p>
            <w:pPr>
              <w:pStyle w:val="Single"/>
              <w:spacing w:before="240" w:after="120"/>
            </w:pPr>
            <w:r>
              <w:t xml:space="preserve">KIRKLAND</w:t>
            </w:r>
            <w:r>
              <w:t xml:space="preserve"> </w:t>
            </w:r>
            <w:r>
              <w:t xml:space="preserve">&amp;</w:t>
            </w:r>
            <w:r>
              <w:t xml:space="preserve"> </w:t>
            </w:r>
            <w:r>
              <w:t xml:space="preserve">ELLIS</w:t>
            </w:r>
            <w:r>
              <w:t xml:space="preserve"> </w:t>
            </w:r>
            <w:r>
              <w:t xml:space="preserve">LLP</w:t>
            </w:r>
          </w:p>
          <w:p>
            <w:pPr>
              <w:pStyle w:val="Single"/>
              <w:spacing w:before="240" w:after="120"/>
            </w:pPr>
            <w:r>
              <w:t xml:space="preserve">/s/ Eugene Temchenko</w:t>
            </w:r>
          </w:p>
          <w:p>
            <w:pPr>
              <w:pStyle w:val="Single"/>
              <w:spacing w:before="0" w:after="120"/>
            </w:pPr>
            <w:r>
              <w:t xml:space="preserve">Eugene Temchenko</w:t>
            </w:r>
          </w:p>
          <w:p>
            <w:pPr>
              <w:pStyle w:val="Single"/>
              <w:spacing w:before="0" w:after="120"/>
            </w:pPr>
            <w:r>
              <w:t xml:space="preserve">Texas</w:t>
            </w:r>
            <w:r>
              <w:t xml:space="preserve"> </w:t>
            </w:r>
            <w:r>
              <w:t xml:space="preserve">Bar</w:t>
            </w:r>
            <w:r>
              <w:t xml:space="preserve"> </w:t>
            </w:r>
            <w:r>
              <w:t xml:space="preserve">No. 24118928</w:t>
            </w:r>
          </w:p>
          <w:p>
            <w:pPr>
              <w:pStyle w:val="Single"/>
              <w:spacing w:before="240" w:after="120"/>
            </w:pPr>
            <w:r>
              <w:t xml:space="preserve">4550</w:t>
            </w:r>
            <w:r>
              <w:t xml:space="preserve"> </w:t>
            </w:r>
            <w:r>
              <w:t xml:space="preserve">Travis</w:t>
            </w:r>
            <w:r>
              <w:t xml:space="preserve"> </w:t>
            </w:r>
            <w:r>
              <w:t xml:space="preserve">Street</w:t>
            </w:r>
          </w:p>
          <w:p>
            <w:pPr>
              <w:pStyle w:val="Single"/>
              <w:spacing w:before="0" w:after="120"/>
            </w:pPr>
            <w:r>
              <w:t xml:space="preserve">Dallas,</w:t>
            </w:r>
            <w:r>
              <w:t xml:space="preserve"> </w:t>
            </w:r>
            <w:r>
              <w:t xml:space="preserve">TX</w:t>
            </w:r>
            <w:r>
              <w:t xml:space="preserve"> </w:t>
            </w:r>
            <w:r>
              <w:t xml:space="preserve">75205</w:t>
            </w:r>
          </w:p>
          <w:p>
            <w:pPr>
              <w:pStyle w:val="Single"/>
              <w:spacing w:before="0" w:after="120"/>
            </w:pPr>
            <w:r>
              <w:t xml:space="preserve">Telephone:</w:t>
            </w:r>
            <w:r>
              <w:t xml:space="preserve"> </w:t>
            </w:r>
            <w:r>
              <w:t xml:space="preserve">(214)</w:t>
            </w:r>
            <w:r>
              <w:t xml:space="preserve"> </w:t>
            </w:r>
            <w:r>
              <w:t xml:space="preserve">432-5072</w:t>
            </w:r>
          </w:p>
          <w:p>
            <w:pPr>
              <w:pStyle w:val="Single"/>
              <w:spacing w:before="0" w:after="120"/>
            </w:pPr>
            <w:r>
              <w:t xml:space="preserve">Facsimile:</w:t>
            </w:r>
            <w:r>
              <w:t xml:space="preserve"> </w:t>
            </w:r>
            <w:r>
              <w:t xml:space="preserve">(214)</w:t>
            </w:r>
            <w:r>
              <w:t xml:space="preserve"> </w:t>
            </w:r>
            <w:r>
              <w:t xml:space="preserve">972-1771</w:t>
            </w:r>
          </w:p>
          <w:p>
            <w:pPr>
              <w:pStyle w:val="Single"/>
              <w:spacing w:before="0" w:after="120"/>
            </w:pPr>
            <w:r>
              <w:t xml:space="preserve">eugene.temchenko@kirkland.com</w:t>
            </w:r>
          </w:p>
          <w:p>
            <w:pPr>
              <w:pStyle w:val="Single"/>
              <w:spacing w:before="240" w:after="120"/>
            </w:pPr>
            <w:r>
              <w:t xml:space="preserve">Counsel</w:t>
            </w:r>
            <w:r>
              <w:t xml:space="preserve"> </w:t>
            </w:r>
            <w:r>
              <w:t xml:space="preserve">for</w:t>
            </w:r>
            <w:r>
              <w:t xml:space="preserve"> </w:t>
            </w:r>
            <w:r>
              <w:t xml:space="preserve">Plaintiff</w:t>
            </w:r>
            <w:r>
              <w:t xml:space="preserve"> </w:t>
            </w:r>
            <w:r>
              <w:t xml:space="preserve">Eli</w:t>
            </w:r>
            <w:r>
              <w:t xml:space="preserve"> </w:t>
            </w:r>
            <w:r>
              <w:t xml:space="preserve">Lilly</w:t>
            </w:r>
            <w:r>
              <w:t xml:space="preserve"> </w:t>
            </w:r>
            <w:r>
              <w:t xml:space="preserve">and</w:t>
            </w:r>
            <w:r>
              <w:t xml:space="preserve"> </w:t>
            </w:r>
            <w:r>
              <w:t xml:space="preserve">Company</w:t>
            </w:r>
          </w:p>
        </w:tc>
      </w:tr>
    </w:tbl>
    <w:bookmarkEnd w:id="32"/>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pPr>
      <w:spacing w:after="0" w:before="0" w:line="240" w:lineRule="auto"/>
      <w:ind w:firstLine="0"/>
      <w:jc w:val="left"/>
    </w:pPr>
    <w:rPr>
      <w:color w:val="000000"/>
    </w:rPr>
  </w:style>
  <w:style w:default="1" w:styleId="DefaultParagraphFont" w:type="character">
    <w:name w:val="Default Paragraph Font"/>
    <w:uiPriority w:val="1"/>
    <w:semiHidden/>
    <w:unhideWhenUsed/>
  </w:style>
  <w:style w:default="1" w:styleId="TableNormal" w:type="table">
    <w:name w:val="Normal Table"/>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customStyle="1" w:styleId="Compact" w:type="paragraph">
    <w:name w:val="Compact"/>
    <w:basedOn w:val="BodyText"/>
    <w:qFormat/>
    <w:pPr>
      <w:ind w:firstLine="0"/>
    </w:pPr>
  </w:style>
  <w:style w:styleId="BlockText" w:type="paragraph">
    <w:name w:val="Block Text"/>
    <w:basedOn w:val="Normal"/>
    <w:next w:val="BodyText"/>
    <w:qFormat/>
    <w:pPr>
      <w:spacing w:after="240" w:before="0" w:line="240" w:lineRule="auto"/>
      <w:ind w:firstLine="0" w:left="720" w:right="720"/>
    </w:pPr>
  </w:style>
  <w:style w:styleId="Heading1" w:type="paragraph">
    <w:name w:val="heading 1"/>
    <w:basedOn w:val="Normal"/>
    <w:next w:val="BodyText"/>
    <w:qFormat/>
    <w:pPr>
      <w:keepNext/>
      <w:keepLines/>
      <w:spacing w:after="480" w:before="480" w:line="240" w:lineRule="auto"/>
      <w:ind w:firstLine="0"/>
      <w:jc w:val="center"/>
      <w:outlineLvl w:val="0"/>
    </w:pPr>
    <w:rPr>
      <w:b/>
      <w:bCs/>
    </w:rPr>
  </w:style>
  <w:style w:styleId="Heading2" w:type="paragraph">
    <w:name w:val="heading 2"/>
    <w:basedOn w:val="Normal"/>
    <w:next w:val="BodyText"/>
    <w:qFormat/>
    <w:pPr>
      <w:keepNext/>
      <w:keepLines/>
      <w:spacing w:after="480" w:before="480" w:line="240" w:lineRule="auto"/>
      <w:ind w:firstLine="0" w:hanging="720" w:left="720"/>
      <w:jc w:val="left"/>
      <w:outlineLvl w:val="1"/>
    </w:pPr>
    <w:rPr>
      <w:b/>
      <w:bCs/>
    </w:rPr>
  </w:style>
  <w:style w:styleId="Heading3" w:type="paragraph">
    <w:name w:val="heading 3"/>
    <w:basedOn w:val="Normal"/>
    <w:next w:val="BodyText"/>
    <w:qFormat/>
    <w:pPr>
      <w:keepNext/>
      <w:keepLines/>
      <w:spacing w:after="480" w:before="480" w:line="240" w:lineRule="auto"/>
      <w:ind w:firstLine="0"/>
      <w:jc w:val="center"/>
      <w:outlineLvl w:val="2"/>
    </w:pPr>
    <w:rPr>
      <w:b/>
      <w:bCs/>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SigBlock" w:type="paragraph">
    <w:name w:val="Signature Block"/>
    <w:basedOn w:val="Single"/>
    <w:qFormat/>
    <w:pPr>
      <w:keepNext/>
      <w:keepLines/>
      <w:ind w:firstLine="0" w:left="4320"/>
    </w:pPr>
  </w:style>
  <w:style w:styleId="FootnoteText" w:type="paragraph">
    <w:name w:val="footnote text"/>
    <w:basedOn w:val="Normal"/>
    <w:uiPriority w:val="99"/>
    <w:unhideWhenUsed/>
    <w:pPr>
      <w:spacing w:after="120" w:before="0" w:line="240" w:lineRule="auto"/>
      <w:ind w:firstLine="0"/>
    </w:pPr>
    <w:rPr>
      <w:sz w:val="24"/>
      <w:szCs w:val="24"/>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tabs>
        <w:tab w:pos="4680" w:val="center"/>
        <w:tab w:pos="9360" w:val="right"/>
      </w:tabs>
      <w:jc w:val="center"/>
    </w:pPr>
  </w:style>
  <w:style w:styleId="Header" w:type="paragraph">
    <w:name w:val="header"/>
    <w:basedOn w:val="Normal"/>
    <w:uiPriority w:val="99"/>
    <w:unhideWhenUsed/>
  </w:style>
  <w:style w:styleId="Hyperlink" w:type="character">
    <w:name w:val="Hyperlink"/>
    <w:basedOn w:val="DefaultParagraphFont"/>
    <w:uiPriority w:val="99"/>
    <w:unhideWhenUsed/>
    <w:rPr>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2026-10-15T10:28:34Z</dcterms:created>
  <dcterms:modified xsi:type="dcterms:W3CDTF">2026-10-15T10:28:34Z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3:26-cv-03514</vt:lpwstr>
  </property>
  <property fmtid="{D5CDD505-2E9C-101B-9397-08002B2CF9AE}" pid="5" name="court_division">
    <vt:lpwstr>DALLAS DIVISION</vt:lpwstr>
  </property>
  <property fmtid="{D5CDD505-2E9C-101B-9397-08002B2CF9AE}" pid="6" name="jury_demand">
    <vt:lpwstr>True</vt:lpwstr>
  </property>
  <property fmtid="{D5CDD505-2E9C-101B-9397-08002B2CF9AE}" pid="7" name="signature">
    <vt:lpwstr/>
  </property>
</Properties>
</file>