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entered"/>
      </w:pPr>
      <w:r>
        <w:rPr>
          <w:b/>
        </w:rPr>
        <w:t xml:space="preserve">SUPREME COURT OF THE STATE OF NEW YORK</w:t>
      </w:r>
    </w:p>
    <w:p>
      <w:pPr>
        <w:pStyle w:val="Single"/>
        <w:spacing w:before="240" w:after="240"/>
      </w:pPr>
      <w:r>
        <w:rPr>
          <w:b/>
        </w:rPr>
        <w:t xml:space="preserve">COUNTY</w:t>
      </w:r>
      <w:r>
        <w:rPr>
          <w:b/>
        </w:rPr>
        <w:t xml:space="preserve"> </w:t>
      </w:r>
      <w:r>
        <w:rPr>
          <w:b/>
        </w:rPr>
        <w:t xml:space="preserve">OF</w:t>
      </w:r>
      <w:r>
        <w:rPr>
          <w:b/>
        </w:rPr>
        <w:t xml:space="preserve"> </w:t>
      </w:r>
      <w:r>
        <w:rPr>
          <w:b/>
        </w:rPr>
        <w:t xml:space="preserve">NEW</w:t>
      </w:r>
      <w:r>
        <w:rPr>
          <w:b/>
        </w:rPr>
        <w:t xml:space="preserve"> </w:t>
      </w:r>
      <w:r>
        <w:rPr>
          <w:b/>
        </w:rPr>
        <w:t xml:space="preserve">YORK</w:t>
      </w:r>
    </w:p>
    <w:tbl>
      <w:tblPr>
        <w:tblW w:w="9360" w:type="dxa"/>
        <w:tblLayout w:type="fixed"/>
        <w:tblCellMar>
          <w:left w:w="0" w:type="dxa"/>
          <w:right w:w="0" w:type="dxa"/>
        </w:tblCellMar>
      </w:tblPr>
      <w:tblGrid>
        <w:gridCol w:w="5184"/>
        <w:gridCol w:w="4176"/>
      </w:tblGrid>
      <w:tr>
        <w:tc>
          <w:tcPr>
            <w:tcW w:w="5184" w:type="dxa"/>
            <w:tcBorders>
              <w:top w:val="single" w:sz="6" w:space="0" w:color="000000"/>
              <w:bottom w:val="single" w:sz="6" w:space="0" w:color="000000"/>
              <w:right w:val="single" w:sz="6" w:space="0" w:color="000000"/>
            </w:tcBorders>
          </w:tcPr>
          <w:p>
            <w:pPr>
              <w:pStyle w:val="Single"/>
              <w:spacing w:after="120"/>
              <w:ind w:left="288" w:right="288"/>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r>
              <w:t xml:space="preserve"> </w:t>
            </w:r>
            <w:r>
              <w:t xml:space="preserve">by</w:t>
            </w:r>
            <w:r>
              <w:t xml:space="preserve"> </w:t>
            </w:r>
            <w:r>
              <w:t xml:space="preserve">LETITIA</w:t>
            </w:r>
            <w:r>
              <w:t xml:space="preserve"> </w:t>
            </w:r>
            <w:r>
              <w:t xml:space="preserve">JAMES,</w:t>
            </w:r>
          </w:p>
          <w:p>
            <w:pPr>
              <w:pStyle w:val="Single"/>
              <w:spacing w:after="120"/>
              <w:ind w:left="288" w:right="288"/>
            </w:pP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pStyle w:val="Single"/>
              <w:spacing w:before="60" w:after="120"/>
              <w:ind w:right="288"/>
              <w:jc w:val="right"/>
            </w:pPr>
            <w:r>
              <w:t xml:space="preserve">Plaintiff,</w:t>
            </w:r>
          </w:p>
          <w:p>
            <w:pPr>
              <w:pStyle w:val="Centered"/>
              <w:spacing w:before="240" w:after="240"/>
            </w:pPr>
            <w:r>
              <w:rPr>
                <w:i/>
              </w:rPr>
              <w:t xml:space="preserve">-against-</w:t>
            </w:r>
          </w:p>
          <w:p>
            <w:pPr>
              <w:pStyle w:val="Single"/>
              <w:spacing w:after="120"/>
              <w:ind w:left="288" w:right="288"/>
            </w:pPr>
            <w:r>
              <w:t xml:space="preserve">DONALD</w:t>
            </w:r>
            <w:r>
              <w:t xml:space="preserve"> </w:t>
            </w:r>
            <w:r>
              <w:t xml:space="preserve">J.</w:t>
            </w:r>
            <w:r>
              <w:t xml:space="preserve"> </w:t>
            </w:r>
            <w:r>
              <w:t xml:space="preserve">TRUMP,</w:t>
            </w:r>
            <w:r>
              <w:t xml:space="preserve"> </w:t>
            </w:r>
            <w:r>
              <w:t xml:space="preserve">DONALD</w:t>
            </w:r>
            <w:r>
              <w:t xml:space="preserve"> </w:t>
            </w:r>
            <w:r>
              <w:t xml:space="preserve">TRUMP,</w:t>
            </w:r>
            <w:r>
              <w:t xml:space="preserve"> </w:t>
            </w:r>
            <w:r>
              <w:t xml:space="preserve">JR.,</w:t>
            </w:r>
            <w:r>
              <w:t xml:space="preserve"> </w:t>
            </w:r>
            <w:r>
              <w:t xml:space="preserve">ERIC</w:t>
            </w:r>
            <w:r>
              <w:t xml:space="preserve"> </w:t>
            </w:r>
            <w:r>
              <w:t xml:space="preserve">TRUMP,</w:t>
            </w:r>
            <w:r>
              <w:t xml:space="preserve"> </w:t>
            </w:r>
            <w:r>
              <w:t xml:space="preserve">IVANKA</w:t>
            </w:r>
            <w:r>
              <w:t xml:space="preserve"> </w:t>
            </w:r>
            <w:r>
              <w:t xml:space="preserve">TRUMP,</w:t>
            </w:r>
            <w:r>
              <w:t xml:space="preserve"> </w:t>
            </w:r>
            <w:r>
              <w:t xml:space="preserve">ALLEN</w:t>
            </w:r>
            <w:r>
              <w:t xml:space="preserve"> </w:t>
            </w:r>
            <w:r>
              <w:t xml:space="preserve">WEISSELBERG,</w:t>
            </w:r>
            <w:r>
              <w:t xml:space="preserve"> </w:t>
            </w:r>
            <w:r>
              <w:t xml:space="preserve">JEFFREY</w:t>
            </w:r>
            <w:r>
              <w:t xml:space="preserve"> </w:t>
            </w:r>
            <w:r>
              <w:t xml:space="preserve">MCCONNEY,</w:t>
            </w:r>
            <w:r>
              <w:t xml:space="preserve"> </w:t>
            </w:r>
            <w:r>
              <w:t xml:space="preserve">THE</w:t>
            </w:r>
            <w:r>
              <w:t xml:space="preserve"> </w:t>
            </w:r>
            <w:r>
              <w:t xml:space="preserve">DONALD</w:t>
            </w:r>
            <w:r>
              <w:t xml:space="preserve"> </w:t>
            </w:r>
            <w:r>
              <w:t xml:space="preserve">J.</w:t>
            </w:r>
            <w:r>
              <w:t xml:space="preserve"> </w:t>
            </w:r>
            <w:r>
              <w:t xml:space="preserve">TRUMP</w:t>
            </w:r>
            <w:r>
              <w:t xml:space="preserve"> </w:t>
            </w:r>
            <w:r>
              <w:t xml:space="preserve">REVOCABLE</w:t>
            </w:r>
            <w:r>
              <w:t xml:space="preserve"> </w:t>
            </w:r>
            <w:r>
              <w:t xml:space="preserve">TRUST,</w:t>
            </w:r>
            <w:r>
              <w:t xml:space="preserve"> </w:t>
            </w:r>
            <w:r>
              <w:t xml:space="preserve">THE</w:t>
            </w:r>
            <w:r>
              <w:t xml:space="preserve"> </w:t>
            </w:r>
            <w:r>
              <w:t xml:space="preserve">TRUMP</w:t>
            </w:r>
            <w:r>
              <w:t xml:space="preserve"> </w:t>
            </w:r>
            <w:r>
              <w:t xml:space="preserve">ORGANIZATION,</w:t>
            </w:r>
            <w:r>
              <w:t xml:space="preserve"> </w:t>
            </w:r>
            <w:r>
              <w:t xml:space="preserve">INC.,</w:t>
            </w:r>
            <w:r>
              <w:t xml:space="preserve"> </w:t>
            </w:r>
            <w:r>
              <w:t xml:space="preserve">TRUMP</w:t>
            </w:r>
            <w:r>
              <w:t xml:space="preserve"> </w:t>
            </w:r>
            <w:r>
              <w:t xml:space="preserve">ORGANIZATION</w:t>
            </w:r>
            <w:r>
              <w:t xml:space="preserve"> </w:t>
            </w:r>
            <w:r>
              <w:t xml:space="preserve">LLC,</w:t>
            </w:r>
            <w:r>
              <w:t xml:space="preserve"> </w:t>
            </w:r>
            <w:r>
              <w:t xml:space="preserve">DJT</w:t>
            </w:r>
            <w:r>
              <w:t xml:space="preserve"> </w:t>
            </w:r>
            <w:r>
              <w:t xml:space="preserve">HOLDINGS</w:t>
            </w:r>
            <w:r>
              <w:t xml:space="preserve"> </w:t>
            </w:r>
            <w:r>
              <w:t xml:space="preserve">LLC,</w:t>
            </w:r>
            <w:r>
              <w:t xml:space="preserve"> </w:t>
            </w:r>
            <w:r>
              <w:t xml:space="preserve">DJT</w:t>
            </w:r>
            <w:r>
              <w:t xml:space="preserve"> </w:t>
            </w:r>
            <w:r>
              <w:t xml:space="preserve">HOLDINGS</w:t>
            </w:r>
            <w:r>
              <w:t xml:space="preserve"> </w:t>
            </w:r>
            <w:r>
              <w:t xml:space="preserve">MANAGING</w:t>
            </w:r>
            <w:r>
              <w:t xml:space="preserve"> </w:t>
            </w:r>
            <w:r>
              <w:t xml:space="preserve">MEMBER,</w:t>
            </w:r>
            <w:r>
              <w:t xml:space="preserve"> </w:t>
            </w:r>
            <w:r>
              <w:t xml:space="preserve">TRUMP</w:t>
            </w:r>
            <w:r>
              <w:t xml:space="preserve"> </w:t>
            </w:r>
            <w:r>
              <w:t xml:space="preserve">ENDEAVOR</w:t>
            </w:r>
            <w:r>
              <w:t xml:space="preserve"> </w:t>
            </w:r>
            <w:r>
              <w:t xml:space="preserve">12</w:t>
            </w:r>
            <w:r>
              <w:t xml:space="preserve"> </w:t>
            </w:r>
            <w:r>
              <w:t xml:space="preserve">LLC,</w:t>
            </w:r>
            <w:r>
              <w:t xml:space="preserve"> </w:t>
            </w:r>
            <w:r>
              <w:t xml:space="preserve">401</w:t>
            </w:r>
            <w:r>
              <w:t xml:space="preserve"> </w:t>
            </w:r>
            <w:r>
              <w:t xml:space="preserve">NORTH</w:t>
            </w:r>
            <w:r>
              <w:t xml:space="preserve"> </w:t>
            </w:r>
            <w:r>
              <w:t xml:space="preserve">WABASH</w:t>
            </w:r>
            <w:r>
              <w:t xml:space="preserve"> </w:t>
            </w:r>
            <w:r>
              <w:t xml:space="preserve">VENTURE</w:t>
            </w:r>
            <w:r>
              <w:t xml:space="preserve"> </w:t>
            </w:r>
            <w:r>
              <w:t xml:space="preserve">LLC,</w:t>
            </w:r>
            <w:r>
              <w:t xml:space="preserve"> </w:t>
            </w:r>
            <w:r>
              <w:t xml:space="preserve">TRUMP</w:t>
            </w:r>
            <w:r>
              <w:t xml:space="preserve"> </w:t>
            </w:r>
            <w:r>
              <w:t xml:space="preserve">OLD</w:t>
            </w:r>
            <w:r>
              <w:t xml:space="preserve"> </w:t>
            </w:r>
            <w:r>
              <w:t xml:space="preserve">POST</w:t>
            </w:r>
            <w:r>
              <w:t xml:space="preserve"> </w:t>
            </w:r>
            <w:r>
              <w:t xml:space="preserve">OFFICE</w:t>
            </w:r>
            <w:r>
              <w:t xml:space="preserve"> </w:t>
            </w:r>
            <w:r>
              <w:t xml:space="preserve">LLC,</w:t>
            </w:r>
            <w:r>
              <w:t xml:space="preserve"> </w:t>
            </w:r>
            <w:r>
              <w:t xml:space="preserve">40</w:t>
            </w:r>
            <w:r>
              <w:t xml:space="preserve"> </w:t>
            </w:r>
            <w:r>
              <w:t xml:space="preserve">WALL</w:t>
            </w:r>
            <w:r>
              <w:t xml:space="preserve"> </w:t>
            </w:r>
            <w:r>
              <w:t xml:space="preserve">STREET</w:t>
            </w:r>
            <w:r>
              <w:t xml:space="preserve"> </w:t>
            </w:r>
            <w:r>
              <w:t xml:space="preserve">LLC,</w:t>
            </w:r>
            <w:r>
              <w:t xml:space="preserve"> </w:t>
            </w:r>
            <w:r>
              <w:t xml:space="preserve">and</w:t>
            </w:r>
            <w:r>
              <w:t xml:space="preserve"> </w:t>
            </w:r>
            <w:r>
              <w:t xml:space="preserve">SEVEN</w:t>
            </w:r>
            <w:r>
              <w:t xml:space="preserve"> </w:t>
            </w:r>
            <w:r>
              <w:t xml:space="preserve">SPRINGS</w:t>
            </w:r>
            <w:r>
              <w:t xml:space="preserve"> </w:t>
            </w:r>
            <w:r>
              <w:t xml:space="preserve">LLC,</w:t>
            </w:r>
          </w:p>
          <w:p>
            <w:pPr>
              <w:pStyle w:val="Single"/>
              <w:spacing w:before="60" w:after="120"/>
              <w:ind w:right="288"/>
              <w:jc w:val="right"/>
            </w:pPr>
            <w:r>
              <w:t xml:space="preserve">Defendants.</w:t>
            </w:r>
          </w:p>
        </w:tc>
        <w:tc>
          <w:tcPr>
            <w:tcW w:w="4176" w:type="dxa"/>
            <w:tcMar>
              <w:left w:w="288" w:type="dxa"/>
            </w:tcMar>
          </w:tcPr>
          <w:p>
            <w:pPr>
              <w:pStyle w:val="Single"/>
            </w:pPr>
            <w:r>
              <w:t xml:space="preserve">Index</w:t>
            </w:r>
            <w:r>
              <w:t xml:space="preserve"> </w:t>
            </w:r>
            <w:r>
              <w:t xml:space="preserve">No. ____________</w:t>
            </w:r>
          </w:p>
          <w:p>
            <w:pPr>
              <w:pStyle w:val="Single"/>
              <w:spacing w:before="480"/>
            </w:pPr>
            <w:r>
              <w:rPr>
                <w:b/>
              </w:rPr>
              <w:t xml:space="preserve">VERIFIED</w:t>
            </w:r>
            <w:r>
              <w:rPr>
                <w:b/>
              </w:rPr>
              <w:t xml:space="preserve"> </w:t>
            </w:r>
            <w:r>
              <w:rPr>
                <w:b/>
              </w:rPr>
              <w:t xml:space="preserve">COMPLAINT</w:t>
            </w:r>
          </w:p>
        </w:tc>
      </w:tr>
    </w:tbl>
    <w:p>
      <w:pPr>
        <w:pStyle w:val="Single"/>
        <w:spacing w:after="240"/>
      </w:pPr>
    </w:p>
    <w:p>
      <w:pPr>
        <w:pStyle w:val="Centered"/>
        <w:spacing w:after="240"/>
      </w:pPr>
      <w:r>
        <w:rPr>
          <w:b/>
        </w:rPr>
        <w:t xml:space="preserve">TABLE OF CONTENTS</w:t>
      </w:r>
    </w:p>
    <w:p>
      <w:pPr>
        <w:pStyle w:val="TOC1"/>
      </w:pPr>
      <w:r>
        <w:fldChar w:fldCharType="begin"/>
      </w:r>
      <w:r>
        <w:instrText xml:space="preserve"> TOC \o "1-2" \h \z \u </w:instrText>
      </w:r>
      <w:r>
        <w:fldChar w:fldCharType="separate"/>
      </w:r>
      <w:r>
        <w:t xml:space="preserve">I. NATURE OF THE ACTION</w:t>
      </w:r>
    </w:p>
    <w:p>
      <w:pPr>
        <w:pStyle w:val="TOC2"/>
      </w:pPr>
      <w:r>
        <w:t xml:space="preserve">A. The Fraudulent Statements of Financial Condition</w:t>
      </w:r>
    </w:p>
    <w:p>
      <w:pPr>
        <w:pStyle w:val="TOC1"/>
      </w:pPr>
      <w:r>
        <w:t xml:space="preserve">V. CAUSES OF ACTION</w:t>
      </w:r>
    </w:p>
    <w:p>
      <w:pPr>
        <w:pStyle w:val="TOC2"/>
      </w:pPr>
      <w:r>
        <w:t xml:space="preserve">FIRST CAUSE OF ACTION</w:t>
      </w:r>
    </w:p>
    <w:p>
      <w:pPr>
        <w:pStyle w:val="TOC1"/>
      </w:pPr>
      <w:r>
        <w:t xml:space="preserve">VI. PRAYER FOR RELIEF</w:t>
      </w:r>
      <w:r>
        <w:fldChar w:fldCharType="end"/>
      </w:r>
    </w:p>
    <w:p>
      <w:r>
        <w:br w:type="page"/>
      </w:r>
    </w:p>
    <w:p>
      <w:pPr>
        <w:pStyle w:val="FirstParagraph"/>
      </w:pPr>
      <w:r>
        <w:t xml:space="preserve">Plaintiff, the People of the State of New York, by Letitia James, Attorney General of the State of New York, as and for their Verified Complaint, respectfully allege:</w:t>
      </w:r>
    </w:p>
    <w:p>
      <w:pPr>
        <w:pStyle w:val="Heading1"/>
      </w:pPr>
      <w:bookmarkStart w:id="9" w:name="_e77a7ed2c216c6071385f8030d92e65c314fb05"/>
      <w:r>
        <w:t xml:space="preserve">I. NATURE OF THE ACTION</w:t>
      </w:r>
      <w:bookmarkEnd w:id="9"/>
    </w:p>
    <w:p>
      <w:pPr>
        <w:pStyle w:val="FirstParagraph"/>
      </w:pPr>
      <w:r>
        <w:t xml:space="preserve">1. Following a comprehensive three-year investigation by the Office of the Attorney General (“OAG”), involving interviews with more than 65 witnesses and review of millions of pages of documents produced by Defendants and others, OAG has determined that Defendants Donald J. Trump (“Mr. Trump”), Trump Organization LLC and the Trump Organization, Inc. (collectively with the other named entities, the “Trump Organization”), Allen Weisselberg, and the other individuals and entities affiliated with Mr. Trump and his companies named as Defendants, engaged in numerous acts of fraud and misrepresentation in the preparation of Mr. Trump’s annual statements of financial condition (“Statements of Financial Condition” or “Statements”) covering at least the years 2011 through 2021.</w:t>
      </w:r>
    </w:p>
    <w:p>
      <w:pPr>
        <w:pStyle w:val="BodyText"/>
      </w:pPr>
      <w:r>
        <w:t xml:space="preserve">2. These acts of fraud and misrepresentation were similar in nature, were committed by upper management at the Trump Organization as part of a common endeavor for each annual Statement, and were approved at the highest levels of the Trump Organization—including by Mr. Trump himself. Indeed, Mr. Trump made known through Mr. Weisselberg that he wanted his net worth on the Statements to increase—a desire Mr. Weisselberg and others carried out year after year in their fraudulent preparation of the Statements.</w:t>
      </w:r>
    </w:p>
    <w:p>
      <w:pPr>
        <w:pStyle w:val="BodyText"/>
      </w:pPr>
      <w:r>
        <w:t xml:space="preserve">3. These acts of fraud and misrepresentation grossly inflated Mr. Trump’s personal net worth as reported in the Statements by billions of dollars and conveyed false and misleading impressions to financial counterparties about how the Statements were prepared. Mr. Trump and the Trump Organization used these false and misleading Statements repeatedly and persistently to induce banks to lend money to the Trump Organization on more favorable terms than would otherwise have been available to the company, to satisfy continuing loan covenants, and to induce insurers to provide insurance coverage for higher limits and at lower premiums.</w:t>
      </w:r>
    </w:p>
    <w:p>
      <w:pPr>
        <w:pStyle w:val="BodyText"/>
      </w:pPr>
      <w:r>
        <w:t xml:space="preserve">4. All of this conduct was in violation of New York Executive Law § 63(12)’s prohibition of persistent and repeated business fraud, which embraces any conduct that “has the capacity or tendency to deceive, or creates an atmosphere conductive to fraud.”</w:t>
      </w:r>
      <w:r>
        <w:t xml:space="preserve"> </w:t>
      </w:r>
      <w:r>
        <w:rPr>
          <w:i/>
          <w:iCs/>
        </w:rPr>
        <w:t xml:space="preserve">People v. Northern Leasing Systems, Inc.</w:t>
      </w:r>
      <w:r>
        <w:t xml:space="preserve">, 193 A.D.3d 67, 75 (1st Dep’t 2021).</w:t>
      </w:r>
    </w:p>
    <w:p>
      <w:pPr>
        <w:pStyle w:val="BodyText"/>
      </w:pPr>
      <w:r>
        <w:t xml:space="preserve">5. These misrepresentations also violated a host of state criminal laws, constituting repeated and persistent illegality in violation of Executive Law § 63(12). Among other laws, Defendants repeatedly and persistently violated the following: New York Penal Law § 175.10 (Falsifying Business Records); Penal Law § 175.45 (Issuing a False Financial Statement); and Penal Law § 176.05 (Insurance Fraud).</w:t>
      </w:r>
      <w:r>
        <w:rPr>
          <w:rStyle w:val="FootnoteReference"/>
        </w:rPr>
        <w:footnoteReference w:id="10"/>
      </w:r>
    </w:p>
    <w:p>
      <w:pPr>
        <w:pStyle w:val="BodyText"/>
      </w:pPr>
      <w:r>
        <w:t xml:space="preserve">6. Each Statement from 2011 to 2021 provides Mr. Trump’s personal net worth as of June 30 of the year it covers, was compiled by Trump Organization executives, and was issued as a compilation report by Mr. Trump’s accounting firm. Each Statement provides on its face that its preparation was the responsibility of Mr. Trump, or starting in 2016, the trustees of his revocable trust, Donald Trump, Jr. and Allen Weisselberg.</w:t>
      </w:r>
      <w:r>
        <w:rPr>
          <w:rStyle w:val="FootnoteReference"/>
        </w:rPr>
        <w:footnoteReference w:id="11"/>
      </w:r>
      <w:r>
        <w:t xml:space="preserve"> </w:t>
      </w:r>
      <w:r>
        <w:t xml:space="preserve">Each Statement was personally certified as accurate by Mr. Trump, by one of his trustees, or in 2021 by Eric Trump, when submitting the Statement to financial institutions with the purpose and intent that the information contained in the Statement would be relied upon by those institutions.</w:t>
      </w:r>
    </w:p>
    <w:p>
      <w:pPr>
        <w:pStyle w:val="BodyText"/>
      </w:pPr>
      <w:r>
        <w:t xml:space="preserve">7. Each year from 2011 to 2016, Mr. Trump and Mr. Weisselberg would meet to review and approve the final Statement. When asked questions about those meetings under oath, both men invoked their Fifth Amendment privilege against self-incrimination and refused to answer. When asked under oath if he continued to review and approve the Statements after becoming President of the United States in 2017, Mr. Trump invoked his Fifth Amendment privilege and refused to answer.</w:t>
      </w:r>
    </w:p>
    <w:p>
      <w:pPr>
        <w:pStyle w:val="BodyText"/>
      </w:pPr>
      <w:r>
        <w:t xml:space="preserve">8. As further evidence of their scheme to inflate the value of Mr. Trump’s assets when beneficial to his financial interests, Mr. Trump and the Trump Organization procured inflated appraisals through fraud and misrepresentations in 2014 and 2015 for the purpose of granting conservation easements over two of Mr. Trump’s properties. Through these conservation easements, Mr. Trump and the Trump Organization agreed to forgo their purported rights to develop areas of the two properties that are the subjects of the easements, which enabled them to treat as a charitable donation the difference in the value of each property with and without the relinquished development rights as determined in the appraisals. In the same way that Mr. Trump and the Trump Organization inflated the valuations of Mr. Trump’s assets for the Statements, they manipulated the appraisals to inflate the value of the donated development rights with respect to both conservation easements.</w:t>
      </w:r>
    </w:p>
    <w:p>
      <w:pPr>
        <w:pStyle w:val="Heading2"/>
      </w:pPr>
      <w:bookmarkStart w:id="12" w:name="_a065f530c96e41f4f2fa9095aba9e956cc494e2"/>
      <w:r>
        <w:t xml:space="preserve">A. The Fraudulent Statements of Financial Condition</w:t>
      </w:r>
      <w:bookmarkEnd w:id="12"/>
    </w:p>
    <w:p>
      <w:pPr>
        <w:pStyle w:val="FirstParagraph"/>
      </w:pPr>
      <w:r>
        <w:t xml:space="preserve">9. Each Statement of Financial Condition lists Mr. Trump’s assets and liabilities, and then presents his “net worth” as the difference between the two. On the asset side, each Statement includes five basic categories: (i) “cash and cash equivalents;” (ii) monies held in “escrow” and “reserve deposits;” (iii) interests in “partnerships and joint ventures;” (iv) real estate licensing fees; and (v) by far the largest category – real estate holdings. On the liability side, each Statement lists “accounts payable and accrued expenses,” loans on “real and operating properties,” and other mortgages and loans.</w:t>
      </w:r>
    </w:p>
    <w:p>
      <w:pPr>
        <w:pStyle w:val="BodyText"/>
      </w:pPr>
      <w:r>
        <w:t xml:space="preserve">10. Mr. Trump’s Statements of Financial Condition for the period 2011 through 2021 were fraudulent and misleading in both their composition and presentation. The number of grossly inflated asset values is staggering, affecting most if not all of the real estate holdings in any given year. All told, Mr. Trump, the Trump Organization, and the other Defendants, as part of a repeated pattern and common scheme, derived more than 200 false and misleading valuations of assets included in the 11 Statements covering 2011 through 2021.</w:t>
      </w:r>
    </w:p>
    <w:p>
      <w:pPr>
        <w:pStyle w:val="BodyText"/>
      </w:pPr>
      <w:r>
        <w:t xml:space="preserve">11. Nearly every one of the Statements represented that the values were prepared by Mr. Trump and others at the Trump Organization in “evaluation[s]” done with “outside professionals,” but that was false and misleading; no outside professionals were retained to prepare any of the asset valuations presented in the Statements. To the extent Mr. Trump and the Trump Organization received any advice from outside professionals that had any bearing on how to approach valuing the assets, they routinely ignored or contradicted such advice. For example, they received a series of bank-ordered appraisals for the commercial property at 40 Wall Street that calculated a value for the property at $200 million as of August 1, 2010 and $220 million as of November 1, 2012. Yet in the 2011 Statement, they listed 40 Wall Street with a value $524 million and increased the valuation to $527 million in the 2012 Statement, and to $530 million in 2013—more than twice the value calculated by the “professionals.”</w:t>
      </w:r>
    </w:p>
    <w:p>
      <w:pPr>
        <w:pStyle w:val="Heading1"/>
      </w:pPr>
      <w:bookmarkStart w:id="13" w:name="_944e1c96039b4d9b668f215cbec09c3e835507c"/>
      <w:r>
        <w:t xml:space="preserve">V. CAUSES OF ACTION</w:t>
      </w:r>
      <w:bookmarkEnd w:id="13"/>
    </w:p>
    <w:p>
      <w:pPr>
        <w:pStyle w:val="Heading2"/>
      </w:pPr>
      <w:bookmarkStart w:id="14" w:name="_abd46a3982de94d521067f8bc99d203db74740a"/>
      <w:r>
        <w:t xml:space="preserve">FIRST CAUSE OF ACTION</w:t>
      </w:r>
      <w:bookmarkEnd w:id="14"/>
    </w:p>
    <w:p>
      <w:pPr>
        <w:pStyle w:val="Heading3"/>
      </w:pPr>
      <w:bookmarkStart w:id="15" w:name="_c55177d3ff7c5a979932e26f9ecf964f282de05"/>
      <w:r>
        <w:t xml:space="preserve">Executive Law § 63(12) – Persistent and Repeated Fraud (Against All Defendants)</w:t>
      </w:r>
      <w:bookmarkEnd w:id="15"/>
    </w:p>
    <w:p>
      <w:pPr>
        <w:pStyle w:val="FirstParagraph"/>
      </w:pPr>
      <w:r>
        <w:t xml:space="preserve">748. Plaintiff repeats and re-alleges the paragraphs above as if fully stated herein.</w:t>
      </w:r>
    </w:p>
    <w:p>
      <w:pPr>
        <w:pStyle w:val="BodyText"/>
      </w:pPr>
      <w:r>
        <w:t xml:space="preserve">749. New York Executive Law § 63(12) empowers the Attorney General to seek restitution, damages, and injunctive relief when any person or business entity has engaged in repeated fraudulent or illegal acts or otherwise demonstrates persistent fraud or illegality in the carrying on, conducting or transaction of business.</w:t>
      </w:r>
    </w:p>
    <w:p>
      <w:pPr>
        <w:pStyle w:val="BodyText"/>
      </w:pPr>
      <w:r>
        <w:t xml:space="preserve">750. At all relevant times, Defendants have engaged in carrying on, conducting, or the transaction of business in New York within the meaning of Executive Law § 63(12).</w:t>
      </w:r>
    </w:p>
    <w:p>
      <w:pPr>
        <w:pStyle w:val="BodyText"/>
      </w:pPr>
      <w:r>
        <w:t xml:space="preserve">751. Fraud under Executive Law § 63(12) is broadly defined to include “any device, scheme, or artifice to defraud and any deception, misrepresentation, concealment, suppression, false pretense, false promise or unconscionable contractual provisions.”</w:t>
      </w:r>
    </w:p>
    <w:p>
      <w:pPr>
        <w:pStyle w:val="BodyText"/>
      </w:pPr>
      <w:r>
        <w:t xml:space="preserve">752. Fraudulent conduct as used in § 63(12) includes acts that have the “capacity or tendency to deceive, or create[ ] an atmosphere conducive to fraud.”</w:t>
      </w:r>
      <w:r>
        <w:t xml:space="preserve"> </w:t>
      </w:r>
      <w:r>
        <w:rPr>
          <w:i/>
          <w:iCs/>
        </w:rPr>
        <w:t xml:space="preserve">People v. Applied Card Sys., Inc.</w:t>
      </w:r>
      <w:r>
        <w:t xml:space="preserve">, 27 A.D.3d 104, 107 (3d Dep’t 2005),</w:t>
      </w:r>
      <w:r>
        <w:t xml:space="preserve"> </w:t>
      </w:r>
      <w:r>
        <w:rPr>
          <w:i/>
          <w:iCs/>
        </w:rPr>
        <w:t xml:space="preserve">aff’d on other grounds</w:t>
      </w:r>
      <w:r>
        <w:t xml:space="preserve">, 11 N.Y.3d 105 (2008);</w:t>
      </w:r>
      <w:r>
        <w:t xml:space="preserve"> </w:t>
      </w:r>
      <w:r>
        <w:rPr>
          <w:i/>
          <w:iCs/>
        </w:rPr>
        <w:t xml:space="preserve">see also People v. Northern Leasing Systems, Inc.</w:t>
      </w:r>
      <w:r>
        <w:t xml:space="preserve">, 193 A.D.3d 67, 73 (1st Dep’t 2021). The terms “fraud” and “fraudulent” are “given a wide meaning so as to embrace all deceitful practices contrary to the plain rules of common honesty, including all acts, even though not originating in any actual evil design to perpetrate fraud or injury upon others, which do tend to deceive or mislead.”</w:t>
      </w:r>
      <w:r>
        <w:t xml:space="preserve"> </w:t>
      </w:r>
      <w:r>
        <w:rPr>
          <w:i/>
          <w:iCs/>
        </w:rPr>
        <w:t xml:space="preserve">People ex rel. Cuomo v. Greenberg</w:t>
      </w:r>
      <w:r>
        <w:t xml:space="preserve">, 95 A.D.3d 474, 483 (1st Dep’t 2012).</w:t>
      </w:r>
    </w:p>
    <w:p>
      <w:pPr>
        <w:pStyle w:val="BodyText"/>
      </w:pPr>
      <w:r>
        <w:t xml:space="preserve">753. Persistent fraud or illegality under Executive Law § 63(12) is broadly defined to include continuance or carrying on of any fraudulent or illegal act or conduct.</w:t>
      </w:r>
    </w:p>
    <w:p>
      <w:pPr>
        <w:pStyle w:val="BodyText"/>
      </w:pPr>
      <w:r>
        <w:t xml:space="preserve">754. Repeated fraud or illegality under Executive Law § 63(12) includes “repetition of any separate and distinct fraudulent or illegal act, or conduct which affects more than one person.”</w:t>
      </w:r>
    </w:p>
    <w:p>
      <w:pPr>
        <w:pStyle w:val="BodyText"/>
      </w:pPr>
      <w:r>
        <w:t xml:space="preserve">755. Defendants’ acts and practices alleged herein constitute conduct proscribed by Executive Law § 63(12) in that Defendants engaged in persistent and repeated fraudulent acts. As set forth in the allegations above, Defendants made or caused to be made misrepresentations, false or misleading statements, and statements that were misleading by omission, concealment, or suppression of information. All of this conduct, moreover, occurred in an atmosphere conducive to fraud—in which the goal of increasing Mr. Trump’s reported net worth on the Statements was well known and carried out by his agents and subordinates.</w:t>
      </w:r>
    </w:p>
    <w:p>
      <w:pPr>
        <w:pStyle w:val="Heading1"/>
      </w:pPr>
      <w:bookmarkStart w:id="16" w:name="_778cb286f414d24ed0e1c898f1fd2ec0cb209a5"/>
      <w:r>
        <w:t xml:space="preserve">VI. PRAYER FOR RELIEF</w:t>
      </w:r>
      <w:bookmarkEnd w:id="16"/>
    </w:p>
    <w:p>
      <w:pPr>
        <w:pStyle w:val="FirstParagraph"/>
      </w:pPr>
      <w:r>
        <w:t xml:space="preserve">WHEREFORE, Plaintiff respectfully requests that the Court enter an order and judgment granting the following relief to remedy the substantial, persistent, and repeated fraudulent and misleading conduct in the business of the Trump Organization occurring since 2011:</w:t>
      </w:r>
    </w:p>
    <w:p>
      <w:pPr>
        <w:pStyle w:val="BodyText"/>
      </w:pPr>
      <w:r>
        <w:t xml:space="preserve">A. Cancelling any certificate filed under and by virtue of the provisions of section one hundred thirty of the General Business Law for the corporate entities named as defendants and any other entity controlled by or beneficially owned by Donald J. Trump which participated in or benefitted from the foregoing fraudulent scheme;</w:t>
      </w:r>
    </w:p>
    <w:p>
      <w:pPr>
        <w:pStyle w:val="BodyText"/>
      </w:pPr>
      <w:r>
        <w:t xml:space="preserve">B. Appointing an independent monitor to oversee compliance, financial reporting, valuations, and disclosures to lenders, insurers, and tax authorities, at the Trump Organization, for a period of no less than five years;</w:t>
      </w:r>
    </w:p>
    <w:p>
      <w:pPr>
        <w:pStyle w:val="BodyText"/>
      </w:pPr>
      <w:r>
        <w:t xml:space="preserve">C. Replacing the current trustees of the Donald J. Trump Revocable Trust (“Revocable Trust”) with new independent trustees, and requiring similar independent governance in any newly-formed trust should the Revocable Trust be revoked and replaced with another trust structure;</w:t>
      </w:r>
    </w:p>
    <w:p>
      <w:pPr>
        <w:pStyle w:val="BodyText"/>
      </w:pPr>
      <w:r>
        <w:t xml:space="preserve">D. Requiring the Trump Organization to prepare on an annual basis for the next five years a GAAP-compliant, audited statement of financial condition showing Mr. Trump’s net worth, to be distributed to all recipients of his prior Statements of Financial Condition;</w:t>
      </w:r>
    </w:p>
    <w:p>
      <w:pPr>
        <w:pStyle w:val="BodyText"/>
      </w:pPr>
      <w:r>
        <w:t xml:space="preserve">E. Barring Mr. Trump and the Trump Organization from entering into any New York State commercial real estate acquisitions for a period of five years;</w:t>
      </w:r>
    </w:p>
    <w:p>
      <w:pPr>
        <w:pStyle w:val="BodyText"/>
      </w:pPr>
      <w:r>
        <w:t xml:space="preserve">F. Barring Mr. Trump and the Trump Organization from applying for loans from any financial institution chartered by or registered with the New York Department of Financial Services for a period of five years;</w:t>
      </w:r>
    </w:p>
    <w:p>
      <w:pPr>
        <w:pStyle w:val="BodyText"/>
      </w:pPr>
      <w:r>
        <w:t xml:space="preserve">G. Permanently barring Mr. Trump, Donald Trump, Jr., Ivanka Trump, and Eric Trump from serving as an officer or director in any New York corporation or similar business entity registered and/or licensed in New York State;</w:t>
      </w:r>
    </w:p>
    <w:p>
      <w:pPr>
        <w:pStyle w:val="BodyText"/>
      </w:pPr>
      <w:r>
        <w:t xml:space="preserve">I. Permanently barring Allen Weisselberg and Jeffrey McConney from serving in the financial control function of any New York corporation or similar business entity registered and/or licensed in New York State;</w:t>
      </w:r>
    </w:p>
    <w:p>
      <w:pPr>
        <w:pStyle w:val="BodyText"/>
      </w:pPr>
      <w:r>
        <w:t xml:space="preserve">J. Awarding disgorgement of all financial benefits obtained by each Defendant from the fraudulent scheme, including all financial benefits from lenders and insurers through repeated and persistent fraudulent practices of an amount to be determined at trial but estimated to be $250,000,000, plus prejudgment interest; and</w:t>
      </w:r>
    </w:p>
    <w:p>
      <w:pPr>
        <w:pStyle w:val="BodyText"/>
      </w:pPr>
      <w:r>
        <w:t xml:space="preserve">K. Granting any additional relief the Court deems appropriate.</w:t>
      </w:r>
    </w:p>
    <w:p>
      <w:pPr>
        <w:pStyle w:val="Single"/>
        <w:spacing w:before="240" w:after="0"/>
      </w:pPr>
    </w:p>
    <w:tbl>
      <w:tblPr>
        <w:tblW w:w="9360" w:type="dxa"/>
        <w:tblLayout w:type="fixed"/>
        <w:tblCellMar>
          <w:left w:w="0" w:type="dxa"/>
          <w:right w:w="0" w:type="dxa"/>
        </w:tblCellMar>
      </w:tblPr>
      <w:tblGrid>
        <w:gridCol w:w="4680"/>
        <w:gridCol w:w="4680"/>
      </w:tblGrid>
      <w:tr>
        <w:tc>
          <w:tcPr>
            <w:tcW w:w="4680" w:type="dxa"/>
          </w:tcPr>
          <w:p>
            <w:pPr>
              <w:pStyle w:val="Single"/>
            </w:pPr>
            <w:r>
              <w:t xml:space="preserve">Dated: </w:t>
            </w:r>
            <w:r>
              <w:t xml:space="preserve">September</w:t>
            </w:r>
            <w:r>
              <w:t xml:space="preserve"> </w:t>
            </w:r>
            <w:r>
              <w:t xml:space="preserve">21,</w:t>
            </w:r>
            <w:r>
              <w:t xml:space="preserve"> </w:t>
            </w:r>
            <w:r>
              <w:t xml:space="preserve">2022</w:t>
            </w:r>
          </w:p>
        </w:tc>
        <w:tc>
          <w:tcPr>
            <w:tcW w:w="4680" w:type="dxa"/>
          </w:tcPr>
          <w:p>
            <w:pPr>
              <w:pStyle w:val="Single"/>
              <w:spacing w:before="240"/>
            </w:pPr>
            <w:r>
              <w:t xml:space="preserve">Respectfully submitted,</w:t>
            </w:r>
          </w:p>
          <w:p>
            <w:pPr>
              <w:pStyle w:val="Single"/>
              <w:spacing w:before="240"/>
            </w:pPr>
            <w:r>
              <w:t xml:space="preserve">LETITIA</w:t>
            </w:r>
            <w:r>
              <w:t xml:space="preserve"> </w:t>
            </w:r>
            <w:r>
              <w:t xml:space="preserve">JAMES</w:t>
            </w:r>
          </w:p>
          <w:p>
            <w:pPr>
              <w:pStyle w:val="Single"/>
              <w:spacing w:before="240"/>
            </w:pP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p>
          <w:p>
            <w:pPr>
              <w:pStyle w:val="Single"/>
              <w:pBdr>
                <w:bottom w:val="single" w:sz="6" w:space="1" w:color="000000"/>
              </w:pBdr>
              <w:spacing w:before="480"/>
              <w:ind w:right="1080"/>
            </w:pPr>
            <w:r>
              <w:t xml:space="preserve">By:</w:t>
            </w:r>
          </w:p>
          <w:p>
            <w:pPr>
              <w:pStyle w:val="Single"/>
              <w:spacing w:before="60"/>
            </w:pPr>
            <w:r>
              <w:t xml:space="preserve">Kevin</w:t>
            </w:r>
            <w:r>
              <w:t xml:space="preserve"> </w:t>
            </w:r>
            <w:r>
              <w:t xml:space="preserve">Wallace</w:t>
            </w:r>
          </w:p>
          <w:p>
            <w:pPr>
              <w:pStyle w:val="Single"/>
            </w:pPr>
            <w:r>
              <w:rPr>
                <w:i/>
              </w:rPr>
              <w:t xml:space="preserve">Office</w:t>
            </w:r>
            <w:r>
              <w:rPr>
                <w:i/>
              </w:rPr>
              <w:t xml:space="preserve"> </w:t>
            </w:r>
            <w:r>
              <w:rPr>
                <w:i/>
              </w:rPr>
              <w:t xml:space="preserve">of</w:t>
            </w:r>
            <w:r>
              <w:rPr>
                <w:i/>
              </w:rPr>
              <w:t xml:space="preserve"> </w:t>
            </w:r>
            <w:r>
              <w:rPr>
                <w:i/>
              </w:rPr>
              <w:t xml:space="preserve">the</w:t>
            </w:r>
            <w:r>
              <w:rPr>
                <w:i/>
              </w:rPr>
              <w:t xml:space="preserve"> </w:t>
            </w:r>
            <w:r>
              <w:rPr>
                <w:i/>
              </w:rPr>
              <w:t xml:space="preserve">New</w:t>
            </w:r>
            <w:r>
              <w:rPr>
                <w:i/>
              </w:rPr>
              <w:t xml:space="preserve"> </w:t>
            </w:r>
            <w:r>
              <w:rPr>
                <w:i/>
              </w:rPr>
              <w:t xml:space="preserve">York</w:t>
            </w:r>
            <w:r>
              <w:rPr>
                <w:i/>
              </w:rPr>
              <w:t xml:space="preserve"> </w:t>
            </w:r>
            <w:r>
              <w:rPr>
                <w:i/>
              </w:rPr>
              <w:t xml:space="preserve">State</w:t>
            </w:r>
            <w:r>
              <w:rPr>
                <w:i/>
              </w:rPr>
              <w:t xml:space="preserve"> </w:t>
            </w:r>
            <w:r>
              <w:rPr>
                <w:i/>
              </w:rPr>
              <w:t xml:space="preserve">Attorney</w:t>
            </w:r>
            <w:r>
              <w:rPr>
                <w:i/>
              </w:rPr>
              <w:t xml:space="preserve"> </w:t>
            </w:r>
            <w:r>
              <w:rPr>
                <w:i/>
              </w:rPr>
              <w:t xml:space="preserve">General</w:t>
            </w:r>
          </w:p>
          <w:p>
            <w:pPr>
              <w:pStyle w:val="Single"/>
            </w:pPr>
            <w:r>
              <w:rPr>
                <w:i/>
              </w:rPr>
              <w:t xml:space="preserve">28</w:t>
            </w:r>
            <w:r>
              <w:rPr>
                <w:i/>
              </w:rPr>
              <w:t xml:space="preserve"> </w:t>
            </w:r>
            <w:r>
              <w:rPr>
                <w:i/>
              </w:rPr>
              <w:t xml:space="preserve">Liberty</w:t>
            </w:r>
            <w:r>
              <w:rPr>
                <w:i/>
              </w:rPr>
              <w:t xml:space="preserve"> </w:t>
            </w:r>
            <w:r>
              <w:rPr>
                <w:i/>
              </w:rPr>
              <w:t xml:space="preserve">Street,</w:t>
            </w:r>
            <w:r>
              <w:rPr>
                <w:i/>
              </w:rPr>
              <w:t xml:space="preserve"> </w:t>
            </w:r>
            <w:r>
              <w:rPr>
                <w:i/>
              </w:rPr>
              <w:t xml:space="preserve">New</w:t>
            </w:r>
            <w:r>
              <w:rPr>
                <w:i/>
              </w:rPr>
              <w:t xml:space="preserve"> </w:t>
            </w:r>
            <w:r>
              <w:rPr>
                <w:i/>
              </w:rPr>
              <w:t xml:space="preserve">York,</w:t>
            </w:r>
            <w:r>
              <w:rPr>
                <w:i/>
              </w:rPr>
              <w:t xml:space="preserve"> </w:t>
            </w:r>
            <w:r>
              <w:rPr>
                <w:i/>
              </w:rPr>
              <w:t xml:space="preserve">NY</w:t>
            </w:r>
            <w:r>
              <w:rPr>
                <w:i/>
              </w:rPr>
              <w:t xml:space="preserve"> </w:t>
            </w:r>
            <w:r>
              <w:rPr>
                <w:i/>
              </w:rPr>
              <w:t xml:space="preserve">10005</w:t>
            </w:r>
          </w:p>
          <w:p>
            <w:pPr>
              <w:pStyle w:val="Single"/>
            </w:pPr>
            <w:r>
              <w:rPr>
                <w:i/>
              </w:rPr>
              <w:t xml:space="preserve">(212)</w:t>
            </w:r>
            <w:r>
              <w:rPr>
                <w:i/>
              </w:rPr>
              <w:t xml:space="preserve"> </w:t>
            </w:r>
            <w:r>
              <w:rPr>
                <w:i/>
              </w:rPr>
              <w:t xml:space="preserve">416-6376</w:t>
            </w:r>
          </w:p>
          <w:p>
            <w:pPr>
              <w:pStyle w:val="Single"/>
            </w:pPr>
            <w:r>
              <w:rPr>
                <w:i/>
              </w:rPr>
              <w:t xml:space="preserve">kevin.wallace@ag.ny.gov</w:t>
            </w:r>
          </w:p>
          <w:p>
            <w:pPr>
              <w:pStyle w:val="Single"/>
            </w:pPr>
            <w:r>
              <w:rPr>
                <w:i/>
              </w:rPr>
              <w:t xml:space="preserve">Attorneys</w:t>
            </w:r>
            <w:r>
              <w:rPr>
                <w:i/>
              </w:rPr>
              <w:t xml:space="preserve"> </w:t>
            </w:r>
            <w:r>
              <w:rPr>
                <w:i/>
              </w:rPr>
              <w:t xml:space="preserve">for</w:t>
            </w:r>
            <w:r>
              <w:rPr>
                <w:i/>
              </w:rPr>
              <w:t xml:space="preserve"> </w:t>
            </w:r>
            <w:r>
              <w:rPr>
                <w:i/>
              </w:rPr>
              <w:t xml:space="preserve">the</w:t>
            </w:r>
            <w:r>
              <w:rPr>
                <w:i/>
              </w:rPr>
              <w:t xml:space="preserve"> </w:t>
            </w:r>
            <w:r>
              <w:rPr>
                <w:i/>
              </w:rPr>
              <w:t xml:space="preserve">People</w:t>
            </w:r>
            <w:r>
              <w:rPr>
                <w:i/>
              </w:rPr>
              <w:t xml:space="preserve"> </w:t>
            </w:r>
            <w:r>
              <w:rPr>
                <w:i/>
              </w:rPr>
              <w:t xml:space="preserve">of</w:t>
            </w:r>
            <w:r>
              <w:rPr>
                <w:i/>
              </w:rPr>
              <w:t xml:space="preserve"> </w:t>
            </w:r>
            <w:r>
              <w:rPr>
                <w:i/>
              </w:rPr>
              <w:t xml:space="preserve">the</w:t>
            </w:r>
            <w:r>
              <w:rPr>
                <w:i/>
              </w:rPr>
              <w:t xml:space="preserve"> </w:t>
            </w:r>
            <w:r>
              <w:rPr>
                <w:i/>
              </w:rPr>
              <w:t xml:space="preserve">State</w:t>
            </w:r>
            <w:r>
              <w:rPr>
                <w:i/>
              </w:rPr>
              <w:t xml:space="preserve"> </w:t>
            </w:r>
            <w:r>
              <w:rPr>
                <w:i/>
              </w:rPr>
              <w:t xml:space="preserve">of</w:t>
            </w:r>
            <w:r>
              <w:rPr>
                <w:i/>
              </w:rPr>
              <w:t xml:space="preserve"> </w:t>
            </w:r>
            <w:r>
              <w:rPr>
                <w:i/>
              </w:rPr>
              <w:t xml:space="preserve">New</w:t>
            </w:r>
            <w:r>
              <w:rPr>
                <w:i/>
              </w:rPr>
              <w:t xml:space="preserve"> </w:t>
            </w:r>
            <w:r>
              <w:rPr>
                <w:i/>
              </w:rPr>
              <w:t xml:space="preserve">York</w:t>
            </w:r>
          </w:p>
        </w:tc>
      </w:tr>
    </w:tbl>
    <w:p>
      <w:pPr>
        <w:pStyle w:val="Single"/>
        <w:spacing w:before="480"/>
      </w:pPr>
      <w:r>
        <w:t xml:space="preserve">To:</w:t>
      </w:r>
    </w:p>
    <w:p>
      <w:pPr>
        <w:pStyle w:val="Single"/>
        <w:spacing w:before="240"/>
      </w:pPr>
      <w:r>
        <w:t xml:space="preserve">DONALD</w:t>
      </w:r>
      <w:r>
        <w:t xml:space="preserve"> </w:t>
      </w:r>
      <w:r>
        <w:t xml:space="preserve">J.</w:t>
      </w:r>
      <w:r>
        <w:t xml:space="preserve"> </w:t>
      </w:r>
      <w:r>
        <w:t xml:space="preserve">TRUMP</w:t>
      </w:r>
    </w:p>
    <w:p>
      <w:pPr>
        <w:pStyle w:val="Single"/>
      </w:pPr>
      <w:r>
        <w:rPr>
          <w:i/>
        </w:rPr>
        <w:t xml:space="preserve">Habba</w:t>
      </w:r>
      <w:r>
        <w:rPr>
          <w:i/>
        </w:rPr>
        <w:t xml:space="preserve"> </w:t>
      </w:r>
      <w:r>
        <w:rPr>
          <w:i/>
        </w:rPr>
        <w:t xml:space="preserve">Maddaio</w:t>
      </w:r>
      <w:r>
        <w:rPr>
          <w:i/>
        </w:rPr>
        <w:t xml:space="preserve"> </w:t>
      </w:r>
      <w:r>
        <w:rPr>
          <w:i/>
        </w:rPr>
        <w:t xml:space="preserve">&amp;</w:t>
      </w:r>
      <w:r>
        <w:rPr>
          <w:i/>
        </w:rPr>
        <w:t xml:space="preserve"> </w:t>
      </w:r>
      <w:r>
        <w:rPr>
          <w:i/>
        </w:rPr>
        <w:t xml:space="preserve">Associates</w:t>
      </w:r>
      <w:r>
        <w:rPr>
          <w:i/>
        </w:rPr>
        <w:t xml:space="preserve"> </w:t>
      </w:r>
      <w:r>
        <w:rPr>
          <w:i/>
        </w:rPr>
        <w:t xml:space="preserve">LLP</w:t>
      </w:r>
    </w:p>
    <w:p>
      <w:pPr>
        <w:pStyle w:val="Single"/>
      </w:pPr>
      <w:r>
        <w:rPr>
          <w:i/>
        </w:rPr>
        <w:t xml:space="preserve">112</w:t>
      </w:r>
      <w:r>
        <w:rPr>
          <w:i/>
        </w:rPr>
        <w:t xml:space="preserve"> </w:t>
      </w:r>
      <w:r>
        <w:rPr>
          <w:i/>
        </w:rPr>
        <w:t xml:space="preserve">West</w:t>
      </w:r>
      <w:r>
        <w:rPr>
          <w:i/>
        </w:rPr>
        <w:t xml:space="preserve"> </w:t>
      </w:r>
      <w:r>
        <w:rPr>
          <w:i/>
        </w:rPr>
        <w:t xml:space="preserve">34th</w:t>
      </w:r>
      <w:r>
        <w:rPr>
          <w:i/>
        </w:rPr>
        <w:t xml:space="preserve"> </w:t>
      </w:r>
      <w:r>
        <w:rPr>
          <w:i/>
        </w:rPr>
        <w:t xml:space="preserve">Street,</w:t>
      </w:r>
      <w:r>
        <w:rPr>
          <w:i/>
        </w:rPr>
        <w:t xml:space="preserve"> </w:t>
      </w:r>
      <w:r>
        <w:rPr>
          <w:i/>
        </w:rPr>
        <w:t xml:space="preserve">New</w:t>
      </w:r>
      <w:r>
        <w:rPr>
          <w:i/>
        </w:rPr>
        <w:t xml:space="preserve"> </w:t>
      </w:r>
      <w:r>
        <w:rPr>
          <w:i/>
        </w:rPr>
        <w:t xml:space="preserve">York,</w:t>
      </w:r>
      <w:r>
        <w:rPr>
          <w:i/>
        </w:rPr>
        <w:t xml:space="preserve"> </w:t>
      </w:r>
      <w:r>
        <w:rPr>
          <w:i/>
        </w:rPr>
        <w:t xml:space="preserve">New</w:t>
      </w:r>
      <w:r>
        <w:rPr>
          <w:i/>
        </w:rPr>
        <w:t xml:space="preserve"> </w:t>
      </w:r>
      <w:r>
        <w:rPr>
          <w:i/>
        </w:rPr>
        <w:t xml:space="preserve">York</w:t>
      </w:r>
      <w:r>
        <w:rPr>
          <w:i/>
        </w:rPr>
        <w:t xml:space="preserve"> </w:t>
      </w:r>
      <w:r>
        <w:rPr>
          <w:i/>
        </w:rPr>
        <w:t xml:space="preserve">10120</w:t>
      </w:r>
    </w:p>
    <w:p>
      <w:pPr>
        <w:pStyle w:val="Single"/>
        <w:spacing w:before="240"/>
      </w:pPr>
      <w:r>
        <w:t xml:space="preserve">ERIC</w:t>
      </w:r>
      <w:r>
        <w:t xml:space="preserve"> </w:t>
      </w:r>
      <w:r>
        <w:t xml:space="preserve">TRUMP</w:t>
      </w:r>
    </w:p>
    <w:p>
      <w:pPr>
        <w:pStyle w:val="Single"/>
      </w:pPr>
      <w:r>
        <w:rPr>
          <w:i/>
        </w:rPr>
        <w:t xml:space="preserve">Law</w:t>
      </w:r>
      <w:r>
        <w:rPr>
          <w:i/>
        </w:rPr>
        <w:t xml:space="preserve"> </w:t>
      </w:r>
      <w:r>
        <w:rPr>
          <w:i/>
        </w:rPr>
        <w:t xml:space="preserve">Offices</w:t>
      </w:r>
      <w:r>
        <w:rPr>
          <w:i/>
        </w:rPr>
        <w:t xml:space="preserve"> </w:t>
      </w:r>
      <w:r>
        <w:rPr>
          <w:i/>
        </w:rPr>
        <w:t xml:space="preserve">of</w:t>
      </w:r>
      <w:r>
        <w:rPr>
          <w:i/>
        </w:rPr>
        <w:t xml:space="preserve"> </w:t>
      </w:r>
      <w:r>
        <w:rPr>
          <w:i/>
        </w:rPr>
        <w:t xml:space="preserve">Alan</w:t>
      </w:r>
      <w:r>
        <w:rPr>
          <w:i/>
        </w:rPr>
        <w:t xml:space="preserve"> </w:t>
      </w:r>
      <w:r>
        <w:rPr>
          <w:i/>
        </w:rPr>
        <w:t xml:space="preserve">S.</w:t>
      </w:r>
      <w:r>
        <w:rPr>
          <w:i/>
        </w:rPr>
        <w:t xml:space="preserve"> </w:t>
      </w:r>
      <w:r>
        <w:rPr>
          <w:i/>
        </w:rPr>
        <w:t xml:space="preserve">Futerfas</w:t>
      </w:r>
    </w:p>
    <w:p>
      <w:pPr>
        <w:pStyle w:val="Single"/>
      </w:pPr>
      <w:r>
        <w:rPr>
          <w:i/>
        </w:rPr>
        <w:t xml:space="preserve">565</w:t>
      </w:r>
      <w:r>
        <w:rPr>
          <w:i/>
        </w:rPr>
        <w:t xml:space="preserve"> </w:t>
      </w:r>
      <w:r>
        <w:rPr>
          <w:i/>
        </w:rPr>
        <w:t xml:space="preserve">Fifth</w:t>
      </w:r>
      <w:r>
        <w:rPr>
          <w:i/>
        </w:rPr>
        <w:t xml:space="preserve"> </w:t>
      </w:r>
      <w:r>
        <w:rPr>
          <w:i/>
        </w:rPr>
        <w:t xml:space="preserve">Ave.,</w:t>
      </w:r>
      <w:r>
        <w:rPr>
          <w:i/>
        </w:rPr>
        <w:t xml:space="preserve"> </w:t>
      </w:r>
      <w:r>
        <w:rPr>
          <w:i/>
        </w:rPr>
        <w:t xml:space="preserve">7th</w:t>
      </w:r>
      <w:r>
        <w:rPr>
          <w:i/>
        </w:rPr>
        <w:t xml:space="preserve"> </w:t>
      </w:r>
      <w:r>
        <w:rPr>
          <w:i/>
        </w:rPr>
        <w:t xml:space="preserve">Fl,</w:t>
      </w:r>
      <w:r>
        <w:rPr>
          <w:i/>
        </w:rPr>
        <w:t xml:space="preserve"> </w:t>
      </w:r>
      <w:r>
        <w:rPr>
          <w:i/>
        </w:rPr>
        <w:t xml:space="preserve">New</w:t>
      </w:r>
      <w:r>
        <w:rPr>
          <w:i/>
        </w:rPr>
        <w:t xml:space="preserve"> </w:t>
      </w:r>
      <w:r>
        <w:rPr>
          <w:i/>
        </w:rPr>
        <w:t xml:space="preserve">York,</w:t>
      </w:r>
      <w:r>
        <w:rPr>
          <w:i/>
        </w:rPr>
        <w:t xml:space="preserve"> </w:t>
      </w:r>
      <w:r>
        <w:rPr>
          <w:i/>
        </w:rPr>
        <w:t xml:space="preserve">NY</w:t>
      </w:r>
      <w:r>
        <w:rPr>
          <w:i/>
        </w:rPr>
        <w:t xml:space="preserve"> </w:t>
      </w:r>
      <w:r>
        <w:rPr>
          <w:i/>
        </w:rPr>
        <w:t xml:space="preserve">10017</w:t>
      </w:r>
    </w:p>
    <w:p>
      <w:pPr>
        <w:pStyle w:val="Centered"/>
        <w:pageBreakBefore/>
        <w:spacing w:after="240"/>
      </w:pPr>
      <w:r>
        <w:rPr>
          <w:b/>
        </w:rPr>
        <w:t xml:space="preserve">VERIFICATION</w:t>
      </w:r>
    </w:p>
    <w:p>
      <w:pPr>
        <w:pStyle w:val="BodyText"/>
      </w:pPr>
      <w:r>
        <w:t xml:space="preserve">Kevin</w:t>
      </w:r>
      <w:r>
        <w:t xml:space="preserve"> </w:t>
      </w:r>
      <w:r>
        <w:t xml:space="preserve">Wallace</w:t>
      </w:r>
      <w:r>
        <w:t xml:space="preserve">, </w:t>
      </w:r>
      <w:r>
        <w:t xml:space="preserve">an</w:t>
      </w:r>
      <w:r>
        <w:t xml:space="preserve"> </w:t>
      </w:r>
      <w:r>
        <w:t xml:space="preserve">attorney</w:t>
      </w:r>
      <w:r>
        <w:t xml:space="preserve"> </w:t>
      </w:r>
      <w:r>
        <w:t xml:space="preserve">in</w:t>
      </w:r>
      <w:r>
        <w:t xml:space="preserve"> </w:t>
      </w:r>
      <w:r>
        <w:t xml:space="preserve">the</w:t>
      </w:r>
      <w:r>
        <w:t xml:space="preserve"> </w:t>
      </w:r>
      <w:r>
        <w:t xml:space="preserve">Office</w:t>
      </w:r>
      <w:r>
        <w:t xml:space="preserve"> </w:t>
      </w:r>
      <w:r>
        <w:t xml:space="preserve">of</w:t>
      </w:r>
      <w:r>
        <w:t xml:space="preserve"> </w:t>
      </w:r>
      <w:r>
        <w:t xml:space="preserve">Letitia</w:t>
      </w:r>
      <w:r>
        <w:t xml:space="preserve"> </w:t>
      </w:r>
      <w:r>
        <w:t xml:space="preserve">James,</w:t>
      </w:r>
      <w:r>
        <w:t xml:space="preserve"> </w:t>
      </w:r>
      <w:r>
        <w:t xml:space="preserve">Attorney</w:t>
      </w:r>
      <w:r>
        <w:t xml:space="preserve"> </w:t>
      </w:r>
      <w:r>
        <w:t xml:space="preserve">General</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r>
        <w:t xml:space="preserve"> </w:t>
      </w:r>
      <w:r>
        <w:t xml:space="preserve">who</w:t>
      </w:r>
      <w:r>
        <w:t xml:space="preserve"> </w:t>
      </w:r>
      <w:r>
        <w:t xml:space="preserve">appears</w:t>
      </w:r>
      <w:r>
        <w:t xml:space="preserve"> </w:t>
      </w:r>
      <w:r>
        <w:t xml:space="preserve">on</w:t>
      </w:r>
      <w:r>
        <w:t xml:space="preserve"> </w:t>
      </w:r>
      <w:r>
        <w:t xml:space="preserve">behalf</w:t>
      </w:r>
      <w:r>
        <w:t xml:space="preserve"> </w:t>
      </w:r>
      <w:r>
        <w:t xml:space="preserve">of</w:t>
      </w:r>
      <w:r>
        <w:t xml:space="preserve"> </w:t>
      </w:r>
      <w:r>
        <w:t xml:space="preserve">the</w:t>
      </w:r>
      <w:r>
        <w:t xml:space="preserve"> </w:t>
      </w: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New</w:t>
      </w:r>
      <w:r>
        <w:t xml:space="preserve"> </w:t>
      </w:r>
      <w:r>
        <w:t xml:space="preserve">York</w:t>
      </w:r>
      <w:r>
        <w:t xml:space="preserve"> </w:t>
      </w:r>
      <w:r>
        <w:t xml:space="preserve">as</w:t>
      </w:r>
      <w:r>
        <w:t xml:space="preserve"> </w:t>
      </w:r>
      <w:r>
        <w:t xml:space="preserve">Plaintiff</w:t>
      </w:r>
      <w:r>
        <w:t xml:space="preserve"> </w:t>
      </w:r>
      <w:r>
        <w:t xml:space="preserve">in</w:t>
      </w:r>
      <w:r>
        <w:t xml:space="preserve"> </w:t>
      </w:r>
      <w:r>
        <w:t xml:space="preserve">this</w:t>
      </w:r>
      <w:r>
        <w:t xml:space="preserve"> </w:t>
      </w:r>
      <w:r>
        <w:t xml:space="preserve">proceeding</w:t>
      </w:r>
      <w:r>
        <w:t xml:space="preserve"> </w:t>
      </w:r>
      <w:r>
        <w:t xml:space="preserve">and</w:t>
      </w:r>
      <w:r>
        <w:t xml:space="preserve"> </w:t>
      </w:r>
      <w:r>
        <w:t xml:space="preserve">is</w:t>
      </w:r>
      <w:r>
        <w:t xml:space="preserve"> </w:t>
      </w:r>
      <w:r>
        <w:t xml:space="preserve">duly</w:t>
      </w:r>
      <w:r>
        <w:t xml:space="preserve"> </w:t>
      </w:r>
      <w:r>
        <w:t xml:space="preserve">authorized</w:t>
      </w:r>
      <w:r>
        <w:t xml:space="preserve"> </w:t>
      </w:r>
      <w:r>
        <w:t xml:space="preserve">to</w:t>
      </w:r>
      <w:r>
        <w:t xml:space="preserve"> </w:t>
      </w:r>
      <w:r>
        <w:t xml:space="preserve">make</w:t>
      </w:r>
      <w:r>
        <w:t xml:space="preserve"> </w:t>
      </w:r>
      <w:r>
        <w:t xml:space="preserve">this</w:t>
      </w:r>
      <w:r>
        <w:t xml:space="preserve"> </w:t>
      </w:r>
      <w:r>
        <w:t xml:space="preserve">verification</w:t>
      </w:r>
      <w:r>
        <w:t xml:space="preserve">, affirms under the penalties of perjury under the laws of New York, which may include a fine or imprisonment, that the foregoing </w:t>
      </w:r>
      <w:r>
        <w:t xml:space="preserve">VERIFIED</w:t>
      </w:r>
      <w:r>
        <w:t xml:space="preserve"> </w:t>
      </w:r>
      <w:r>
        <w:t xml:space="preserve">COMPLAINT</w:t>
      </w:r>
      <w:r>
        <w:t xml:space="preserve"> is true to the knowledge of the affirmant, except as to matters alleged on information and belief, and as to those matters the affirmant believes them to be true. The affirmant understands that this document may be filed in an action or proceeding in a court of law.</w:t>
      </w:r>
    </w:p>
    <w:p>
      <w:pPr>
        <w:pStyle w:val="Single"/>
        <w:spacing w:before="240" w:after="0"/>
      </w:pPr>
    </w:p>
    <w:tbl>
      <w:tblPr>
        <w:tblW w:w="9360" w:type="dxa"/>
        <w:tblLayout w:type="fixed"/>
        <w:tblCellMar>
          <w:left w:w="0" w:type="dxa"/>
          <w:right w:w="0" w:type="dxa"/>
        </w:tblCellMar>
      </w:tblPr>
      <w:tblGrid>
        <w:gridCol w:w="4680"/>
        <w:gridCol w:w="4680"/>
      </w:tblGrid>
      <w:tr>
        <w:tc>
          <w:tcPr>
            <w:tcW w:w="4680" w:type="dxa"/>
          </w:tcPr>
          <w:p>
            <w:pPr>
              <w:pStyle w:val="Single"/>
            </w:pPr>
            <w:r>
              <w:t xml:space="preserve">Dated: </w:t>
            </w:r>
            <w:r>
              <w:t xml:space="preserve">September</w:t>
            </w:r>
            <w:r>
              <w:t xml:space="preserve"> </w:t>
            </w:r>
            <w:r>
              <w:t xml:space="preserve">21,</w:t>
            </w:r>
            <w:r>
              <w:t xml:space="preserve"> </w:t>
            </w:r>
            <w:r>
              <w:t xml:space="preserve">2022</w:t>
            </w:r>
          </w:p>
        </w:tc>
        <w:tc>
          <w:tcPr>
            <w:tcW w:w="4680" w:type="dxa"/>
          </w:tcPr>
          <w:p>
            <w:pPr>
              <w:pStyle w:val="Single"/>
              <w:pBdr>
                <w:bottom w:val="single" w:sz="6" w:space="1" w:color="000000"/>
              </w:pBdr>
              <w:spacing w:before="720"/>
              <w:ind w:right="1080"/>
            </w:pPr>
            <w:r>
              <w:t xml:space="preserve"/>
            </w:r>
          </w:p>
          <w:p>
            <w:pPr>
              <w:pStyle w:val="Single"/>
              <w:spacing w:before="60"/>
            </w:pPr>
            <w:r>
              <w:t xml:space="preserve">Kevin</w:t>
            </w:r>
            <w:r>
              <w:t xml:space="preserve"> </w:t>
            </w:r>
            <w:r>
              <w:t xml:space="preserve">Wallace</w:t>
            </w:r>
          </w:p>
        </w:tc>
      </w:tr>
    </w:tbl>
    <w:sectPr>
      <w:footerReference w:type="default" r:id="rIdFtr1"/>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While not a basis for recovery in this action, the conduct alleged in this action also plausibly violates federal criminal law, including 18 U.S.C. § 1014 (False Statements to Financial Institutions) and 18 U.S.C. § 1344 (Bank Fraud). Under those provisions, a defendant violates federal law by knowingly submitting a false document or statement in order to influence the decision of a federally-insured bank or to obtain money from a bank by means of false representations or pretenses. There is no requirement of loss or reliance. OAG is making a referral of its factual findings to the Office of the United States Attorney for the Southern District of New York.</w:t>
      </w:r>
    </w:p>
  </w:footnote>
  <w:footnote w:id="11">
    <w:p>
      <w:pPr>
        <w:pStyle w:val="FootnoteText"/>
      </w:pPr>
      <w:r>
        <w:rPr>
          <w:rStyle w:val="FootnoteReference"/>
        </w:rPr>
        <w:footnoteRef/>
      </w:r>
      <w:r>
        <w:t xml:space="preserve"> </w:t>
      </w:r>
      <w:r>
        <w:t xml:space="preserve">Mr. Weisselberg was removed as a trustee as of July 2021, after having been indicted by the New York District Attorney on charges of tax fraud. Mr. Weisselberg pleaded guilty to those charges on August 18, 2022.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0" w:line="480" w:lineRule="auto"/>
      <w:ind w:firstLine="0"/>
    </w:pPr>
    <w:rPr>
      <w:rFonts w:ascii="EB Garamond" w:hAnsi="EB Garamond" w:eastAsia="EB Garamond" w:cs="EB Garamond"/>
      <w:sz w:val="24"/>
      <w:szCs w:val="24"/>
    </w:rPr>
  </w:style>
  <w:style w:type="paragraph" w:styleId="BodyText">
    <w:name w:val="Body Text"/>
    <w:basedOn w:val="Normal"/>
    <w:qFormat/>
    <w:pPr>
      <w:spacing w:before="0" w:after="0" w:line="480" w:lineRule="auto"/>
      <w:ind w:firstLine="720"/>
    </w:pPr>
  </w:style>
  <w:style w:type="paragraph" w:customStyle="1" w:styleId="FirstParagraph">
    <w:name w:val="First Paragraph"/>
    <w:basedOn w:val="BodyText"/>
    <w:next w:val="BodyText"/>
    <w:qFormat/>
    <w:pPr>
      <w:spacing w:before="0" w:after="0" w:line="480" w:lineRule="auto"/>
      <w:ind w:firstLine="720"/>
    </w:pPr>
  </w:style>
  <w:style w:type="paragraph" w:customStyle="1" w:styleId="Compact">
    <w:name w:val="Compact"/>
    <w:basedOn w:val="BodyText"/>
    <w:qFormat/>
    <w:pPr>
      <w:spacing w:before="0" w:after="0" w:line="480" w:lineRule="auto"/>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000000"/>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240" w:lineRule="auto"/>
      <w:spacing w:before="280" w:after="240" w:line="240" w:lineRule="auto"/>
      <w:ind w:firstLine="0"/>
      <w:jc w:val="center"/>
      <w:outlineLvl w:val="0"/>
    </w:pPr>
    <w:rPr>
      <w:b/>
      <w:bCs/>
      <w:sz w:val="24"/>
      <w:szCs w:val="24"/>
    </w:rPr>
  </w:style>
  <w:style w:type="paragraph" w:styleId="Heading2">
    <w:name w:val="heading 2"/>
    <w:basedOn w:val="Normal"/>
    <w:next w:val="BodyText"/>
    <w:uiPriority w:val="9"/>
    <w:unhideWhenUsed/>
    <w:qFormat/>
    <w:pPr>
      <w:keepNext/>
      <w:keepLines/>
      <w:spacing w:before="240" w:after="240" w:line="240" w:lineRule="auto"/>
      <w:ind w:firstLine="0"/>
      <w:outlineLvl w:val="1"/>
    </w:pPr>
    <w:rPr>
      <w:b/>
      <w:bCs/>
      <w:sz w:val="24"/>
      <w:szCs w:val="24"/>
    </w:rPr>
  </w:style>
  <w:style w:type="paragraph" w:styleId="Heading3">
    <w:name w:val="heading 3"/>
    <w:basedOn w:val="Normal"/>
    <w:next w:val="BodyText"/>
    <w:uiPriority w:val="9"/>
    <w:unhideWhenUsed/>
    <w:qFormat/>
    <w:pPr>
      <w:keepNext/>
      <w:keepLines/>
      <w:spacing w:before="200" w:after="200" w:line="240" w:lineRule="auto"/>
      <w:ind w:firstLine="0"/>
      <w:outlineLvl w:val="2"/>
    </w:pPr>
    <w:rPr>
      <w:b/>
      <w:bCs/>
      <w:i/>
      <w:i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000000"/>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00000"/>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00000"/>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00000"/>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00000"/>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00000"/>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000000"/>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000000"/>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000000"/>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000000"/>
    </w:rPr>
  </w:style>
  <w:style w:type="paragraph" w:styleId="BlockText">
    <w:name w:val="Block Text"/>
    <w:basedOn w:val="Normal"/>
    <w:next w:val="BodyText"/>
    <w:qFormat/>
    <w:pPr>
      <w:spacing w:before="0" w:after="0" w:line="240" w:lineRule="auto"/>
      <w:spacing w:before="240" w:after="240" w:line="240" w:lineRule="auto"/>
      <w:ind w:left="720" w:right="720" w:firstLine="0"/>
    </w:pPr>
  </w:style>
  <w:style w:type="paragraph" w:styleId="FootnoteText">
    <w:name w:val="footnote text"/>
    <w:basedOn w:val="Normal"/>
    <w:uiPriority w:val="99"/>
    <w:unhideWhenUsed/>
    <w:pPr>
      <w:spacing w:before="0" w:after="120" w:line="240" w:lineRule="auto"/>
      <w:ind w:firstLine="0"/>
    </w:pPr>
    <w:rPr>
      <w:sz w:val="20"/>
      <w:szCs w:val="20"/>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000000"/>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styleId="TOC1">
    <w:name w:val="toc 1"/>
    <w:basedOn w:val="Normal"/>
    <w:next w:val="Normal"/>
    <w:uiPriority w:val="39"/>
    <w:unhideWhenUsed/>
    <w:pPr>
      <w:spacing w:before="0" w:after="0" w:line="240" w:lineRule="auto"/>
      <w:spacing w:before="0" w:after="120" w:line="240" w:lineRule="auto"/>
      <w:ind w:left="0" w:firstLine="0"/>
    </w:pPr>
  </w:style>
  <w:style w:type="paragraph" w:styleId="TOC2">
    <w:name w:val="toc 2"/>
    <w:basedOn w:val="Normal"/>
    <w:next w:val="Normal"/>
    <w:uiPriority w:val="39"/>
    <w:unhideWhenUsed/>
    <w:pPr>
      <w:spacing w:before="0" w:after="0" w:line="240" w:lineRule="auto"/>
      <w:spacing w:before="0" w:after="120" w:line="240" w:lineRule="auto"/>
      <w:ind w:left="360" w:firstLine="0"/>
    </w:pPr>
  </w:style>
  <w:style w:type="paragraph" w:styleId="TOC3">
    <w:name w:val="toc 3"/>
    <w:basedOn w:val="Normal"/>
    <w:next w:val="Normal"/>
    <w:uiPriority w:val="39"/>
    <w:unhideWhenUsed/>
    <w:pPr>
      <w:spacing w:before="0" w:after="0" w:line="240" w:lineRule="auto"/>
      <w:spacing w:before="0" w:after="120" w:line="240" w:lineRule="auto"/>
      <w:ind w:left="720" w:firstLine="0"/>
    </w:pPr>
  </w:style>
  <w:style w:type="paragraph" w:styleId="TOC4">
    <w:name w:val="toc 4"/>
    <w:basedOn w:val="Normal"/>
    <w:next w:val="Normal"/>
    <w:uiPriority w:val="39"/>
    <w:unhideWhenUsed/>
    <w:pPr>
      <w:spacing w:before="0" w:after="0" w:line="240" w:lineRule="auto"/>
      <w:spacing w:before="0" w:after="120" w:line="240" w:lineRule="auto"/>
      <w:ind w:left="108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2026-10-15T14:10:38Z</dcterms:created>
  <dcterms:modified xsi:type="dcterms:W3CDTF">2026-10-15T14:10:38Z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y">
    <vt:lpwstr>COUNTY OF NEW YORK</vt:lpwstr>
  </property>
  <property fmtid="{D5CDD505-2E9C-101B-9397-08002B2CF9AE}" pid="3" name="index_no">
    <vt:lpwstr>Index No. ____________</vt:lpwstr>
  </property>
  <property fmtid="{D5CDD505-2E9C-101B-9397-08002B2CF9AE}" pid="4" name="parties">
    <vt:lpwstr/>
  </property>
  <property fmtid="{D5CDD505-2E9C-101B-9397-08002B2CF9AE}" pid="5" name="signature">
    <vt:lpwstr/>
  </property>
  <property fmtid="{D5CDD505-2E9C-101B-9397-08002B2CF9AE}" pid="6" name="to">
    <vt:lpwstr/>
  </property>
  <property fmtid="{D5CDD505-2E9C-101B-9397-08002B2CF9AE}" pid="7" name="toc">
    <vt:lpwstr>True</vt:lpwstr>
  </property>
  <property fmtid="{D5CDD505-2E9C-101B-9397-08002B2CF9AE}" pid="8" name="verification">
    <vt:lpwstr/>
  </property>
</Properties>
</file>