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UNITED STATES BANKRUPTCY COURT</w:t>
      </w:r>
    </w:p>
    <w:p>
      <w:pPr>
        <w:spacing w:before="0" w:after="0" w:line="276" w:lineRule="exact"/>
        <w:ind w:left="0" w:firstLine="0"/>
        <w:jc w:val="center"/>
      </w:pPr>
      <w:r>
        <w:t xml:space="preserve">WESTERN DISTRICT OF TENNESSEE</w:t>
      </w:r>
    </w:p>
    <w:p>
      <w:pPr>
        <w:spacing w:before="0" w:after="480" w:line="276" w:lineRule="exact"/>
        <w:ind w:left="0" w:firstLine="0"/>
        <w:jc w:val="center"/>
      </w:pPr>
      <w:r>
        <w:t xml:space="preserve">EASTERN DIVISION</w:t>
      </w:r>
    </w:p>
    <w:tbl>
      <w:tblPr>
        <w:tblW w:w="9360" w:type="dxa"/>
        <w:tblInd w:w="0" w:type="dxa"/>
        <w:tblLayout w:type="fixed"/>
        <w:tblCellMar>
          <w:top w:w="0" w:type="dxa"/>
          <w:left w:w="0" w:type="dxa"/>
          <w:bottom w:w="0" w:type="dxa"/>
          <w:right w:w="0" w:type="dxa"/>
        </w:tblCellMar>
        <w:tblLook w:val="0000" w:firstRow="0" w:lastRow="0" w:firstColumn="0" w:lastColumn="0" w:noHBand="1" w:noVBand="1"/>
      </w:tblPr>
      <w:tblGrid>
        <w:gridCol w:w="4752"/>
        <w:gridCol w:w="720"/>
        <w:gridCol w:w="3888"/>
      </w:tblGrid>
      <w:tr>
        <w:trPr>
          <w:cantSplit/>
        </w:trPr>
        <w:tc>
          <w:tcPr>
            <w:tcW w:w="4752" w:type="dxa"/>
          </w:tcPr>
          <w:p>
            <w:pPr>
              <w:spacing w:before="0" w:after="0" w:line="276" w:lineRule="exact"/>
              <w:ind w:left="0" w:firstLine="0"/>
              <w:jc w:val="left"/>
            </w:pPr>
            <w:r>
              <w:t xml:space="preserve">IN RE:</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BREWER’S LAWN CARE AND PROPERTY PRESERVATION, LLC</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CASE NO.: 25</w:t>
              <w:noBreakHyphen/>
              <w:t xml:space="preserve">10771-JLC</w:t>
            </w: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Chapter 11</w:t>
            </w: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Subchapter V</w:t>
            </w: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2160" w:firstLine="0"/>
              <w:jc w:val="left"/>
            </w:pPr>
            <w:r>
              <w:t xml:space="preserve">DEBTOR.</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Borders>
              <w:bottom w:val="single" w:sz="4" w:space="0" w:color="000000"/>
            </w:tcBorders>
          </w:tcPr>
          <w:p>
            <w:pPr>
              <w:spacing w:before="0" w:after="0" w:line="276" w:lineRule="exact"/>
              <w:ind w:left="0" w:firstLine="0"/>
              <w:jc w:val="left"/>
            </w:pPr>
          </w:p>
        </w:tc>
        <w:tc>
          <w:tcPr>
            <w:tcW w:w="720" w:type="dxa"/>
            <w:tcBorders>
              <w:bottom w:val="single" w:sz="4" w:space="0" w:color="000000"/>
            </w:tcBorders>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BREWER’S LAWN CARE AND PROPERTY PRESERVATION, LLC</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ADVERSARY PROCEEDING NO.: 25</w:t>
              <w:noBreakHyphen/>
              <w:t xml:space="preserve">05046</w:t>
            </w:r>
          </w:p>
        </w:tc>
      </w:tr>
      <w:tr>
        <w:trPr>
          <w:cantSplit/>
        </w:trPr>
        <w:tc>
          <w:tcPr>
            <w:tcW w:w="4752" w:type="dxa"/>
          </w:tcPr>
          <w:p>
            <w:pPr>
              <w:spacing w:before="0" w:after="0" w:line="276" w:lineRule="exact"/>
              <w:ind w:left="2160" w:firstLine="0"/>
              <w:jc w:val="left"/>
            </w:pPr>
            <w:r>
              <w:t xml:space="preserve">Plaintiff,</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720" w:firstLine="0"/>
              <w:jc w:val="left"/>
            </w:pPr>
            <w:r>
              <w:t xml:space="preserve">vs.</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IDEA 247, INC.</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JUSTIN LETO</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LARRY BASSUK</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Borders>
              <w:bottom w:val="single" w:sz="4" w:space="0" w:color="000000"/>
            </w:tcBorders>
          </w:tcPr>
          <w:p>
            <w:pPr>
              <w:spacing w:before="0" w:after="0" w:line="276" w:lineRule="exact"/>
              <w:ind w:left="2160" w:firstLine="0"/>
              <w:jc w:val="left"/>
            </w:pPr>
            <w:r>
              <w:t xml:space="preserve">Defendants.</w:t>
            </w:r>
          </w:p>
        </w:tc>
        <w:tc>
          <w:tcPr>
            <w:tcW w:w="720" w:type="dxa"/>
            <w:tcBorders>
              <w:bottom w:val="single" w:sz="4" w:space="0" w:color="000000"/>
            </w:tcBorders>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bl>
    <w:p>
      <w:pPr>
        <w:keepNext/>
        <w:keepLines/>
        <w:spacing w:before="240" w:after="240" w:line="276" w:lineRule="exact"/>
        <w:ind w:left="0" w:firstLine="0"/>
        <w:jc w:val="center"/>
      </w:pPr>
      <w:r>
        <w:rPr>
          <w:b/>
          <w:bCs/>
        </w:rPr>
        <w:t xml:space="preserve">COMPLAINT</w:t>
      </w:r>
    </w:p>
    <w:p>
      <w:pPr>
        <w:pStyle w:val="BodyText"/>
      </w:pPr>
      <w:r>
        <w:t xml:space="preserve">Debtor Brewer’s Lawn Care and Property Preservation, LLC (hereinafter referred to as the “Plaintiff,” or “Debtor”), complaining of Idea 247, LLC (hereinafter referred to as “Idea 247”), Justin Leto (hereinafter referred to as “Leto”), and Larry Bassuk (“hereinafter referred to as “Bassuk”) (collectively, “Defendants”), hereby alleges and says as follows:</w:t>
      </w:r>
    </w:p>
    <w:p>
      <w:pPr>
        <w:keepNext/>
        <w:keepLines/>
        <w:spacing w:before="240" w:after="240" w:line="276" w:lineRule="exact"/>
        <w:ind w:left="0" w:firstLine="0"/>
        <w:jc w:val="center"/>
      </w:pPr>
      <w:r>
        <w:rPr>
          <w:b/>
          <w:bCs/>
          <w:u w:val="single"/>
        </w:rPr>
        <w:t xml:space="preserve">PARTIES,</w:t>
      </w:r>
      <w:r>
        <w:rPr>
          <w:b/>
          <w:bCs/>
          <w:u w:val="single"/>
        </w:rPr>
        <w:t xml:space="preserve"> </w:t>
      </w:r>
      <w:r>
        <w:rPr>
          <w:b/>
          <w:bCs/>
          <w:u w:val="single"/>
        </w:rPr>
        <w:t xml:space="preserve">JURISDICTION</w:t>
      </w:r>
      <w:r>
        <w:rPr>
          <w:b/>
          <w:bCs/>
          <w:u w:val="single"/>
        </w:rPr>
        <w:t xml:space="preserve"> </w:t>
      </w:r>
      <w:r>
        <w:rPr>
          <w:b/>
          <w:bCs/>
          <w:u w:val="single"/>
        </w:rPr>
        <w:t xml:space="preserve">AND</w:t>
      </w:r>
      <w:r>
        <w:rPr>
          <w:b/>
          <w:bCs/>
          <w:u w:val="single"/>
        </w:rPr>
        <w:t xml:space="preserve"> </w:t>
      </w:r>
      <w:r>
        <w:rPr>
          <w:b/>
          <w:bCs/>
          <w:u w:val="single"/>
        </w:rPr>
        <w:t xml:space="preserve">VENUE</w:t>
      </w:r>
    </w:p>
    <w:p>
      <w:pPr>
        <w:pStyle w:val="NumberedParagraph"/>
      </w:pPr>
      <w:r>
        <w:t xml:space="preserve">1.</w:t>
      </w:r>
      <w:r>
        <w:tab/>
      </w:r>
      <w:r>
        <w:t xml:space="preserve">The Debtor herein filed a voluntary petition under Chapter 11 on June 9, 2025 (“Petition Date”).</w:t>
      </w:r>
    </w:p>
    <w:p>
      <w:pPr>
        <w:pStyle w:val="NumberedParagraph"/>
      </w:pPr>
      <w:r>
        <w:t xml:space="preserve">2.</w:t>
      </w:r>
      <w:r>
        <w:tab/>
      </w:r>
      <w:r>
        <w:t xml:space="preserve">Idea 247 is a Florida corporation with a principal place of business located at 800 NW 62nd Avenue, Suite 750, Miami, Florida 33126.</w:t>
      </w:r>
    </w:p>
    <w:p>
      <w:pPr>
        <w:pStyle w:val="NumberedParagraph"/>
      </w:pPr>
      <w:r>
        <w:t xml:space="preserve">3.</w:t>
      </w:r>
      <w:r>
        <w:tab/>
      </w:r>
      <w:r>
        <w:t xml:space="preserve">Leto, a Miami, Florida resident, is co-founder and CEO of Idea 247.</w:t>
      </w:r>
    </w:p>
    <w:p>
      <w:pPr>
        <w:pStyle w:val="NumberedParagraph"/>
      </w:pPr>
      <w:r>
        <w:t xml:space="preserve">4.</w:t>
      </w:r>
      <w:r>
        <w:tab/>
      </w:r>
      <w:r>
        <w:t xml:space="preserve">Bassuk, a Miami Beach, Florida resident, is co-founder and President of Idea 247.</w:t>
      </w:r>
    </w:p>
    <w:p>
      <w:pPr>
        <w:pStyle w:val="NumberedParagraph"/>
      </w:pPr>
      <w:r>
        <w:t xml:space="preserve">5.</w:t>
      </w:r>
      <w:r>
        <w:tab/>
      </w:r>
      <w:r>
        <w:t xml:space="preserve">This Court has jurisdiction over this matter pursuant to 28 U.S.C. §§ 157 and 1334.</w:t>
      </w:r>
    </w:p>
    <w:p>
      <w:pPr>
        <w:pStyle w:val="NumberedParagraph"/>
      </w:pPr>
      <w:r>
        <w:t xml:space="preserve">6.</w:t>
      </w:r>
      <w:r>
        <w:tab/>
      </w:r>
      <w:r>
        <w:t xml:space="preserve">This is a core proceeding under 28 U.S.C. § 157(b). The Debtor consents to the entry of final orders or judgment by the Bankruptcy Court if it is determined that the Bankruptcy Court, absent consent of the parties, cannot enter final orders or judgment consistent with Article III of the United States Constitution.</w:t>
      </w:r>
    </w:p>
    <w:p>
      <w:pPr>
        <w:pStyle w:val="NumberedParagraph"/>
      </w:pPr>
      <w:r>
        <w:t xml:space="preserve">7.</w:t>
      </w:r>
      <w:r>
        <w:tab/>
      </w:r>
      <w:r>
        <w:t xml:space="preserve">Venue is appropriate in this Court pursuant to 28 U.S.C. §§ 1408 and 1409.</w:t>
      </w:r>
    </w:p>
    <w:p>
      <w:pPr>
        <w:keepNext/>
        <w:keepLines/>
        <w:spacing w:before="240" w:after="240" w:line="276" w:lineRule="exact"/>
        <w:ind w:left="0" w:firstLine="0"/>
        <w:jc w:val="center"/>
      </w:pPr>
      <w:r>
        <w:rPr>
          <w:b/>
          <w:bCs/>
          <w:u w:val="single"/>
        </w:rPr>
        <w:t xml:space="preserve">GENERAL</w:t>
      </w:r>
      <w:r>
        <w:rPr>
          <w:b/>
          <w:bCs/>
          <w:u w:val="single"/>
        </w:rPr>
        <w:t xml:space="preserve"> </w:t>
      </w:r>
      <w:r>
        <w:rPr>
          <w:b/>
          <w:bCs/>
          <w:u w:val="single"/>
        </w:rPr>
        <w:t xml:space="preserve">ALLEGATIONS</w:t>
      </w:r>
    </w:p>
    <w:p>
      <w:pPr>
        <w:pStyle w:val="NumberedParagraph"/>
      </w:pPr>
      <w:r>
        <w:t xml:space="preserve">8.</w:t>
      </w:r>
      <w:r>
        <w:tab/>
      </w:r>
      <w:r>
        <w:t xml:space="preserve">Plaintiff repeats and re-alleges the allegations contained in paragraphs 1 through 7 inclusive, as if more fully set forth at length herein.</w:t>
      </w:r>
    </w:p>
    <w:p>
      <w:pPr>
        <w:pStyle w:val="NumberedParagraph"/>
      </w:pPr>
      <w:r>
        <w:t xml:space="preserve">9.</w:t>
      </w:r>
      <w:r>
        <w:tab/>
      </w:r>
      <w:r>
        <w:t xml:space="preserve">This is an action to avoid the incurrence of an illegal, unenforceable usurious loan the Defendant made to the Debtor, to avoid and recover the transfers of property from the Debtor to the Defendant pursuant to §§ 548(a), and 550 of the Bankruptcy Code; and to recover treble damages and attorney’s fees from Defendant under 18 U.S.C. § 1964(a) (RICO) for collection of an unlawful debt.</w:t>
      </w:r>
    </w:p>
    <w:p>
      <w:pPr>
        <w:pStyle w:val="NumberedParagraph"/>
      </w:pPr>
      <w:r>
        <w:t xml:space="preserve">10.</w:t>
      </w:r>
      <w:r>
        <w:tab/>
      </w:r>
      <w:r>
        <w:t xml:space="preserve">Prior to the Petition Date, the Debtor provided roofing services in Tennessee and the surrounding area. The company was led by Craig Glenn Brewer (hereinafter “Brewer”), its owner and sole Member.</w:t>
      </w:r>
    </w:p>
    <w:p>
      <w:pPr>
        <w:keepNext/>
        <w:keepLines/>
        <w:spacing w:before="240" w:after="240" w:line="276" w:lineRule="exact"/>
        <w:ind w:left="0" w:firstLine="0"/>
        <w:jc w:val="center"/>
      </w:pPr>
      <w:r>
        <w:rPr>
          <w:b/>
          <w:bCs/>
          <w:u w:val="single"/>
        </w:rPr>
        <w:t xml:space="preserve">THE</w:t>
      </w:r>
      <w:r>
        <w:rPr>
          <w:b/>
          <w:bCs/>
          <w:u w:val="single"/>
        </w:rPr>
        <w:t xml:space="preserve"> </w:t>
      </w:r>
      <w:r>
        <w:rPr>
          <w:b/>
          <w:bCs/>
          <w:u w:val="single"/>
        </w:rPr>
        <w:t xml:space="preserve">AGREEMENT</w:t>
      </w:r>
    </w:p>
    <w:p>
      <w:pPr>
        <w:pStyle w:val="NumberedParagraph"/>
      </w:pPr>
      <w:r>
        <w:t xml:space="preserve">11.</w:t>
      </w:r>
      <w:r>
        <w:tab/>
      </w:r>
      <w:r>
        <w:t xml:space="preserve">On November 9, 2023, the Debtor – through Brewer – executed a “Revolving Loan Agreement” (“Agreement”) with Idea 247, identifying Idea 247 as the “Lender” and Debtor as the “Borrower.” A copy of the Agreement is attached hereto as Exhibit A.</w:t>
      </w:r>
    </w:p>
    <w:p>
      <w:pPr>
        <w:pStyle w:val="NumberedParagraph"/>
      </w:pPr>
      <w:r>
        <w:t xml:space="preserve">12.</w:t>
      </w:r>
      <w:r>
        <w:tab/>
      </w:r>
      <w:r>
        <w:t xml:space="preserve">According to the Agreement, a revolving line of credit was established in a principal amount of up to $211,000, available in advances to Debtor.</w:t>
      </w:r>
    </w:p>
    <w:p>
      <w:pPr>
        <w:pStyle w:val="NumberedParagraph"/>
      </w:pPr>
      <w:r>
        <w:t xml:space="preserve">13.</w:t>
      </w:r>
      <w:r>
        <w:tab/>
      </w:r>
      <w:r>
        <w:t xml:space="preserve">Each advance is subject to a mandatory “drawdown fee” of 2.99%, which fee is automatically added to the loan balance and itself accrues interest.</w:t>
      </w:r>
    </w:p>
    <w:p>
      <w:pPr>
        <w:pStyle w:val="NumberedParagraph"/>
      </w:pPr>
      <w:r>
        <w:t xml:space="preserve">14.</w:t>
      </w:r>
      <w:r>
        <w:tab/>
      </w:r>
      <w:r>
        <w:t xml:space="preserve">The Agreement further provides that interest accrues daily at a rate of 0.0699%, equating to 25.5% annually.</w:t>
      </w:r>
    </w:p>
    <w:p>
      <w:pPr>
        <w:pStyle w:val="NumberedParagraph"/>
      </w:pPr>
      <w:r>
        <w:t xml:space="preserve">15.</w:t>
      </w:r>
      <w:r>
        <w:tab/>
      </w:r>
      <w:r>
        <w:t xml:space="preserve">In the event of a default, the Agreement increases the daily rate to 0.0836%, which is equivalent to approximately 30.5% percent per annum.</w:t>
      </w:r>
    </w:p>
    <w:p>
      <w:pPr>
        <w:pStyle w:val="NumberedParagraph"/>
      </w:pPr>
      <w:r>
        <w:t xml:space="preserve">16.</w:t>
      </w:r>
      <w:r>
        <w:tab/>
      </w:r>
      <w:r>
        <w:t xml:space="preserve">The Agreement requires repayment on a fixed schedule of equal weekly installments amortized over a 12-month term.</w:t>
      </w:r>
    </w:p>
    <w:p>
      <w:pPr>
        <w:pStyle w:val="NumberedParagraph"/>
      </w:pPr>
      <w:r>
        <w:t xml:space="preserve">17.</w:t>
      </w:r>
      <w:r>
        <w:tab/>
      </w:r>
      <w:r>
        <w:t xml:space="preserve">Pursuant to the Agreement, Debtor is obligated to repay the full principal, interest, and fees regardless of the success or failure of any business operations.</w:t>
      </w:r>
    </w:p>
    <w:p>
      <w:pPr>
        <w:pStyle w:val="NumberedParagraph"/>
      </w:pPr>
      <w:r>
        <w:t xml:space="preserve">18.</w:t>
      </w:r>
      <w:r>
        <w:tab/>
      </w:r>
      <w:r>
        <w:t xml:space="preserve">The Agreement also provides that Idea 247 requires Debtor to grant a blanket security interest in all of its assets, as well as personal guarantees from Brewer.</w:t>
      </w:r>
    </w:p>
    <w:p>
      <w:pPr>
        <w:pStyle w:val="NumberedParagraph"/>
      </w:pPr>
      <w:r>
        <w:t xml:space="preserve">19.</w:t>
      </w:r>
      <w:r>
        <w:tab/>
      </w:r>
      <w:r>
        <w:t xml:space="preserve">The Agreement sets a “Maturity Date,” defined as twelve months after the most recent advance, on which any unpaid principal, interest, and fees become immediately due by Debtor.</w:t>
      </w:r>
    </w:p>
    <w:p>
      <w:pPr>
        <w:pStyle w:val="NumberedParagraph"/>
      </w:pPr>
      <w:r>
        <w:t xml:space="preserve">20.</w:t>
      </w:r>
      <w:r>
        <w:tab/>
      </w:r>
      <w:r>
        <w:t xml:space="preserve">Idea 247 is also authorized under the Agreement to withdraw payments directly from Debtor’s bank accounts by electronic debit.</w:t>
      </w:r>
    </w:p>
    <w:p>
      <w:pPr>
        <w:pStyle w:val="NumberedParagraph"/>
      </w:pPr>
      <w:r>
        <w:t xml:space="preserve">21.</w:t>
      </w:r>
      <w:r>
        <w:tab/>
      </w:r>
      <w:r>
        <w:t xml:space="preserve">Within one week of the Agreement being entered, Idea 247 filed a UCC</w:t>
      </w:r>
      <w:r>
        <w:noBreakHyphen/>
      </w:r>
      <w:r>
        <w:t xml:space="preserve">1 lien against Debtor for the full amount of the loan, $211,000.00, on November 14, 2023.</w:t>
      </w:r>
    </w:p>
    <w:p>
      <w:pPr>
        <w:pStyle w:val="NumberedParagraph"/>
      </w:pPr>
      <w:r>
        <w:t xml:space="preserve">22.</w:t>
      </w:r>
      <w:r>
        <w:tab/>
      </w:r>
      <w:r>
        <w:t xml:space="preserve">The Agreement provides a choice of law provision selecting the laws of the Commonwealth of Virginia.</w:t>
      </w:r>
    </w:p>
    <w:p>
      <w:pPr>
        <w:pStyle w:val="NumberedParagraph"/>
      </w:pPr>
      <w:r>
        <w:t xml:space="preserve">23.</w:t>
      </w:r>
      <w:r>
        <w:tab/>
      </w:r>
      <w:r>
        <w:t xml:space="preserve">As set forth in the Collections Summary that Idea 247 filed in this case, Idea 247 claims that the loan is accruing interest at an interest rate of 30.51% with interest of $82.27 accruing daily and interest of $5,018.25 accruing weekly. [Claim 6, at p. 32].</w:t>
      </w:r>
    </w:p>
    <w:p>
      <w:pPr>
        <w:pStyle w:val="NumberedParagraph"/>
      </w:pPr>
      <w:r>
        <w:t xml:space="preserve">24.</w:t>
      </w:r>
      <w:r>
        <w:tab/>
      </w:r>
      <w:r>
        <w:t xml:space="preserve">During the 471 calendar days from November 20, 2023 until March 5, 2025, the Debtor transferred a total of $315,640.20 to Idea 247 through ACH debit transactions (hereinafter, “Transfers”).</w:t>
      </w:r>
    </w:p>
    <w:p>
      <w:pPr>
        <w:pStyle w:val="NumberedParagraph"/>
      </w:pPr>
      <w:r>
        <w:t xml:space="preserve">25.</w:t>
      </w:r>
      <w:r>
        <w:tab/>
      </w:r>
      <w:r>
        <w:t xml:space="preserve">Specifically, during the 471 calendar days from November 20, 2023 until January 8, 2024, Debtor made weekly Transfers of $4,366.73 to Idea 247 through ACH debit transactions, making loan repayments totaling $34,933.84, as follows:</w:t>
      </w:r>
    </w:p>
    <w:p>
      <w:pPr>
        <w:spacing w:before="0" w:after="0" w:line="240" w:lineRule="exact"/>
        <w:ind w:left="0" w:firstLine="0"/>
        <w:jc w:val="left"/>
      </w:pPr>
    </w:p>
    <w:tbl>
      <w:tblPr>
        <w:tblW w:w="56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60" w:type="dxa"/>
          <w:bottom w:w="50" w:type="dxa"/>
          <w:right w:w="160" w:type="dxa"/>
        </w:tblCellMar>
        <w:tblLook w:val="0000" w:firstRow="0" w:lastRow="0" w:firstColumn="0" w:lastColumn="0" w:noHBand="1" w:noVBand="1"/>
      </w:tblPr>
      <w:tblGrid>
        <w:gridCol w:w="2808"/>
        <w:gridCol w:w="2808"/>
      </w:tblGrid>
      <w:tr>
        <w:trPr>
          <w:cantSplit/>
        </w:trPr>
        <w:tc>
          <w:tcPr>
            <w:tcW w:w="2808" w:type="dxa"/>
          </w:tcPr>
          <w:p>
            <w:pPr>
              <w:spacing w:before="0" w:after="0" w:line="276" w:lineRule="exact"/>
              <w:ind w:left="0" w:firstLine="0"/>
              <w:jc w:val="center"/>
            </w:pPr>
            <w:r>
              <w:rPr>
                <w:b/>
                <w:bCs/>
              </w:rPr>
              <w:t xml:space="preserve">Date</w:t>
            </w:r>
          </w:p>
        </w:tc>
        <w:tc>
          <w:tcPr>
            <w:tcW w:w="2808" w:type="dxa"/>
          </w:tcPr>
          <w:p>
            <w:pPr>
              <w:spacing w:before="0" w:after="0" w:line="276" w:lineRule="exact"/>
              <w:ind w:left="0" w:firstLine="0"/>
              <w:jc w:val="center"/>
            </w:pPr>
            <w:r>
              <w:rPr>
                <w:b/>
                <w:bCs/>
              </w:rPr>
              <w:t xml:space="preserve">Amount</w:t>
            </w:r>
          </w:p>
        </w:tc>
      </w:tr>
      <w:tr>
        <w:trPr>
          <w:cantSplit/>
        </w:trPr>
        <w:tc>
          <w:tcPr>
            <w:tcW w:w="2808" w:type="dxa"/>
          </w:tcPr>
          <w:p>
            <w:pPr>
              <w:spacing w:before="0" w:after="0" w:line="276" w:lineRule="exact"/>
              <w:ind w:left="0" w:firstLine="0"/>
              <w:jc w:val="left"/>
            </w:pPr>
            <w:r>
              <w:t xml:space="preserve">November</w:t>
            </w:r>
            <w:r>
              <w:t xml:space="preserve"> </w:t>
            </w:r>
            <w:r>
              <w:t xml:space="preserve">20,</w:t>
            </w:r>
            <w:r>
              <w:t xml:space="preserve"> </w:t>
            </w:r>
            <w:r>
              <w:t xml:space="preserve">2023</w:t>
            </w:r>
          </w:p>
        </w:tc>
        <w:tc>
          <w:tcPr>
            <w:tcW w:w="2808" w:type="dxa"/>
          </w:tcPr>
          <w:p>
            <w:pPr>
              <w:spacing w:before="0" w:after="0" w:line="276" w:lineRule="exact"/>
              <w:ind w:left="0" w:firstLine="0"/>
              <w:jc w:val="left"/>
            </w:pPr>
            <w:r>
              <w:t xml:space="preserve">$4,366.73</w:t>
            </w:r>
          </w:p>
        </w:tc>
      </w:tr>
      <w:tr>
        <w:trPr>
          <w:cantSplit/>
        </w:trPr>
        <w:tc>
          <w:tcPr>
            <w:tcW w:w="2808" w:type="dxa"/>
          </w:tcPr>
          <w:p>
            <w:pPr>
              <w:spacing w:before="0" w:after="0" w:line="276" w:lineRule="exact"/>
              <w:ind w:left="0" w:firstLine="0"/>
              <w:jc w:val="left"/>
            </w:pPr>
            <w:r>
              <w:t xml:space="preserve">November</w:t>
            </w:r>
            <w:r>
              <w:t xml:space="preserve"> </w:t>
            </w:r>
            <w:r>
              <w:t xml:space="preserve">27,</w:t>
            </w:r>
            <w:r>
              <w:t xml:space="preserve"> </w:t>
            </w:r>
            <w:r>
              <w:t xml:space="preserve">2023</w:t>
            </w:r>
          </w:p>
        </w:tc>
        <w:tc>
          <w:tcPr>
            <w:tcW w:w="2808" w:type="dxa"/>
          </w:tcPr>
          <w:p>
            <w:pPr>
              <w:spacing w:before="0" w:after="0" w:line="276" w:lineRule="exact"/>
              <w:ind w:left="0" w:firstLine="0"/>
              <w:jc w:val="left"/>
            </w:pPr>
            <w:r>
              <w:t xml:space="preserve">$4,366.73</w:t>
            </w:r>
          </w:p>
        </w:tc>
      </w:tr>
      <w:tr>
        <w:trPr>
          <w:cantSplit/>
        </w:trPr>
        <w:tc>
          <w:tcPr>
            <w:tcW w:w="2808" w:type="dxa"/>
          </w:tcPr>
          <w:p>
            <w:pPr>
              <w:spacing w:before="0" w:after="0" w:line="276" w:lineRule="exact"/>
              <w:ind w:left="0" w:firstLine="0"/>
              <w:jc w:val="left"/>
            </w:pPr>
            <w:r>
              <w:t xml:space="preserve">December</w:t>
            </w:r>
            <w:r>
              <w:t xml:space="preserve"> </w:t>
            </w:r>
            <w:r>
              <w:t xml:space="preserve">4,</w:t>
            </w:r>
            <w:r>
              <w:t xml:space="preserve"> </w:t>
            </w:r>
            <w:r>
              <w:t xml:space="preserve">2023</w:t>
            </w:r>
          </w:p>
        </w:tc>
        <w:tc>
          <w:tcPr>
            <w:tcW w:w="2808" w:type="dxa"/>
          </w:tcPr>
          <w:p>
            <w:pPr>
              <w:spacing w:before="0" w:after="0" w:line="276" w:lineRule="exact"/>
              <w:ind w:left="0" w:firstLine="0"/>
              <w:jc w:val="left"/>
            </w:pPr>
            <w:r>
              <w:t xml:space="preserve">$4,366.73</w:t>
            </w:r>
          </w:p>
        </w:tc>
      </w:tr>
      <w:tr>
        <w:trPr>
          <w:cantSplit/>
        </w:trPr>
        <w:tc>
          <w:tcPr>
            <w:tcW w:w="2808" w:type="dxa"/>
          </w:tcPr>
          <w:p>
            <w:pPr>
              <w:spacing w:before="0" w:after="0" w:line="276" w:lineRule="exact"/>
              <w:ind w:left="0" w:firstLine="0"/>
              <w:jc w:val="left"/>
            </w:pPr>
            <w:r>
              <w:t xml:space="preserve">December</w:t>
            </w:r>
            <w:r>
              <w:t xml:space="preserve"> </w:t>
            </w:r>
            <w:r>
              <w:t xml:space="preserve">11,</w:t>
            </w:r>
            <w:r>
              <w:t xml:space="preserve"> </w:t>
            </w:r>
            <w:r>
              <w:t xml:space="preserve">2023</w:t>
            </w:r>
          </w:p>
        </w:tc>
        <w:tc>
          <w:tcPr>
            <w:tcW w:w="2808" w:type="dxa"/>
          </w:tcPr>
          <w:p>
            <w:pPr>
              <w:spacing w:before="0" w:after="0" w:line="276" w:lineRule="exact"/>
              <w:ind w:left="0" w:firstLine="0"/>
              <w:jc w:val="left"/>
            </w:pPr>
            <w:r>
              <w:t xml:space="preserve">$4,366.73</w:t>
            </w:r>
          </w:p>
        </w:tc>
      </w:tr>
      <w:tr>
        <w:trPr>
          <w:cantSplit/>
        </w:trPr>
        <w:tc>
          <w:tcPr>
            <w:tcW w:w="2808" w:type="dxa"/>
          </w:tcPr>
          <w:p>
            <w:pPr>
              <w:spacing w:before="0" w:after="0" w:line="276" w:lineRule="exact"/>
              <w:ind w:left="0" w:firstLine="0"/>
              <w:jc w:val="left"/>
            </w:pPr>
            <w:r>
              <w:t xml:space="preserve">December</w:t>
            </w:r>
            <w:r>
              <w:t xml:space="preserve"> </w:t>
            </w:r>
            <w:r>
              <w:t xml:space="preserve">18,</w:t>
            </w:r>
            <w:r>
              <w:t xml:space="preserve"> </w:t>
            </w:r>
            <w:r>
              <w:t xml:space="preserve">2023</w:t>
            </w:r>
          </w:p>
        </w:tc>
        <w:tc>
          <w:tcPr>
            <w:tcW w:w="2808" w:type="dxa"/>
          </w:tcPr>
          <w:p>
            <w:pPr>
              <w:spacing w:before="0" w:after="0" w:line="276" w:lineRule="exact"/>
              <w:ind w:left="0" w:firstLine="0"/>
              <w:jc w:val="left"/>
            </w:pPr>
            <w:r>
              <w:t xml:space="preserve">$4,366.73</w:t>
            </w:r>
          </w:p>
        </w:tc>
      </w:tr>
      <w:tr>
        <w:trPr>
          <w:cantSplit/>
        </w:trPr>
        <w:tc>
          <w:tcPr>
            <w:tcW w:w="2808" w:type="dxa"/>
          </w:tcPr>
          <w:p>
            <w:pPr>
              <w:spacing w:before="0" w:after="0" w:line="276" w:lineRule="exact"/>
              <w:ind w:left="0" w:firstLine="0"/>
              <w:jc w:val="left"/>
            </w:pPr>
            <w:r>
              <w:t xml:space="preserve">December</w:t>
            </w:r>
            <w:r>
              <w:t xml:space="preserve"> </w:t>
            </w:r>
            <w:r>
              <w:t xml:space="preserve">26,</w:t>
            </w:r>
            <w:r>
              <w:t xml:space="preserve"> </w:t>
            </w:r>
            <w:r>
              <w:t xml:space="preserve">2023</w:t>
            </w:r>
          </w:p>
        </w:tc>
        <w:tc>
          <w:tcPr>
            <w:tcW w:w="2808" w:type="dxa"/>
          </w:tcPr>
          <w:p>
            <w:pPr>
              <w:spacing w:before="0" w:after="0" w:line="276" w:lineRule="exact"/>
              <w:ind w:left="0" w:firstLine="0"/>
              <w:jc w:val="left"/>
            </w:pPr>
            <w:r>
              <w:t xml:space="preserve">$4,366.73</w:t>
            </w:r>
          </w:p>
        </w:tc>
      </w:tr>
      <w:tr>
        <w:trPr>
          <w:cantSplit/>
        </w:trPr>
        <w:tc>
          <w:tcPr>
            <w:tcW w:w="2808" w:type="dxa"/>
          </w:tcPr>
          <w:p>
            <w:pPr>
              <w:spacing w:before="0" w:after="0" w:line="276" w:lineRule="exact"/>
              <w:ind w:left="0" w:firstLine="0"/>
              <w:jc w:val="left"/>
            </w:pPr>
            <w:r>
              <w:t xml:space="preserve">January</w:t>
            </w:r>
            <w:r>
              <w:t xml:space="preserve"> </w:t>
            </w:r>
            <w:r>
              <w:t xml:space="preserve">2,</w:t>
            </w:r>
            <w:r>
              <w:t xml:space="preserve"> </w:t>
            </w:r>
            <w:r>
              <w:t xml:space="preserve">2024</w:t>
            </w:r>
          </w:p>
        </w:tc>
        <w:tc>
          <w:tcPr>
            <w:tcW w:w="2808" w:type="dxa"/>
          </w:tcPr>
          <w:p>
            <w:pPr>
              <w:spacing w:before="0" w:after="0" w:line="276" w:lineRule="exact"/>
              <w:ind w:left="0" w:firstLine="0"/>
              <w:jc w:val="left"/>
            </w:pPr>
            <w:r>
              <w:t xml:space="preserve">$4,366.73</w:t>
            </w:r>
          </w:p>
        </w:tc>
      </w:tr>
      <w:tr>
        <w:trPr>
          <w:cantSplit/>
        </w:trPr>
        <w:tc>
          <w:tcPr>
            <w:tcW w:w="2808" w:type="dxa"/>
          </w:tcPr>
          <w:p>
            <w:pPr>
              <w:spacing w:before="0" w:after="0" w:line="276" w:lineRule="exact"/>
              <w:ind w:left="0" w:firstLine="0"/>
              <w:jc w:val="left"/>
            </w:pPr>
            <w:r>
              <w:t xml:space="preserve">January</w:t>
            </w:r>
            <w:r>
              <w:t xml:space="preserve"> </w:t>
            </w:r>
            <w:r>
              <w:t xml:space="preserve">8,</w:t>
            </w:r>
            <w:r>
              <w:t xml:space="preserve"> </w:t>
            </w:r>
            <w:r>
              <w:t xml:space="preserve">2024</w:t>
            </w:r>
          </w:p>
        </w:tc>
        <w:tc>
          <w:tcPr>
            <w:tcW w:w="2808" w:type="dxa"/>
          </w:tcPr>
          <w:p>
            <w:pPr>
              <w:spacing w:before="0" w:after="0" w:line="276" w:lineRule="exact"/>
              <w:ind w:left="0" w:firstLine="0"/>
              <w:jc w:val="left"/>
            </w:pPr>
            <w:r>
              <w:t xml:space="preserve">$4,366.73</w:t>
            </w:r>
          </w:p>
        </w:tc>
      </w:tr>
    </w:tbl>
    <w:p>
      <w:pPr>
        <w:spacing w:before="0" w:after="0" w:line="240" w:lineRule="exact"/>
        <w:ind w:left="0" w:firstLine="0"/>
        <w:jc w:val="left"/>
      </w:pPr>
    </w:p>
    <w:p>
      <w:pPr>
        <w:pStyle w:val="NumberedParagraph"/>
      </w:pPr>
      <w:r>
        <w:t xml:space="preserve">26.</w:t>
      </w:r>
      <w:r>
        <w:tab/>
      </w:r>
      <w:r>
        <w:t xml:space="preserve">Commencing January 16, 2024, Debtor’s weekly Transfers to Idea 247 increased to $4,594.36.</w:t>
      </w:r>
    </w:p>
    <w:p>
      <w:pPr>
        <w:pStyle w:val="NumberedParagraph"/>
      </w:pPr>
      <w:r>
        <w:t xml:space="preserve">27.</w:t>
      </w:r>
      <w:r>
        <w:tab/>
      </w:r>
      <w:r>
        <w:t xml:space="preserve">Specifically, from January 16, 2024 until March 25, 2024, Debtor made the following Transfers to Idea 247 totaling $50,537.96:</w:t>
      </w:r>
    </w:p>
    <w:p>
      <w:pPr>
        <w:spacing w:before="0" w:after="0" w:line="240" w:lineRule="exact"/>
        <w:ind w:left="0" w:firstLine="0"/>
        <w:jc w:val="left"/>
      </w:pPr>
    </w:p>
    <w:tbl>
      <w:tblPr>
        <w:tblW w:w="56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60" w:type="dxa"/>
          <w:bottom w:w="50" w:type="dxa"/>
          <w:right w:w="160" w:type="dxa"/>
        </w:tblCellMar>
        <w:tblLook w:val="0000" w:firstRow="0" w:lastRow="0" w:firstColumn="0" w:lastColumn="0" w:noHBand="1" w:noVBand="1"/>
      </w:tblPr>
      <w:tblGrid>
        <w:gridCol w:w="2808"/>
        <w:gridCol w:w="2808"/>
      </w:tblGrid>
      <w:tr>
        <w:trPr>
          <w:cantSplit/>
        </w:trPr>
        <w:tc>
          <w:tcPr>
            <w:tcW w:w="2808" w:type="dxa"/>
          </w:tcPr>
          <w:p>
            <w:pPr>
              <w:spacing w:before="0" w:after="0" w:line="276" w:lineRule="exact"/>
              <w:ind w:left="0" w:firstLine="0"/>
              <w:jc w:val="center"/>
            </w:pPr>
            <w:r>
              <w:rPr>
                <w:b/>
                <w:bCs/>
              </w:rPr>
              <w:t xml:space="preserve">Date</w:t>
            </w:r>
          </w:p>
        </w:tc>
        <w:tc>
          <w:tcPr>
            <w:tcW w:w="2808" w:type="dxa"/>
          </w:tcPr>
          <w:p>
            <w:pPr>
              <w:spacing w:before="0" w:after="0" w:line="276" w:lineRule="exact"/>
              <w:ind w:left="0" w:firstLine="0"/>
              <w:jc w:val="center"/>
            </w:pPr>
            <w:r>
              <w:rPr>
                <w:b/>
                <w:bCs/>
              </w:rPr>
              <w:t xml:space="preserve">Amount</w:t>
            </w:r>
          </w:p>
        </w:tc>
      </w:tr>
      <w:tr>
        <w:trPr>
          <w:cantSplit/>
        </w:trPr>
        <w:tc>
          <w:tcPr>
            <w:tcW w:w="2808" w:type="dxa"/>
          </w:tcPr>
          <w:p>
            <w:pPr>
              <w:spacing w:before="0" w:after="0" w:line="276" w:lineRule="exact"/>
              <w:ind w:left="0" w:firstLine="0"/>
              <w:jc w:val="left"/>
            </w:pPr>
            <w:r>
              <w:t xml:space="preserve">January</w:t>
            </w:r>
            <w:r>
              <w:t xml:space="preserve"> </w:t>
            </w:r>
            <w:r>
              <w:t xml:space="preserve">16,</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January</w:t>
            </w:r>
            <w:r>
              <w:t xml:space="preserve"> </w:t>
            </w:r>
            <w:r>
              <w:t xml:space="preserve">22,</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January</w:t>
            </w:r>
            <w:r>
              <w:t xml:space="preserve"> </w:t>
            </w:r>
            <w:r>
              <w:t xml:space="preserve">29,</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February</w:t>
            </w:r>
            <w:r>
              <w:t xml:space="preserve"> </w:t>
            </w:r>
            <w:r>
              <w:t xml:space="preserve">5,</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February</w:t>
            </w:r>
            <w:r>
              <w:t xml:space="preserve"> </w:t>
            </w:r>
            <w:r>
              <w:t xml:space="preserve">12,</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February</w:t>
            </w:r>
            <w:r>
              <w:t xml:space="preserve"> </w:t>
            </w:r>
            <w:r>
              <w:t xml:space="preserve">20,</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February</w:t>
            </w:r>
            <w:r>
              <w:t xml:space="preserve"> </w:t>
            </w:r>
            <w:r>
              <w:t xml:space="preserve">26,</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March</w:t>
            </w:r>
            <w:r>
              <w:t xml:space="preserve"> </w:t>
            </w:r>
            <w:r>
              <w:t xml:space="preserve">4,</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March</w:t>
            </w:r>
            <w:r>
              <w:t xml:space="preserve"> </w:t>
            </w:r>
            <w:r>
              <w:t xml:space="preserve">11,</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March</w:t>
            </w:r>
            <w:r>
              <w:t xml:space="preserve"> </w:t>
            </w:r>
            <w:r>
              <w:t xml:space="preserve">18,</w:t>
            </w:r>
            <w:r>
              <w:t xml:space="preserve"> </w:t>
            </w:r>
            <w:r>
              <w:t xml:space="preserve">2024</w:t>
            </w:r>
          </w:p>
        </w:tc>
        <w:tc>
          <w:tcPr>
            <w:tcW w:w="2808" w:type="dxa"/>
          </w:tcPr>
          <w:p>
            <w:pPr>
              <w:spacing w:before="0" w:after="0" w:line="276" w:lineRule="exact"/>
              <w:ind w:left="0" w:firstLine="0"/>
              <w:jc w:val="left"/>
            </w:pPr>
            <w:r>
              <w:t xml:space="preserve">$4,594.36</w:t>
            </w:r>
          </w:p>
        </w:tc>
      </w:tr>
      <w:tr>
        <w:trPr>
          <w:cantSplit/>
        </w:trPr>
        <w:tc>
          <w:tcPr>
            <w:tcW w:w="2808" w:type="dxa"/>
          </w:tcPr>
          <w:p>
            <w:pPr>
              <w:spacing w:before="0" w:after="0" w:line="276" w:lineRule="exact"/>
              <w:ind w:left="0" w:firstLine="0"/>
              <w:jc w:val="left"/>
            </w:pPr>
            <w:r>
              <w:t xml:space="preserve">March</w:t>
            </w:r>
            <w:r>
              <w:t xml:space="preserve"> </w:t>
            </w:r>
            <w:r>
              <w:t xml:space="preserve">25,</w:t>
            </w:r>
            <w:r>
              <w:t xml:space="preserve"> </w:t>
            </w:r>
            <w:r>
              <w:t xml:space="preserve">2024</w:t>
            </w:r>
          </w:p>
        </w:tc>
        <w:tc>
          <w:tcPr>
            <w:tcW w:w="2808" w:type="dxa"/>
          </w:tcPr>
          <w:p>
            <w:pPr>
              <w:spacing w:before="0" w:after="0" w:line="276" w:lineRule="exact"/>
              <w:ind w:left="0" w:firstLine="0"/>
              <w:jc w:val="left"/>
            </w:pPr>
            <w:r>
              <w:t xml:space="preserve">$4,594.36</w:t>
            </w:r>
          </w:p>
        </w:tc>
      </w:tr>
    </w:tbl>
    <w:p>
      <w:pPr>
        <w:spacing w:before="0" w:after="0" w:line="240" w:lineRule="exact"/>
        <w:ind w:left="0" w:firstLine="0"/>
        <w:jc w:val="left"/>
      </w:pPr>
    </w:p>
    <w:p>
      <w:pPr>
        <w:pStyle w:val="NumberedParagraph"/>
      </w:pPr>
      <w:r>
        <w:t xml:space="preserve">28.</w:t>
      </w:r>
      <w:r>
        <w:tab/>
      </w:r>
      <w:r>
        <w:t xml:space="preserve">From April 1, 2024 until May 20, 2024, Debtor made weekly Transfers of $4,587.87 to Idea 247 totaling $36,702.96:</w:t>
      </w:r>
    </w:p>
    <w:p>
      <w:pPr>
        <w:spacing w:before="0" w:after="0" w:line="240" w:lineRule="exact"/>
        <w:ind w:left="0" w:firstLine="0"/>
        <w:jc w:val="left"/>
      </w:pPr>
    </w:p>
    <w:tbl>
      <w:tblPr>
        <w:tblW w:w="56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60" w:type="dxa"/>
          <w:bottom w:w="50" w:type="dxa"/>
          <w:right w:w="160" w:type="dxa"/>
        </w:tblCellMar>
        <w:tblLook w:val="0000" w:firstRow="0" w:lastRow="0" w:firstColumn="0" w:lastColumn="0" w:noHBand="1" w:noVBand="1"/>
      </w:tblPr>
      <w:tblGrid>
        <w:gridCol w:w="2808"/>
        <w:gridCol w:w="2808"/>
      </w:tblGrid>
      <w:tr>
        <w:trPr>
          <w:cantSplit/>
        </w:trPr>
        <w:tc>
          <w:tcPr>
            <w:tcW w:w="2808" w:type="dxa"/>
          </w:tcPr>
          <w:p>
            <w:pPr>
              <w:spacing w:before="0" w:after="0" w:line="276" w:lineRule="exact"/>
              <w:ind w:left="0" w:firstLine="0"/>
              <w:jc w:val="center"/>
            </w:pPr>
            <w:r>
              <w:rPr>
                <w:b/>
                <w:bCs/>
              </w:rPr>
              <w:t xml:space="preserve">Date</w:t>
            </w:r>
          </w:p>
        </w:tc>
        <w:tc>
          <w:tcPr>
            <w:tcW w:w="2808" w:type="dxa"/>
          </w:tcPr>
          <w:p>
            <w:pPr>
              <w:spacing w:before="0" w:after="0" w:line="276" w:lineRule="exact"/>
              <w:ind w:left="0" w:firstLine="0"/>
              <w:jc w:val="center"/>
            </w:pPr>
            <w:r>
              <w:rPr>
                <w:b/>
                <w:bCs/>
              </w:rPr>
              <w:t xml:space="preserve">Amount</w:t>
            </w:r>
          </w:p>
        </w:tc>
      </w:tr>
      <w:tr>
        <w:trPr>
          <w:cantSplit/>
        </w:trPr>
        <w:tc>
          <w:tcPr>
            <w:tcW w:w="2808" w:type="dxa"/>
          </w:tcPr>
          <w:p>
            <w:pPr>
              <w:spacing w:before="0" w:after="0" w:line="276" w:lineRule="exact"/>
              <w:ind w:left="0" w:firstLine="0"/>
              <w:jc w:val="left"/>
            </w:pPr>
            <w:r>
              <w:t xml:space="preserve">April</w:t>
            </w:r>
            <w:r>
              <w:t xml:space="preserve"> </w:t>
            </w:r>
            <w:r>
              <w:t xml:space="preserve">1,</w:t>
            </w:r>
            <w:r>
              <w:t xml:space="preserve"> </w:t>
            </w:r>
            <w:r>
              <w:t xml:space="preserve">2024</w:t>
            </w:r>
          </w:p>
        </w:tc>
        <w:tc>
          <w:tcPr>
            <w:tcW w:w="2808" w:type="dxa"/>
          </w:tcPr>
          <w:p>
            <w:pPr>
              <w:spacing w:before="0" w:after="0" w:line="276" w:lineRule="exact"/>
              <w:ind w:left="0" w:firstLine="0"/>
              <w:jc w:val="left"/>
            </w:pPr>
            <w:r>
              <w:t xml:space="preserve">$4,587.87</w:t>
            </w:r>
          </w:p>
        </w:tc>
      </w:tr>
      <w:tr>
        <w:trPr>
          <w:cantSplit/>
        </w:trPr>
        <w:tc>
          <w:tcPr>
            <w:tcW w:w="2808" w:type="dxa"/>
          </w:tcPr>
          <w:p>
            <w:pPr>
              <w:spacing w:before="0" w:after="0" w:line="276" w:lineRule="exact"/>
              <w:ind w:left="0" w:firstLine="0"/>
              <w:jc w:val="left"/>
            </w:pPr>
            <w:r>
              <w:t xml:space="preserve">April</w:t>
            </w:r>
            <w:r>
              <w:t xml:space="preserve"> </w:t>
            </w:r>
            <w:r>
              <w:t xml:space="preserve">8,</w:t>
            </w:r>
            <w:r>
              <w:t xml:space="preserve"> </w:t>
            </w:r>
            <w:r>
              <w:t xml:space="preserve">2024</w:t>
            </w:r>
          </w:p>
        </w:tc>
        <w:tc>
          <w:tcPr>
            <w:tcW w:w="2808" w:type="dxa"/>
          </w:tcPr>
          <w:p>
            <w:pPr>
              <w:spacing w:before="0" w:after="0" w:line="276" w:lineRule="exact"/>
              <w:ind w:left="0" w:firstLine="0"/>
              <w:jc w:val="left"/>
            </w:pPr>
            <w:r>
              <w:t xml:space="preserve">$4,587.87</w:t>
            </w:r>
          </w:p>
        </w:tc>
      </w:tr>
      <w:tr>
        <w:trPr>
          <w:cantSplit/>
        </w:trPr>
        <w:tc>
          <w:tcPr>
            <w:tcW w:w="2808" w:type="dxa"/>
          </w:tcPr>
          <w:p>
            <w:pPr>
              <w:spacing w:before="0" w:after="0" w:line="276" w:lineRule="exact"/>
              <w:ind w:left="0" w:firstLine="0"/>
              <w:jc w:val="left"/>
            </w:pPr>
            <w:r>
              <w:t xml:space="preserve">April</w:t>
            </w:r>
            <w:r>
              <w:t xml:space="preserve"> </w:t>
            </w:r>
            <w:r>
              <w:t xml:space="preserve">15,</w:t>
            </w:r>
            <w:r>
              <w:t xml:space="preserve"> </w:t>
            </w:r>
            <w:r>
              <w:t xml:space="preserve">2024</w:t>
            </w:r>
          </w:p>
        </w:tc>
        <w:tc>
          <w:tcPr>
            <w:tcW w:w="2808" w:type="dxa"/>
          </w:tcPr>
          <w:p>
            <w:pPr>
              <w:spacing w:before="0" w:after="0" w:line="276" w:lineRule="exact"/>
              <w:ind w:left="0" w:firstLine="0"/>
              <w:jc w:val="left"/>
            </w:pPr>
            <w:r>
              <w:t xml:space="preserve">$4,587.87</w:t>
            </w:r>
          </w:p>
        </w:tc>
      </w:tr>
      <w:tr>
        <w:trPr>
          <w:cantSplit/>
        </w:trPr>
        <w:tc>
          <w:tcPr>
            <w:tcW w:w="2808" w:type="dxa"/>
          </w:tcPr>
          <w:p>
            <w:pPr>
              <w:spacing w:before="0" w:after="0" w:line="276" w:lineRule="exact"/>
              <w:ind w:left="0" w:firstLine="0"/>
              <w:jc w:val="left"/>
            </w:pPr>
            <w:r>
              <w:t xml:space="preserve">April</w:t>
            </w:r>
            <w:r>
              <w:t xml:space="preserve"> </w:t>
            </w:r>
            <w:r>
              <w:t xml:space="preserve">22,</w:t>
            </w:r>
            <w:r>
              <w:t xml:space="preserve"> </w:t>
            </w:r>
            <w:r>
              <w:t xml:space="preserve">2024</w:t>
            </w:r>
          </w:p>
        </w:tc>
        <w:tc>
          <w:tcPr>
            <w:tcW w:w="2808" w:type="dxa"/>
          </w:tcPr>
          <w:p>
            <w:pPr>
              <w:spacing w:before="0" w:after="0" w:line="276" w:lineRule="exact"/>
              <w:ind w:left="0" w:firstLine="0"/>
              <w:jc w:val="left"/>
            </w:pPr>
            <w:r>
              <w:t xml:space="preserve">$4,587.87</w:t>
            </w:r>
          </w:p>
        </w:tc>
      </w:tr>
      <w:tr>
        <w:trPr>
          <w:cantSplit/>
        </w:trPr>
        <w:tc>
          <w:tcPr>
            <w:tcW w:w="2808" w:type="dxa"/>
          </w:tcPr>
          <w:p>
            <w:pPr>
              <w:spacing w:before="0" w:after="0" w:line="276" w:lineRule="exact"/>
              <w:ind w:left="0" w:firstLine="0"/>
              <w:jc w:val="left"/>
            </w:pPr>
            <w:r>
              <w:t xml:space="preserve">April</w:t>
            </w:r>
            <w:r>
              <w:t xml:space="preserve"> </w:t>
            </w:r>
            <w:r>
              <w:t xml:space="preserve">29,</w:t>
            </w:r>
            <w:r>
              <w:t xml:space="preserve"> </w:t>
            </w:r>
            <w:r>
              <w:t xml:space="preserve">2024</w:t>
            </w:r>
          </w:p>
        </w:tc>
        <w:tc>
          <w:tcPr>
            <w:tcW w:w="2808" w:type="dxa"/>
          </w:tcPr>
          <w:p>
            <w:pPr>
              <w:spacing w:before="0" w:after="0" w:line="276" w:lineRule="exact"/>
              <w:ind w:left="0" w:firstLine="0"/>
              <w:jc w:val="left"/>
            </w:pPr>
            <w:r>
              <w:t xml:space="preserve">$4,587.87</w:t>
            </w:r>
          </w:p>
        </w:tc>
      </w:tr>
      <w:tr>
        <w:trPr>
          <w:cantSplit/>
        </w:trPr>
        <w:tc>
          <w:tcPr>
            <w:tcW w:w="2808" w:type="dxa"/>
          </w:tcPr>
          <w:p>
            <w:pPr>
              <w:spacing w:before="0" w:after="0" w:line="276" w:lineRule="exact"/>
              <w:ind w:left="0" w:firstLine="0"/>
              <w:jc w:val="left"/>
            </w:pPr>
            <w:r>
              <w:t xml:space="preserve">May</w:t>
            </w:r>
            <w:r>
              <w:t xml:space="preserve"> </w:t>
            </w:r>
            <w:r>
              <w:t xml:space="preserve">6,</w:t>
            </w:r>
            <w:r>
              <w:t xml:space="preserve"> </w:t>
            </w:r>
            <w:r>
              <w:t xml:space="preserve">2024</w:t>
            </w:r>
          </w:p>
        </w:tc>
        <w:tc>
          <w:tcPr>
            <w:tcW w:w="2808" w:type="dxa"/>
          </w:tcPr>
          <w:p>
            <w:pPr>
              <w:spacing w:before="0" w:after="0" w:line="276" w:lineRule="exact"/>
              <w:ind w:left="0" w:firstLine="0"/>
              <w:jc w:val="left"/>
            </w:pPr>
            <w:r>
              <w:t xml:space="preserve">$4,587.87</w:t>
            </w:r>
          </w:p>
        </w:tc>
      </w:tr>
      <w:tr>
        <w:trPr>
          <w:cantSplit/>
        </w:trPr>
        <w:tc>
          <w:tcPr>
            <w:tcW w:w="2808" w:type="dxa"/>
          </w:tcPr>
          <w:p>
            <w:pPr>
              <w:spacing w:before="0" w:after="0" w:line="276" w:lineRule="exact"/>
              <w:ind w:left="0" w:firstLine="0"/>
              <w:jc w:val="left"/>
            </w:pPr>
            <w:r>
              <w:t xml:space="preserve">May</w:t>
            </w:r>
            <w:r>
              <w:t xml:space="preserve"> </w:t>
            </w:r>
            <w:r>
              <w:t xml:space="preserve">13,</w:t>
            </w:r>
            <w:r>
              <w:t xml:space="preserve"> </w:t>
            </w:r>
            <w:r>
              <w:t xml:space="preserve">2024</w:t>
            </w:r>
          </w:p>
        </w:tc>
        <w:tc>
          <w:tcPr>
            <w:tcW w:w="2808" w:type="dxa"/>
          </w:tcPr>
          <w:p>
            <w:pPr>
              <w:spacing w:before="0" w:after="0" w:line="276" w:lineRule="exact"/>
              <w:ind w:left="0" w:firstLine="0"/>
              <w:jc w:val="left"/>
            </w:pPr>
            <w:r>
              <w:t xml:space="preserve">$4,587.87</w:t>
            </w:r>
          </w:p>
        </w:tc>
      </w:tr>
      <w:tr>
        <w:trPr>
          <w:cantSplit/>
        </w:trPr>
        <w:tc>
          <w:tcPr>
            <w:tcW w:w="2808" w:type="dxa"/>
          </w:tcPr>
          <w:p>
            <w:pPr>
              <w:spacing w:before="0" w:after="0" w:line="276" w:lineRule="exact"/>
              <w:ind w:left="0" w:firstLine="0"/>
              <w:jc w:val="left"/>
            </w:pPr>
            <w:r>
              <w:t xml:space="preserve">May</w:t>
            </w:r>
            <w:r>
              <w:t xml:space="preserve"> </w:t>
            </w:r>
            <w:r>
              <w:t xml:space="preserve">20,</w:t>
            </w:r>
            <w:r>
              <w:t xml:space="preserve"> </w:t>
            </w:r>
            <w:r>
              <w:t xml:space="preserve">2024</w:t>
            </w:r>
          </w:p>
        </w:tc>
        <w:tc>
          <w:tcPr>
            <w:tcW w:w="2808" w:type="dxa"/>
          </w:tcPr>
          <w:p>
            <w:pPr>
              <w:spacing w:before="0" w:after="0" w:line="276" w:lineRule="exact"/>
              <w:ind w:left="0" w:firstLine="0"/>
              <w:jc w:val="left"/>
            </w:pPr>
            <w:r>
              <w:t xml:space="preserve">$4,587.87</w:t>
            </w:r>
          </w:p>
        </w:tc>
      </w:tr>
    </w:tbl>
    <w:p>
      <w:pPr>
        <w:spacing w:before="0" w:after="0" w:line="240" w:lineRule="exact"/>
        <w:ind w:left="0" w:firstLine="0"/>
        <w:jc w:val="left"/>
      </w:pPr>
    </w:p>
    <w:p>
      <w:pPr>
        <w:pStyle w:val="NumberedParagraph"/>
      </w:pPr>
      <w:r>
        <w:t xml:space="preserve">29.</w:t>
      </w:r>
      <w:r>
        <w:tab/>
      </w:r>
      <w:r>
        <w:t xml:space="preserve">Except as set forth in the paragraph immediately following, from May 28, 2024 until February 24, 2025, Debtor made weekly Transfers of $4,606.90 to Idea 247.</w:t>
      </w:r>
    </w:p>
    <w:p>
      <w:pPr>
        <w:pStyle w:val="NumberedParagraph"/>
      </w:pPr>
      <w:r>
        <w:t xml:space="preserve">30.</w:t>
      </w:r>
      <w:r>
        <w:tab/>
      </w:r>
      <w:r>
        <w:t xml:space="preserve">Within this period, from July 15, 2024 until August 19, 2024, Debtor’s weekly Transfers to Idea 247 changed to $4,602.84.</w:t>
      </w:r>
    </w:p>
    <w:p>
      <w:pPr>
        <w:pStyle w:val="NumberedParagraph"/>
      </w:pPr>
      <w:r>
        <w:t xml:space="preserve">31.</w:t>
      </w:r>
      <w:r>
        <w:tab/>
      </w:r>
      <w:r>
        <w:t xml:space="preserve">These Transfers from May 28, 2024 until February 24, 2025 totaled $188,858.54 and are as follows:</w:t>
      </w:r>
    </w:p>
    <w:p>
      <w:pPr>
        <w:spacing w:before="0" w:after="0" w:line="240" w:lineRule="exact"/>
        <w:ind w:left="0" w:firstLine="0"/>
        <w:jc w:val="left"/>
      </w:pPr>
    </w:p>
    <w:tbl>
      <w:tblPr>
        <w:tblW w:w="56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60" w:type="dxa"/>
          <w:bottom w:w="50" w:type="dxa"/>
          <w:right w:w="160" w:type="dxa"/>
        </w:tblCellMar>
        <w:tblLook w:val="0000" w:firstRow="0" w:lastRow="0" w:firstColumn="0" w:lastColumn="0" w:noHBand="1" w:noVBand="1"/>
      </w:tblPr>
      <w:tblGrid>
        <w:gridCol w:w="2808"/>
        <w:gridCol w:w="2808"/>
      </w:tblGrid>
      <w:tr>
        <w:trPr>
          <w:cantSplit/>
        </w:trPr>
        <w:tc>
          <w:tcPr>
            <w:tcW w:w="2808" w:type="dxa"/>
          </w:tcPr>
          <w:p>
            <w:pPr>
              <w:spacing w:before="0" w:after="0" w:line="276" w:lineRule="exact"/>
              <w:ind w:left="0" w:firstLine="0"/>
              <w:jc w:val="center"/>
            </w:pPr>
            <w:r>
              <w:rPr>
                <w:b/>
                <w:bCs/>
              </w:rPr>
              <w:t xml:space="preserve">Date</w:t>
            </w:r>
          </w:p>
        </w:tc>
        <w:tc>
          <w:tcPr>
            <w:tcW w:w="2808" w:type="dxa"/>
          </w:tcPr>
          <w:p>
            <w:pPr>
              <w:spacing w:before="0" w:after="0" w:line="276" w:lineRule="exact"/>
              <w:ind w:left="0" w:firstLine="0"/>
              <w:jc w:val="center"/>
            </w:pPr>
            <w:r>
              <w:rPr>
                <w:b/>
                <w:bCs/>
              </w:rPr>
              <w:t xml:space="preserve">Amount</w:t>
            </w:r>
          </w:p>
        </w:tc>
      </w:tr>
      <w:tr>
        <w:trPr>
          <w:cantSplit/>
        </w:trPr>
        <w:tc>
          <w:tcPr>
            <w:tcW w:w="2808" w:type="dxa"/>
          </w:tcPr>
          <w:p>
            <w:pPr>
              <w:spacing w:before="0" w:after="0" w:line="276" w:lineRule="exact"/>
              <w:ind w:left="0" w:firstLine="0"/>
              <w:jc w:val="left"/>
            </w:pPr>
            <w:r>
              <w:t xml:space="preserve">May</w:t>
            </w:r>
            <w:r>
              <w:t xml:space="preserve"> </w:t>
            </w:r>
            <w:r>
              <w:t xml:space="preserve">28,</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June</w:t>
            </w:r>
            <w:r>
              <w:t xml:space="preserve"> </w:t>
            </w:r>
            <w:r>
              <w:t xml:space="preserve">3,</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June</w:t>
            </w:r>
            <w:r>
              <w:t xml:space="preserve"> </w:t>
            </w:r>
            <w:r>
              <w:t xml:space="preserve">10,</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June</w:t>
            </w:r>
            <w:r>
              <w:t xml:space="preserve"> </w:t>
            </w:r>
            <w:r>
              <w:t xml:space="preserve">17,</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June</w:t>
            </w:r>
            <w:r>
              <w:t xml:space="preserve"> </w:t>
            </w:r>
            <w:r>
              <w:t xml:space="preserve">24,</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July</w:t>
            </w:r>
            <w:r>
              <w:t xml:space="preserve"> </w:t>
            </w:r>
            <w:r>
              <w:t xml:space="preserve">1,</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July</w:t>
            </w:r>
            <w:r>
              <w:t xml:space="preserve"> </w:t>
            </w:r>
            <w:r>
              <w:t xml:space="preserve">8,</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July</w:t>
            </w:r>
            <w:r>
              <w:t xml:space="preserve"> </w:t>
            </w:r>
            <w:r>
              <w:t xml:space="preserve">15,</w:t>
            </w:r>
            <w:r>
              <w:t xml:space="preserve"> </w:t>
            </w:r>
            <w:r>
              <w:t xml:space="preserve">2024</w:t>
            </w:r>
          </w:p>
        </w:tc>
        <w:tc>
          <w:tcPr>
            <w:tcW w:w="2808" w:type="dxa"/>
          </w:tcPr>
          <w:p>
            <w:pPr>
              <w:spacing w:before="0" w:after="0" w:line="276" w:lineRule="exact"/>
              <w:ind w:left="0" w:firstLine="0"/>
              <w:jc w:val="left"/>
            </w:pPr>
            <w:r>
              <w:t xml:space="preserve">$4,602.84</w:t>
            </w:r>
          </w:p>
        </w:tc>
      </w:tr>
      <w:tr>
        <w:trPr>
          <w:cantSplit/>
        </w:trPr>
        <w:tc>
          <w:tcPr>
            <w:tcW w:w="2808" w:type="dxa"/>
          </w:tcPr>
          <w:p>
            <w:pPr>
              <w:spacing w:before="0" w:after="0" w:line="276" w:lineRule="exact"/>
              <w:ind w:left="0" w:firstLine="0"/>
              <w:jc w:val="left"/>
            </w:pPr>
            <w:r>
              <w:t xml:space="preserve">July</w:t>
            </w:r>
            <w:r>
              <w:t xml:space="preserve"> </w:t>
            </w:r>
            <w:r>
              <w:t xml:space="preserve">22,</w:t>
            </w:r>
            <w:r>
              <w:t xml:space="preserve"> </w:t>
            </w:r>
            <w:r>
              <w:t xml:space="preserve">2024</w:t>
            </w:r>
          </w:p>
        </w:tc>
        <w:tc>
          <w:tcPr>
            <w:tcW w:w="2808" w:type="dxa"/>
          </w:tcPr>
          <w:p>
            <w:pPr>
              <w:spacing w:before="0" w:after="0" w:line="276" w:lineRule="exact"/>
              <w:ind w:left="0" w:firstLine="0"/>
              <w:jc w:val="left"/>
            </w:pPr>
            <w:r>
              <w:t xml:space="preserve">$4,602.84</w:t>
            </w:r>
          </w:p>
        </w:tc>
      </w:tr>
      <w:tr>
        <w:trPr>
          <w:cantSplit/>
        </w:trPr>
        <w:tc>
          <w:tcPr>
            <w:tcW w:w="2808" w:type="dxa"/>
          </w:tcPr>
          <w:p>
            <w:pPr>
              <w:spacing w:before="0" w:after="0" w:line="276" w:lineRule="exact"/>
              <w:ind w:left="0" w:firstLine="0"/>
              <w:jc w:val="left"/>
            </w:pPr>
            <w:r>
              <w:t xml:space="preserve">July</w:t>
            </w:r>
            <w:r>
              <w:t xml:space="preserve"> </w:t>
            </w:r>
            <w:r>
              <w:t xml:space="preserve">29,</w:t>
            </w:r>
            <w:r>
              <w:t xml:space="preserve"> </w:t>
            </w:r>
            <w:r>
              <w:t xml:space="preserve">2024</w:t>
            </w:r>
          </w:p>
        </w:tc>
        <w:tc>
          <w:tcPr>
            <w:tcW w:w="2808" w:type="dxa"/>
          </w:tcPr>
          <w:p>
            <w:pPr>
              <w:spacing w:before="0" w:after="0" w:line="276" w:lineRule="exact"/>
              <w:ind w:left="0" w:firstLine="0"/>
              <w:jc w:val="left"/>
            </w:pPr>
            <w:r>
              <w:t xml:space="preserve">$4,602.84</w:t>
            </w:r>
          </w:p>
        </w:tc>
      </w:tr>
      <w:tr>
        <w:trPr>
          <w:cantSplit/>
        </w:trPr>
        <w:tc>
          <w:tcPr>
            <w:tcW w:w="2808" w:type="dxa"/>
          </w:tcPr>
          <w:p>
            <w:pPr>
              <w:spacing w:before="0" w:after="0" w:line="276" w:lineRule="exact"/>
              <w:ind w:left="0" w:firstLine="0"/>
              <w:jc w:val="left"/>
            </w:pPr>
            <w:r>
              <w:t xml:space="preserve">August</w:t>
            </w:r>
            <w:r>
              <w:t xml:space="preserve"> </w:t>
            </w:r>
            <w:r>
              <w:t xml:space="preserve">5,</w:t>
            </w:r>
            <w:r>
              <w:t xml:space="preserve"> </w:t>
            </w:r>
            <w:r>
              <w:t xml:space="preserve">2024</w:t>
            </w:r>
          </w:p>
        </w:tc>
        <w:tc>
          <w:tcPr>
            <w:tcW w:w="2808" w:type="dxa"/>
          </w:tcPr>
          <w:p>
            <w:pPr>
              <w:spacing w:before="0" w:after="0" w:line="276" w:lineRule="exact"/>
              <w:ind w:left="0" w:firstLine="0"/>
              <w:jc w:val="left"/>
            </w:pPr>
            <w:r>
              <w:t xml:space="preserve">$4,602.84</w:t>
            </w:r>
          </w:p>
        </w:tc>
      </w:tr>
      <w:tr>
        <w:trPr>
          <w:cantSplit/>
        </w:trPr>
        <w:tc>
          <w:tcPr>
            <w:tcW w:w="2808" w:type="dxa"/>
          </w:tcPr>
          <w:p>
            <w:pPr>
              <w:spacing w:before="0" w:after="0" w:line="276" w:lineRule="exact"/>
              <w:ind w:left="0" w:firstLine="0"/>
              <w:jc w:val="left"/>
            </w:pPr>
            <w:r>
              <w:t xml:space="preserve">August</w:t>
            </w:r>
            <w:r>
              <w:t xml:space="preserve"> </w:t>
            </w:r>
            <w:r>
              <w:t xml:space="preserve">12,</w:t>
            </w:r>
            <w:r>
              <w:t xml:space="preserve"> </w:t>
            </w:r>
            <w:r>
              <w:t xml:space="preserve">2024</w:t>
            </w:r>
          </w:p>
        </w:tc>
        <w:tc>
          <w:tcPr>
            <w:tcW w:w="2808" w:type="dxa"/>
          </w:tcPr>
          <w:p>
            <w:pPr>
              <w:spacing w:before="0" w:after="0" w:line="276" w:lineRule="exact"/>
              <w:ind w:left="0" w:firstLine="0"/>
              <w:jc w:val="left"/>
            </w:pPr>
            <w:r>
              <w:t xml:space="preserve">$4,602.84</w:t>
            </w:r>
          </w:p>
        </w:tc>
      </w:tr>
      <w:tr>
        <w:trPr>
          <w:cantSplit/>
        </w:trPr>
        <w:tc>
          <w:tcPr>
            <w:tcW w:w="2808" w:type="dxa"/>
          </w:tcPr>
          <w:p>
            <w:pPr>
              <w:spacing w:before="0" w:after="0" w:line="276" w:lineRule="exact"/>
              <w:ind w:left="0" w:firstLine="0"/>
              <w:jc w:val="left"/>
            </w:pPr>
            <w:r>
              <w:t xml:space="preserve">August</w:t>
            </w:r>
            <w:r>
              <w:t xml:space="preserve"> </w:t>
            </w:r>
            <w:r>
              <w:t xml:space="preserve">19,</w:t>
            </w:r>
            <w:r>
              <w:t xml:space="preserve"> </w:t>
            </w:r>
            <w:r>
              <w:t xml:space="preserve">2024</w:t>
            </w:r>
          </w:p>
        </w:tc>
        <w:tc>
          <w:tcPr>
            <w:tcW w:w="2808" w:type="dxa"/>
          </w:tcPr>
          <w:p>
            <w:pPr>
              <w:spacing w:before="0" w:after="0" w:line="276" w:lineRule="exact"/>
              <w:ind w:left="0" w:firstLine="0"/>
              <w:jc w:val="left"/>
            </w:pPr>
            <w:r>
              <w:t xml:space="preserve">$4,602.84</w:t>
            </w:r>
          </w:p>
        </w:tc>
      </w:tr>
      <w:tr>
        <w:trPr>
          <w:cantSplit/>
        </w:trPr>
        <w:tc>
          <w:tcPr>
            <w:tcW w:w="2808" w:type="dxa"/>
          </w:tcPr>
          <w:p>
            <w:pPr>
              <w:spacing w:before="0" w:after="0" w:line="276" w:lineRule="exact"/>
              <w:ind w:left="0" w:firstLine="0"/>
              <w:jc w:val="left"/>
            </w:pPr>
            <w:r>
              <w:t xml:space="preserve">August</w:t>
            </w:r>
            <w:r>
              <w:t xml:space="preserve"> </w:t>
            </w:r>
            <w:r>
              <w:t xml:space="preserve">26,</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September</w:t>
            </w:r>
            <w:r>
              <w:t xml:space="preserve"> </w:t>
            </w:r>
            <w:r>
              <w:t xml:space="preserve">3,</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September</w:t>
            </w:r>
            <w:r>
              <w:t xml:space="preserve"> </w:t>
            </w:r>
            <w:r>
              <w:t xml:space="preserve">9,</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September</w:t>
            </w:r>
            <w:r>
              <w:t xml:space="preserve"> </w:t>
            </w:r>
            <w:r>
              <w:t xml:space="preserve">16,</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September</w:t>
            </w:r>
            <w:r>
              <w:t xml:space="preserve"> </w:t>
            </w:r>
            <w:r>
              <w:t xml:space="preserve">23,</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September</w:t>
            </w:r>
            <w:r>
              <w:t xml:space="preserve"> </w:t>
            </w:r>
            <w:r>
              <w:t xml:space="preserve">30,</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October</w:t>
            </w:r>
            <w:r>
              <w:t xml:space="preserve"> </w:t>
            </w:r>
            <w:r>
              <w:t xml:space="preserve">7,</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October</w:t>
            </w:r>
            <w:r>
              <w:t xml:space="preserve"> </w:t>
            </w:r>
            <w:r>
              <w:t xml:space="preserve">15,</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October</w:t>
            </w:r>
            <w:r>
              <w:t xml:space="preserve"> </w:t>
            </w:r>
            <w:r>
              <w:t xml:space="preserve">21,</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October</w:t>
            </w:r>
            <w:r>
              <w:t xml:space="preserve"> </w:t>
            </w:r>
            <w:r>
              <w:t xml:space="preserve">28,</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November</w:t>
            </w:r>
            <w:r>
              <w:t xml:space="preserve"> </w:t>
            </w:r>
            <w:r>
              <w:t xml:space="preserve">4,</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November</w:t>
            </w:r>
            <w:r>
              <w:t xml:space="preserve"> </w:t>
            </w:r>
            <w:r>
              <w:t xml:space="preserve">12,</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November</w:t>
            </w:r>
            <w:r>
              <w:t xml:space="preserve"> </w:t>
            </w:r>
            <w:r>
              <w:t xml:space="preserve">18,</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November</w:t>
            </w:r>
            <w:r>
              <w:t xml:space="preserve"> </w:t>
            </w:r>
            <w:r>
              <w:t xml:space="preserve">25,</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December</w:t>
            </w:r>
            <w:r>
              <w:t xml:space="preserve"> </w:t>
            </w:r>
            <w:r>
              <w:t xml:space="preserve">2,</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December</w:t>
            </w:r>
            <w:r>
              <w:t xml:space="preserve"> </w:t>
            </w:r>
            <w:r>
              <w:t xml:space="preserve">9,</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December</w:t>
            </w:r>
            <w:r>
              <w:t xml:space="preserve"> </w:t>
            </w:r>
            <w:r>
              <w:t xml:space="preserve">16,</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December</w:t>
            </w:r>
            <w:r>
              <w:t xml:space="preserve"> </w:t>
            </w:r>
            <w:r>
              <w:t xml:space="preserve">23,</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December</w:t>
            </w:r>
            <w:r>
              <w:t xml:space="preserve"> </w:t>
            </w:r>
            <w:r>
              <w:t xml:space="preserve">30,</w:t>
            </w:r>
            <w:r>
              <w:t xml:space="preserve"> </w:t>
            </w:r>
            <w:r>
              <w:t xml:space="preserve">2024</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January</w:t>
            </w:r>
            <w:r>
              <w:t xml:space="preserve"> </w:t>
            </w:r>
            <w:r>
              <w:t xml:space="preserve">6,</w:t>
            </w:r>
            <w:r>
              <w:t xml:space="preserve"> </w:t>
            </w:r>
            <w:r>
              <w:t xml:space="preserve">2025</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January</w:t>
            </w:r>
            <w:r>
              <w:t xml:space="preserve"> </w:t>
            </w:r>
            <w:r>
              <w:t xml:space="preserve">13,</w:t>
            </w:r>
            <w:r>
              <w:t xml:space="preserve"> </w:t>
            </w:r>
            <w:r>
              <w:t xml:space="preserve">2025</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January</w:t>
            </w:r>
            <w:r>
              <w:t xml:space="preserve"> </w:t>
            </w:r>
            <w:r>
              <w:t xml:space="preserve">21,</w:t>
            </w:r>
            <w:r>
              <w:t xml:space="preserve"> </w:t>
            </w:r>
            <w:r>
              <w:t xml:space="preserve">2025</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January</w:t>
            </w:r>
            <w:r>
              <w:t xml:space="preserve"> </w:t>
            </w:r>
            <w:r>
              <w:t xml:space="preserve">27,</w:t>
            </w:r>
            <w:r>
              <w:t xml:space="preserve"> </w:t>
            </w:r>
            <w:r>
              <w:t xml:space="preserve">2025</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February</w:t>
            </w:r>
            <w:r>
              <w:t xml:space="preserve"> </w:t>
            </w:r>
            <w:r>
              <w:t xml:space="preserve">3,</w:t>
            </w:r>
            <w:r>
              <w:t xml:space="preserve"> </w:t>
            </w:r>
            <w:r>
              <w:t xml:space="preserve">2025</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February</w:t>
            </w:r>
            <w:r>
              <w:t xml:space="preserve"> </w:t>
            </w:r>
            <w:r>
              <w:t xml:space="preserve">10,</w:t>
            </w:r>
            <w:r>
              <w:t xml:space="preserve"> </w:t>
            </w:r>
            <w:r>
              <w:t xml:space="preserve">2025</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February</w:t>
            </w:r>
            <w:r>
              <w:t xml:space="preserve"> </w:t>
            </w:r>
            <w:r>
              <w:t xml:space="preserve">18,</w:t>
            </w:r>
            <w:r>
              <w:t xml:space="preserve"> </w:t>
            </w:r>
            <w:r>
              <w:t xml:space="preserve">2025</w:t>
            </w:r>
          </w:p>
        </w:tc>
        <w:tc>
          <w:tcPr>
            <w:tcW w:w="2808" w:type="dxa"/>
          </w:tcPr>
          <w:p>
            <w:pPr>
              <w:spacing w:before="0" w:after="0" w:line="276" w:lineRule="exact"/>
              <w:ind w:left="0" w:firstLine="0"/>
              <w:jc w:val="left"/>
            </w:pPr>
            <w:r>
              <w:t xml:space="preserve">$4,606.90</w:t>
            </w:r>
          </w:p>
        </w:tc>
      </w:tr>
      <w:tr>
        <w:trPr>
          <w:cantSplit/>
        </w:trPr>
        <w:tc>
          <w:tcPr>
            <w:tcW w:w="2808" w:type="dxa"/>
          </w:tcPr>
          <w:p>
            <w:pPr>
              <w:spacing w:before="0" w:after="0" w:line="276" w:lineRule="exact"/>
              <w:ind w:left="0" w:firstLine="0"/>
              <w:jc w:val="left"/>
            </w:pPr>
            <w:r>
              <w:t xml:space="preserve">February</w:t>
            </w:r>
            <w:r>
              <w:t xml:space="preserve"> </w:t>
            </w:r>
            <w:r>
              <w:t xml:space="preserve">24,</w:t>
            </w:r>
            <w:r>
              <w:t xml:space="preserve"> </w:t>
            </w:r>
            <w:r>
              <w:t xml:space="preserve">2025</w:t>
            </w:r>
          </w:p>
        </w:tc>
        <w:tc>
          <w:tcPr>
            <w:tcW w:w="2808" w:type="dxa"/>
          </w:tcPr>
          <w:p>
            <w:pPr>
              <w:spacing w:before="0" w:after="0" w:line="276" w:lineRule="exact"/>
              <w:ind w:left="0" w:firstLine="0"/>
              <w:jc w:val="left"/>
            </w:pPr>
            <w:r>
              <w:t xml:space="preserve">$4,606.90</w:t>
            </w:r>
          </w:p>
        </w:tc>
      </w:tr>
    </w:tbl>
    <w:p>
      <w:pPr>
        <w:spacing w:before="0" w:after="0" w:line="240" w:lineRule="exact"/>
        <w:ind w:left="0" w:firstLine="0"/>
        <w:jc w:val="left"/>
      </w:pPr>
    </w:p>
    <w:p>
      <w:pPr>
        <w:pStyle w:val="NumberedParagraph"/>
      </w:pPr>
      <w:r>
        <w:t xml:space="preserve">32.</w:t>
      </w:r>
      <w:r>
        <w:tab/>
      </w:r>
      <w:r>
        <w:t xml:space="preserve">On March 3, 2025 and March 5, 2025, Debtor made Transfers of $2,303.45 to Idea 247, totaling $4,606.45.</w:t>
      </w:r>
    </w:p>
    <w:p>
      <w:pPr>
        <w:pStyle w:val="NumberedParagraphNote"/>
      </w:pPr>
      <w:r>
        <w:t xml:space="preserve">33.</w:t>
      </w:r>
      <w:r>
        <w:tab/>
      </w:r>
      <w:r>
        <w:t xml:space="preserve">Even if Debtor took drawdowns to the maximum amount permitted under the Agreement of $211,000, the Transfers from Debtor to Idea 247 of $315,640.20 over the course of 471 days would reflect an interest rate of 38.43%.</w:t>
      </w:r>
      <w:r>
        <w:t xml:space="preserve"> </w:t>
      </w:r>
      <w:r>
        <w:rPr>
          <w:rStyle w:val="FootnoteReference"/>
        </w:rPr>
        <w:footnoteReference w:id="9"/>
      </w:r>
    </w:p>
    <w:p>
      <w:pPr>
        <w:pStyle w:val="NumberedParagraph"/>
      </w:pPr>
      <w:r>
        <w:t xml:space="preserve">34.</w:t>
      </w:r>
      <w:r>
        <w:tab/>
      </w:r>
      <w:r>
        <w:t xml:space="preserve">Incredibly, Idea 247 has filed a Proof of Claim in this case seeking an additional $98,404.99 from Debtor under the Agreement, in addition to the $315,640.20 Debtor has already paid to Idea 247 [Claim 6].</w:t>
      </w:r>
    </w:p>
    <w:p>
      <w:pPr>
        <w:pStyle w:val="NumberedParagraphNote"/>
      </w:pPr>
      <w:r>
        <w:t xml:space="preserve">35.</w:t>
      </w:r>
      <w:r>
        <w:tab/>
      </w:r>
      <w:r>
        <w:t xml:space="preserve">The amount sought by Idea 247 would increase the interest rate to 52.58%.</w:t>
      </w:r>
      <w:r>
        <w:t xml:space="preserve"> </w:t>
      </w:r>
      <w:r>
        <w:rPr>
          <w:rStyle w:val="FootnoteReference"/>
        </w:rPr>
        <w:footnoteReference w:id="10"/>
      </w:r>
    </w:p>
    <w:p>
      <w:pPr>
        <w:keepNext/>
        <w:keepLines/>
        <w:spacing w:before="240" w:after="240" w:line="276" w:lineRule="exact"/>
        <w:ind w:left="0" w:firstLine="0"/>
        <w:jc w:val="center"/>
      </w:pPr>
      <w:r>
        <w:rPr>
          <w:b/>
          <w:bCs/>
          <w:u w:val="single"/>
        </w:rPr>
        <w:t xml:space="preserve">INSOLVENCY</w:t>
      </w:r>
    </w:p>
    <w:p>
      <w:pPr>
        <w:pStyle w:val="NumberedParagraph"/>
      </w:pPr>
      <w:r>
        <w:t xml:space="preserve">36.</w:t>
      </w:r>
      <w:r>
        <w:tab/>
      </w:r>
      <w:r>
        <w:t xml:space="preserve">At the time of the Transfers, the Debtor was insolvent and could not meet its obligations.</w:t>
      </w:r>
    </w:p>
    <w:p>
      <w:pPr>
        <w:pStyle w:val="NumberedParagraph"/>
      </w:pPr>
      <w:r>
        <w:t xml:space="preserve">37.</w:t>
      </w:r>
      <w:r>
        <w:tab/>
      </w:r>
      <w:r>
        <w:t xml:space="preserve">According to the Debtor’s internal financial statements, at the end of November 2024, the Debtor had negative equity (the Debtor’s assets were exceeded by its liabilities).</w:t>
      </w:r>
    </w:p>
    <w:p>
      <w:pPr>
        <w:pStyle w:val="NumberedParagraph"/>
      </w:pPr>
      <w:r>
        <w:t xml:space="preserve">38.</w:t>
      </w:r>
      <w:r>
        <w:tab/>
      </w:r>
      <w:r>
        <w:t xml:space="preserve">The Debtor’s Chapter 11 schedules reflect assets totaling $50,619.00 and liabilities totaling $281,502.00.</w:t>
      </w:r>
    </w:p>
    <w:p>
      <w:pPr>
        <w:pStyle w:val="NumberedParagraph"/>
      </w:pPr>
      <w:r>
        <w:t xml:space="preserve">39.</w:t>
      </w:r>
      <w:r>
        <w:tab/>
      </w:r>
      <w:r>
        <w:t xml:space="preserve">At all times between November 20, 2023 and the June 9, 2025 Petition Date, the Debtor was insolvent.</w:t>
      </w:r>
    </w:p>
    <w:p>
      <w:pPr>
        <w:pStyle w:val="NumberedParagraph"/>
      </w:pPr>
      <w:r>
        <w:t xml:space="preserve">40.</w:t>
      </w:r>
      <w:r>
        <w:tab/>
      </w:r>
      <w:r>
        <w:t xml:space="preserve">Section 2.1 of the Agreement provides that future advances may be suspended at lender’s discretion, “if through its ongoing monitoring of Borrower’s financial condition, Lender determines that there has been a material adverse change.”</w:t>
      </w:r>
    </w:p>
    <w:p>
      <w:pPr>
        <w:pStyle w:val="NumberedParagraph"/>
      </w:pPr>
      <w:r>
        <w:t xml:space="preserve">41.</w:t>
      </w:r>
      <w:r>
        <w:tab/>
      </w:r>
      <w:r>
        <w:t xml:space="preserve">As part of the underwriting for the Agreement, the Debtor provided financial information to Idea 247.</w:t>
      </w:r>
    </w:p>
    <w:p>
      <w:pPr>
        <w:pStyle w:val="NumberedParagraph"/>
      </w:pPr>
      <w:r>
        <w:t xml:space="preserve">42.</w:t>
      </w:r>
      <w:r>
        <w:tab/>
      </w:r>
      <w:r>
        <w:t xml:space="preserve">Through the underwriting and ongoing monitoring conducted by Idea 247, Defendants knew, or should have known, of the insolvency of the Debtor at the time of the Agreement.</w:t>
      </w:r>
    </w:p>
    <w:p>
      <w:pPr>
        <w:pStyle w:val="NumberedParagraph"/>
      </w:pPr>
      <w:r>
        <w:t xml:space="preserve">43.</w:t>
      </w:r>
      <w:r>
        <w:tab/>
      </w:r>
      <w:r>
        <w:t xml:space="preserve">As part of the underwriting for the Agreement and ongoing monitoring conducted by Idea 247, Defendants knew or should have known that Debtor had Merchant Cash Advances (“MCAs”) outstanding at the time of the Agreement and at the time of each drawdown.</w:t>
      </w:r>
    </w:p>
    <w:p>
      <w:pPr>
        <w:keepNext/>
        <w:keepLines/>
        <w:spacing w:before="240" w:after="240" w:line="276" w:lineRule="exact"/>
        <w:ind w:left="0" w:firstLine="0"/>
        <w:jc w:val="center"/>
      </w:pPr>
      <w:r>
        <w:rPr>
          <w:b/>
          <w:bCs/>
          <w:u w:val="single"/>
        </w:rPr>
        <w:t xml:space="preserve">FIRST</w:t>
      </w:r>
      <w:r>
        <w:rPr>
          <w:b/>
          <w:bCs/>
          <w:u w:val="single"/>
        </w:rPr>
        <w:t xml:space="preserve"> </w:t>
      </w:r>
      <w:r>
        <w:rPr>
          <w:b/>
          <w:bCs/>
          <w:u w:val="single"/>
        </w:rPr>
        <w:t xml:space="preserve">CLAIM</w:t>
      </w:r>
      <w:r>
        <w:rPr>
          <w:b/>
          <w:bCs/>
          <w:u w:val="single"/>
        </w:rPr>
        <w:t xml:space="preserve"> </w:t>
      </w:r>
      <w:r>
        <w:rPr>
          <w:b/>
          <w:bCs/>
          <w:u w:val="single"/>
        </w:rPr>
        <w:t xml:space="preserve">FOR</w:t>
      </w:r>
      <w:r>
        <w:rPr>
          <w:b/>
          <w:bCs/>
          <w:u w:val="single"/>
        </w:rPr>
        <w:t xml:space="preserve"> </w:t>
      </w:r>
      <w:r>
        <w:rPr>
          <w:b/>
          <w:bCs/>
          <w:u w:val="single"/>
        </w:rPr>
        <w:t xml:space="preserve">RELIEF</w:t>
      </w:r>
    </w:p>
    <w:p>
      <w:pPr>
        <w:keepNext/>
        <w:keepLines/>
        <w:spacing w:before="240" w:after="240" w:line="276" w:lineRule="exact"/>
        <w:ind w:left="0" w:firstLine="0"/>
        <w:jc w:val="center"/>
      </w:pPr>
      <w:r>
        <w:rPr>
          <w:b/>
          <w:bCs/>
        </w:rPr>
        <w:t xml:space="preserve">(Avoidance</w:t>
      </w:r>
      <w:r>
        <w:rPr>
          <w:b/>
          <w:bCs/>
        </w:rPr>
        <w:t xml:space="preserve"> </w:t>
      </w:r>
      <w:r>
        <w:rPr>
          <w:b/>
          <w:bCs/>
        </w:rPr>
        <w:t xml:space="preserve">of</w:t>
      </w:r>
      <w:r>
        <w:rPr>
          <w:b/>
          <w:bCs/>
        </w:rPr>
        <w:t xml:space="preserve"> </w:t>
      </w:r>
      <w:r>
        <w:rPr>
          <w:b/>
          <w:bCs/>
        </w:rPr>
        <w:t xml:space="preserve">Constructively</w:t>
      </w:r>
      <w:r>
        <w:rPr>
          <w:b/>
          <w:bCs/>
        </w:rPr>
        <w:t xml:space="preserve"> </w:t>
      </w:r>
      <w:r>
        <w:rPr>
          <w:b/>
          <w:bCs/>
        </w:rPr>
        <w:t xml:space="preserve">Fraudulent</w:t>
      </w:r>
      <w:r>
        <w:rPr>
          <w:b/>
          <w:bCs/>
        </w:rPr>
        <w:t xml:space="preserve"> </w:t>
      </w:r>
      <w:r>
        <w:rPr>
          <w:b/>
          <w:bCs/>
        </w:rPr>
        <w:t xml:space="preserve">Obligation</w:t>
      </w:r>
      <w:r>
        <w:rPr>
          <w:b/>
          <w:bCs/>
        </w:rPr>
        <w:t xml:space="preserve"> </w:t>
      </w:r>
      <w:r>
        <w:rPr>
          <w:b/>
          <w:bCs/>
        </w:rPr>
        <w:t xml:space="preserve">–</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548(a)⁠(1)⁠(B))</w:t>
      </w:r>
    </w:p>
    <w:p>
      <w:pPr>
        <w:pStyle w:val="NumberedParagraph"/>
      </w:pPr>
      <w:r>
        <w:t xml:space="preserve">44.</w:t>
      </w:r>
      <w:r>
        <w:tab/>
      </w:r>
      <w:r>
        <w:t xml:space="preserve">Plaintiff repeats and re-alleges the allegations contained in all foregoing paragraphs as if more fully set forth at length herein.</w:t>
      </w:r>
    </w:p>
    <w:p>
      <w:pPr>
        <w:pStyle w:val="NumberedParagraph"/>
      </w:pPr>
      <w:r>
        <w:t xml:space="preserve">45.</w:t>
      </w:r>
      <w:r>
        <w:tab/>
      </w:r>
      <w:r>
        <w:t xml:space="preserve">Illegal, unenforceable debts cannot provide reasonably equivalent value. See</w:t>
      </w:r>
      <w:r>
        <w:t xml:space="preserve"> </w:t>
      </w:r>
      <w:r>
        <w:rPr>
          <w:i/>
          <w:iCs/>
        </w:rPr>
        <w:t xml:space="preserve">Tabas v. Lehman (In re Capitol Invs., Inc.)</w:t>
      </w:r>
      <w:r>
        <w:t xml:space="preserve">, 473 B.R. 838, 846 (Bankr. S.D. Fla. 2012) (“a transaction that is illegal under the laws of the State [ ] will not support ‘value’ for purposes of sections 548 or 550.”).</w:t>
      </w:r>
    </w:p>
    <w:p>
      <w:pPr>
        <w:pStyle w:val="NumberedParagraph"/>
      </w:pPr>
      <w:r>
        <w:t xml:space="preserve">46.</w:t>
      </w:r>
      <w:r>
        <w:tab/>
      </w:r>
      <w:r>
        <w:t xml:space="preserve">The incurrence of the Agreement did not provide reasonably equivalent value to the Debtor.</w:t>
      </w:r>
    </w:p>
    <w:p>
      <w:pPr>
        <w:pStyle w:val="NumberedParagraphNote"/>
      </w:pPr>
      <w:r>
        <w:t xml:space="preserve">47.</w:t>
      </w:r>
      <w:r>
        <w:tab/>
      </w:r>
      <w:r>
        <w:t xml:space="preserve">The Agreement states that it charges the Debtor an approximate annual rate of interest, before any advances occurred, of about 25.5%.</w:t>
      </w:r>
      <w:r>
        <w:t xml:space="preserve"> </w:t>
      </w:r>
      <w:r>
        <w:rPr>
          <w:rStyle w:val="FootnoteReference"/>
        </w:rPr>
        <w:footnoteReference w:id="11"/>
      </w:r>
      <w:r>
        <w:t xml:space="preserve"> </w:t>
      </w:r>
      <w:r>
        <w:t xml:space="preserve">[Exhibit A at Section 2.2].</w:t>
      </w:r>
    </w:p>
    <w:p>
      <w:pPr>
        <w:pStyle w:val="NumberedParagraph"/>
      </w:pPr>
      <w:r>
        <w:t xml:space="preserve">48.</w:t>
      </w:r>
      <w:r>
        <w:tab/>
      </w:r>
      <w:r>
        <w:t xml:space="preserve">However, as set forth below, the interest rate is actually more than 38%.</w:t>
      </w:r>
    </w:p>
    <w:p>
      <w:pPr>
        <w:pStyle w:val="NumberedParagraphNote"/>
      </w:pPr>
      <w:r>
        <w:t xml:space="preserve">49.</w:t>
      </w:r>
      <w:r>
        <w:tab/>
      </w:r>
      <w:r>
        <w:t xml:space="preserve">In the event of a default, the Agreement charged Debtor a higher annual rate of interest of about 30.5% interest, exclusive of fees and interest accrued in connection with advances.</w:t>
      </w:r>
      <w:r>
        <w:t xml:space="preserve"> </w:t>
      </w:r>
      <w:r>
        <w:rPr>
          <w:rStyle w:val="FootnoteReference"/>
        </w:rPr>
        <w:footnoteReference w:id="12"/>
      </w:r>
      <w:r>
        <w:t xml:space="preserve"> </w:t>
      </w:r>
      <w:r>
        <w:t xml:space="preserve">[Exhibit A at Section 2.2].</w:t>
      </w:r>
    </w:p>
    <w:p>
      <w:pPr>
        <w:pStyle w:val="NumberedParagraph"/>
      </w:pPr>
      <w:r>
        <w:t xml:space="preserve">50.</w:t>
      </w:r>
      <w:r>
        <w:tab/>
      </w:r>
      <w:r>
        <w:t xml:space="preserve">In addition to these rates, each advance from Idea 247 to Debtor was subject to a mandatory 2.99% drawdown fee added to the loan balance, which also accrued interest.</w:t>
      </w:r>
    </w:p>
    <w:p>
      <w:pPr>
        <w:pStyle w:val="NumberedParagraph"/>
      </w:pPr>
      <w:r>
        <w:t xml:space="preserve">51.</w:t>
      </w:r>
      <w:r>
        <w:tab/>
      </w:r>
      <w:r>
        <w:t xml:space="preserve">The incurrence of the Agreement should be avoided under as it did not provide reasonably equivalent value to the Debtor.</w:t>
      </w:r>
    </w:p>
    <w:p>
      <w:pPr>
        <w:pStyle w:val="NumberedParagraph"/>
      </w:pPr>
      <w:r>
        <w:t xml:space="preserve">52.</w:t>
      </w:r>
      <w:r>
        <w:tab/>
      </w:r>
      <w:r>
        <w:t xml:space="preserve">This Court should declare that the incurrence of the Agreement should be avoided under 11 U.S.C. § 548(a)⁠(1)⁠(B) as the Agreement did not provide reasonably equivalent value to the Debtor, is illegal, unenforceable, and void under Tennessee law.</w:t>
      </w:r>
    </w:p>
    <w:p>
      <w:pPr>
        <w:pStyle w:val="NumberedParagraph"/>
      </w:pPr>
      <w:r>
        <w:t xml:space="preserve">53.</w:t>
      </w:r>
      <w:r>
        <w:tab/>
      </w:r>
      <w:r>
        <w:t xml:space="preserve">The Tennessee Department of Financial Institutions sets a maximum effective formula interest rate of 11.50% per annum, with higher rates of up to 24% permitted for certain commercial loans.</w:t>
      </w:r>
    </w:p>
    <w:p>
      <w:pPr>
        <w:pStyle w:val="NumberedParagraph"/>
      </w:pPr>
      <w:r>
        <w:t xml:space="preserve">54.</w:t>
      </w:r>
      <w:r>
        <w:tab/>
      </w:r>
      <w:r>
        <w:t xml:space="preserve">Under Tennessee Code §47</w:t>
      </w:r>
      <w:r>
        <w:noBreakHyphen/>
      </w:r>
      <w:r>
        <w:t xml:space="preserve">14</w:t>
      </w:r>
      <w:r>
        <w:noBreakHyphen/>
      </w:r>
      <w:r>
        <w:t xml:space="preserve">117, if a loan contract on its face requires payment of usurious interest or excessive fees, the contract is unenforceable.</w:t>
      </w:r>
    </w:p>
    <w:p>
      <w:pPr>
        <w:pStyle w:val="NumberedParagraph"/>
      </w:pPr>
      <w:r>
        <w:t xml:space="preserve">55.</w:t>
      </w:r>
      <w:r>
        <w:tab/>
      </w:r>
      <w:r>
        <w:t xml:space="preserve">Specifically, Section 47</w:t>
      </w:r>
      <w:r>
        <w:noBreakHyphen/>
      </w:r>
      <w:r>
        <w:t xml:space="preserve">14</w:t>
      </w:r>
      <w:r>
        <w:noBreakHyphen/>
      </w:r>
      <w:r>
        <w:t xml:space="preserve">117(c)⁠(1) provides that, where a court finds that “the lender or creditor has been guilty of unconscionable conduct in a transaction by taking interest, loan charges, commitment fees, or brokerage commissions in excess of the limitations fixed by statute, that lender or creditor shall not be entitled to recover any interest, loan charges, commitment fees, or brokerage commissions with respect to that transaction, and shall be required to refund to the borrower or debtor any loan charges, commitment fees, or brokerage commissions, and twice the amount of any interest collected with respect to that transaction, and the borrower shall be entitled to recover reasonable attorneys’ fees from the lender.”</w:t>
      </w:r>
    </w:p>
    <w:p>
      <w:pPr>
        <w:pStyle w:val="NumberedParagraph"/>
      </w:pPr>
      <w:r>
        <w:t xml:space="preserve">56.</w:t>
      </w:r>
      <w:r>
        <w:tab/>
      </w:r>
      <w:r>
        <w:t xml:space="preserve">Here, the interest rate charged is higher than the cap on interest under Tennessee law and accordingly, the Agreement is void and Plaintiff is entitled to relief from the Defendants.</w:t>
      </w:r>
    </w:p>
    <w:p>
      <w:pPr>
        <w:keepNext/>
        <w:keepLines/>
        <w:spacing w:before="240" w:after="240" w:line="276" w:lineRule="exact"/>
        <w:ind w:left="0" w:firstLine="0"/>
        <w:jc w:val="center"/>
      </w:pPr>
      <w:r>
        <w:rPr>
          <w:b/>
          <w:bCs/>
          <w:u w:val="single"/>
        </w:rPr>
        <w:t xml:space="preserve">SECOND</w:t>
      </w:r>
      <w:r>
        <w:rPr>
          <w:b/>
          <w:bCs/>
          <w:u w:val="single"/>
        </w:rPr>
        <w:t xml:space="preserve"> </w:t>
      </w:r>
      <w:r>
        <w:rPr>
          <w:b/>
          <w:bCs/>
          <w:u w:val="single"/>
        </w:rPr>
        <w:t xml:space="preserve">CLAIM</w:t>
      </w:r>
      <w:r>
        <w:rPr>
          <w:b/>
          <w:bCs/>
          <w:u w:val="single"/>
        </w:rPr>
        <w:t xml:space="preserve"> </w:t>
      </w:r>
      <w:r>
        <w:rPr>
          <w:b/>
          <w:bCs/>
          <w:u w:val="single"/>
        </w:rPr>
        <w:t xml:space="preserve">FOR</w:t>
      </w:r>
      <w:r>
        <w:rPr>
          <w:b/>
          <w:bCs/>
          <w:u w:val="single"/>
        </w:rPr>
        <w:t xml:space="preserve"> </w:t>
      </w:r>
      <w:r>
        <w:rPr>
          <w:b/>
          <w:bCs/>
          <w:u w:val="single"/>
        </w:rPr>
        <w:t xml:space="preserve">RELIEF</w:t>
      </w:r>
    </w:p>
    <w:p>
      <w:pPr>
        <w:keepNext/>
        <w:keepLines/>
        <w:spacing w:before="240" w:after="240" w:line="276" w:lineRule="exact"/>
        <w:ind w:left="0" w:firstLine="0"/>
        <w:jc w:val="center"/>
      </w:pPr>
      <w:r>
        <w:rPr>
          <w:b/>
          <w:bCs/>
        </w:rPr>
        <w:t xml:space="preserve">(Avoidance</w:t>
      </w:r>
      <w:r>
        <w:rPr>
          <w:b/>
          <w:bCs/>
        </w:rPr>
        <w:t xml:space="preserve"> </w:t>
      </w:r>
      <w:r>
        <w:rPr>
          <w:b/>
          <w:bCs/>
        </w:rPr>
        <w:t xml:space="preserve">of</w:t>
      </w:r>
      <w:r>
        <w:rPr>
          <w:b/>
          <w:bCs/>
        </w:rPr>
        <w:t xml:space="preserve"> </w:t>
      </w:r>
      <w:r>
        <w:rPr>
          <w:b/>
          <w:bCs/>
        </w:rPr>
        <w:t xml:space="preserve">Constructively</w:t>
      </w:r>
      <w:r>
        <w:rPr>
          <w:b/>
          <w:bCs/>
        </w:rPr>
        <w:t xml:space="preserve"> </w:t>
      </w:r>
      <w:r>
        <w:rPr>
          <w:b/>
          <w:bCs/>
        </w:rPr>
        <w:t xml:space="preserve">Fraudulent</w:t>
      </w:r>
      <w:r>
        <w:rPr>
          <w:b/>
          <w:bCs/>
        </w:rPr>
        <w:t xml:space="preserve"> </w:t>
      </w:r>
      <w:r>
        <w:rPr>
          <w:b/>
          <w:bCs/>
        </w:rPr>
        <w:t xml:space="preserve">Transfer</w:t>
      </w:r>
      <w:r>
        <w:rPr>
          <w:b/>
          <w:bCs/>
        </w:rPr>
        <w:t xml:space="preserve"> </w:t>
      </w:r>
      <w:r>
        <w:rPr>
          <w:b/>
          <w:bCs/>
        </w:rPr>
        <w:t xml:space="preserve">–</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548(a)⁠(1)⁠(B))</w:t>
      </w:r>
    </w:p>
    <w:p>
      <w:pPr>
        <w:pStyle w:val="NumberedParagraph"/>
      </w:pPr>
      <w:r>
        <w:t xml:space="preserve">57.</w:t>
      </w:r>
      <w:r>
        <w:tab/>
      </w:r>
      <w:r>
        <w:t xml:space="preserve">Plaintiff repeats and re-alleges the allegations set forth above inclusive, as if more fully set forth at length herein.</w:t>
      </w:r>
    </w:p>
    <w:p>
      <w:pPr>
        <w:pStyle w:val="NumberedParagraph"/>
      </w:pPr>
      <w:r>
        <w:t xml:space="preserve">58.</w:t>
      </w:r>
      <w:r>
        <w:tab/>
      </w:r>
      <w:r>
        <w:t xml:space="preserve">An unenforceable agreement cannot serve as an antecedent debt. The Bankruptcy Code defines a “debt” as “liability on a claim.” 11 U.S.C. § 101(12). No liability can be established on an unenforceable claim; therefore, the Agreement cannot serve as an “antecedent debt” for the payment made by the Debtor.</w:t>
      </w:r>
    </w:p>
    <w:p>
      <w:pPr>
        <w:pStyle w:val="NumberedParagraph"/>
      </w:pPr>
      <w:r>
        <w:t xml:space="preserve">59.</w:t>
      </w:r>
      <w:r>
        <w:tab/>
      </w:r>
      <w:r>
        <w:t xml:space="preserve">Additionally, with the Agreement being avoided under 11 U.S.C. § 548(a)⁠(1)⁠(B), the Debtor’s payments on the avoided Agreement were made without receiving reasonably equivalent value. See e.g.</w:t>
      </w:r>
      <w:r>
        <w:t xml:space="preserve"> </w:t>
      </w:r>
      <w:r>
        <w:rPr>
          <w:i/>
          <w:iCs/>
        </w:rPr>
        <w:t xml:space="preserve">Redmond v. Spiritbank (In re Brooke Corp.)</w:t>
      </w:r>
      <w:r>
        <w:t xml:space="preserve">, 541 B.R. 492, 507 (Bankr. Kan. 2015) (“If the court avoids an obligation under section 548, transfers made by the debtor on account of that obligation are not made for reasonably equivalent value, and may be set aside as actually or constructively fraudulent.”) (citation and quotation omitted). See also</w:t>
      </w:r>
      <w:r>
        <w:t xml:space="preserve"> </w:t>
      </w:r>
      <w:r>
        <w:rPr>
          <w:i/>
          <w:iCs/>
        </w:rPr>
        <w:t xml:space="preserve">Silverman v. Paul’s Landmark, Inc. (In re Nirvana Rest., Inc.)</w:t>
      </w:r>
      <w:r>
        <w:t xml:space="preserve">, 337 B.R. 495, 502 (Bankr. S.D.N.Y. 2006);</w:t>
      </w:r>
      <w:r>
        <w:t xml:space="preserve"> </w:t>
      </w:r>
      <w:r>
        <w:rPr>
          <w:i/>
          <w:iCs/>
        </w:rPr>
        <w:t xml:space="preserve">Tabas v. Lehman (In re Capitol Invs., Inc.)</w:t>
      </w:r>
      <w:r>
        <w:t xml:space="preserve">, 473 B.R. 838, 846 (Bankr. S.D. Fla. 2012) (“a transaction that is illegal under the laws of the State [ ] will not support ‘value’ for purposes of sections 548 or 550.”).</w:t>
      </w:r>
    </w:p>
    <w:p>
      <w:pPr>
        <w:pStyle w:val="NumberedParagraph"/>
      </w:pPr>
      <w:r>
        <w:t xml:space="preserve">60.</w:t>
      </w:r>
      <w:r>
        <w:tab/>
      </w:r>
      <w:r>
        <w:t xml:space="preserve">The Transfers were made within two (2) years of the June 9, 2025 Petition Date.</w:t>
      </w:r>
    </w:p>
    <w:p>
      <w:pPr>
        <w:pStyle w:val="NumberedParagraph"/>
      </w:pPr>
      <w:r>
        <w:t xml:space="preserve">61.</w:t>
      </w:r>
      <w:r>
        <w:tab/>
      </w:r>
      <w:r>
        <w:t xml:space="preserve">The Transfers were a transfer of an interest of the Debtor in property.</w:t>
      </w:r>
    </w:p>
    <w:p>
      <w:pPr>
        <w:pStyle w:val="NumberedParagraph"/>
      </w:pPr>
      <w:r>
        <w:t xml:space="preserve">62.</w:t>
      </w:r>
      <w:r>
        <w:tab/>
      </w:r>
      <w:r>
        <w:t xml:space="preserve">For the reasons alleged herein, the Debtor was insolvent on the date that the Transfers were made or became insolvent as a result of such Transfers.</w:t>
      </w:r>
    </w:p>
    <w:p>
      <w:pPr>
        <w:pStyle w:val="NumberedParagraph"/>
      </w:pPr>
      <w:r>
        <w:t xml:space="preserve">63.</w:t>
      </w:r>
      <w:r>
        <w:tab/>
      </w:r>
      <w:r>
        <w:t xml:space="preserve">At the time of the Transfers, the Debtor was engaged in business or a transaction, or was about to engage in business or transactions, for which any property remaining with the Debtor was an unreasonably small capital.</w:t>
      </w:r>
    </w:p>
    <w:p>
      <w:pPr>
        <w:pStyle w:val="NumberedParagraph"/>
      </w:pPr>
      <w:r>
        <w:t xml:space="preserve">64.</w:t>
      </w:r>
      <w:r>
        <w:tab/>
      </w:r>
      <w:r>
        <w:t xml:space="preserve">At the time of the Transfers, the Debtor intended to incur, or believed that the Debtor would incur, debts that were beyond the Debtor’s ability to pay as such debts matured.</w:t>
      </w:r>
    </w:p>
    <w:p>
      <w:pPr>
        <w:pStyle w:val="NumberedParagraph"/>
      </w:pPr>
      <w:r>
        <w:t xml:space="preserve">65.</w:t>
      </w:r>
      <w:r>
        <w:tab/>
      </w:r>
      <w:r>
        <w:t xml:space="preserve">Moreover, receiving $211,000 and repaying $315,640.20 over the course of 471 days is not reasonably equivalent.</w:t>
      </w:r>
    </w:p>
    <w:p>
      <w:pPr>
        <w:pStyle w:val="NumberedParagraph"/>
      </w:pPr>
      <w:r>
        <w:t xml:space="preserve">66.</w:t>
      </w:r>
      <w:r>
        <w:tab/>
      </w:r>
      <w:r>
        <w:t xml:space="preserve">The payments totaling $315,640.20 made by the Debtor on account of the Agreement are avoidable as a constructively fraudulent conveyances pursuant to 11 U.S.C. § 548(a)⁠(1)⁠(B), and the Plaintiff is entitled to avoid the Transfers for the benefit of the estate.</w:t>
      </w:r>
    </w:p>
    <w:p>
      <w:pPr>
        <w:keepNext/>
        <w:keepLines/>
        <w:spacing w:before="240" w:after="240" w:line="276" w:lineRule="exact"/>
        <w:ind w:left="0" w:firstLine="0"/>
        <w:jc w:val="center"/>
      </w:pPr>
      <w:r>
        <w:rPr>
          <w:b/>
          <w:bCs/>
          <w:u w:val="single"/>
        </w:rPr>
        <w:t xml:space="preserve">THIRD</w:t>
      </w:r>
      <w:r>
        <w:rPr>
          <w:b/>
          <w:bCs/>
          <w:u w:val="single"/>
        </w:rPr>
        <w:t xml:space="preserve"> </w:t>
      </w:r>
      <w:r>
        <w:rPr>
          <w:b/>
          <w:bCs/>
          <w:u w:val="single"/>
        </w:rPr>
        <w:t xml:space="preserve">CLAIM</w:t>
      </w:r>
      <w:r>
        <w:rPr>
          <w:b/>
          <w:bCs/>
          <w:u w:val="single"/>
        </w:rPr>
        <w:t xml:space="preserve"> </w:t>
      </w:r>
      <w:r>
        <w:rPr>
          <w:b/>
          <w:bCs/>
          <w:u w:val="single"/>
        </w:rPr>
        <w:t xml:space="preserve">FOR</w:t>
      </w:r>
      <w:r>
        <w:rPr>
          <w:b/>
          <w:bCs/>
          <w:u w:val="single"/>
        </w:rPr>
        <w:t xml:space="preserve"> </w:t>
      </w:r>
      <w:r>
        <w:rPr>
          <w:b/>
          <w:bCs/>
          <w:u w:val="single"/>
        </w:rPr>
        <w:t xml:space="preserve">RELIEF</w:t>
      </w:r>
    </w:p>
    <w:p>
      <w:pPr>
        <w:keepNext/>
        <w:keepLines/>
        <w:spacing w:before="240" w:after="240" w:line="276" w:lineRule="exact"/>
        <w:ind w:left="0" w:firstLine="0"/>
        <w:jc w:val="center"/>
      </w:pPr>
      <w:r>
        <w:rPr>
          <w:b/>
          <w:bCs/>
        </w:rPr>
        <w:t xml:space="preserve">(Recovery</w:t>
      </w:r>
      <w:r>
        <w:rPr>
          <w:b/>
          <w:bCs/>
        </w:rPr>
        <w:t xml:space="preserve"> </w:t>
      </w:r>
      <w:r>
        <w:rPr>
          <w:b/>
          <w:bCs/>
        </w:rPr>
        <w:t xml:space="preserve">of</w:t>
      </w:r>
      <w:r>
        <w:rPr>
          <w:b/>
          <w:bCs/>
        </w:rPr>
        <w:t xml:space="preserve"> </w:t>
      </w:r>
      <w:r>
        <w:rPr>
          <w:b/>
          <w:bCs/>
        </w:rPr>
        <w:t xml:space="preserve">Avoided</w:t>
      </w:r>
      <w:r>
        <w:rPr>
          <w:b/>
          <w:bCs/>
        </w:rPr>
        <w:t xml:space="preserve"> </w:t>
      </w:r>
      <w:r>
        <w:rPr>
          <w:b/>
          <w:bCs/>
        </w:rPr>
        <w:t xml:space="preserve">Transfers</w:t>
      </w:r>
      <w:r>
        <w:rPr>
          <w:b/>
          <w:bCs/>
        </w:rPr>
        <w:t xml:space="preserve"> </w:t>
      </w:r>
      <w:r>
        <w:rPr>
          <w:b/>
          <w:bCs/>
        </w:rPr>
        <w:t xml:space="preserve">–</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550(a)⁠(1))</w:t>
      </w:r>
    </w:p>
    <w:p>
      <w:pPr>
        <w:pStyle w:val="NumberedParagraph"/>
      </w:pPr>
      <w:r>
        <w:t xml:space="preserve">67.</w:t>
      </w:r>
      <w:r>
        <w:tab/>
      </w:r>
      <w:r>
        <w:t xml:space="preserve">Plaintiff repeats and re-alleges the allegations contained in the foregoing paragraphs inclusive, as if more fully set forth at length herein.</w:t>
      </w:r>
    </w:p>
    <w:p>
      <w:pPr>
        <w:pStyle w:val="NumberedParagraph"/>
      </w:pPr>
      <w:r>
        <w:t xml:space="preserve">68.</w:t>
      </w:r>
      <w:r>
        <w:tab/>
      </w:r>
      <w:r>
        <w:t xml:space="preserve">Pursuant to the Agreement, Debtor could drawdown up to the maximum amount of $211,000, Debtor received loan funds from Idea 247, and Debtor made Transfers totaling $315,640.20 to Idea 247. These transfers were avoidable under 11 U.S.C. § 548(a)⁠(1).</w:t>
      </w:r>
    </w:p>
    <w:p>
      <w:pPr>
        <w:pStyle w:val="NumberedParagraph"/>
      </w:pPr>
      <w:r>
        <w:t xml:space="preserve">69.</w:t>
      </w:r>
      <w:r>
        <w:tab/>
      </w:r>
      <w:r>
        <w:t xml:space="preserve">Idea 247 was the initial transferee of the avoidable transfers it received from the Debtor and the avoidable transfers made to Idea 247 were for the benefit of the Defendants.</w:t>
      </w:r>
    </w:p>
    <w:p>
      <w:pPr>
        <w:pStyle w:val="NumberedParagraph"/>
      </w:pPr>
      <w:r>
        <w:t xml:space="preserve">70.</w:t>
      </w:r>
      <w:r>
        <w:tab/>
      </w:r>
      <w:r>
        <w:t xml:space="preserve">Plaintiff seeks a judgment against Idea 247 in the amount of the $315,640.20 in avoidable transfers received by Idea 247 under 11 U.S.C. § 548, plus pre-judgment interest at the legal rate until judgment is entered.</w:t>
      </w:r>
    </w:p>
    <w:p>
      <w:pPr>
        <w:pStyle w:val="BodyText"/>
      </w:pPr>
      <w:r>
        <w:rPr>
          <w:i/>
          <w:iCs/>
        </w:rPr>
        <w:t xml:space="preserve">[Paragraphs 71 through 116 (the Fourth and Fifth Claims for Relief under 18 U.S.C. §§ 1962(c) and 1962(d)) are omitted from this sample; the transcription resumes with the prayer for relief.]</w:t>
      </w:r>
    </w:p>
    <w:p>
      <w:pPr>
        <w:pStyle w:val="BodyKeep"/>
      </w:pPr>
      <w:r>
        <w:t xml:space="preserve">WHEREFORE, Plaintiff prays that the Court grant the following relief:</w:t>
      </w:r>
    </w:p>
    <w:p>
      <w:pPr>
        <w:pStyle w:val="NumberedParagraph"/>
      </w:pPr>
      <w:r>
        <w:t xml:space="preserve">A.</w:t>
      </w:r>
      <w:r>
        <w:tab/>
      </w:r>
      <w:r>
        <w:t xml:space="preserve">To avoid the Agreement as a constructively fraudulent obligation under 11 U.S.C. § 548(a)⁠(1)⁠(B);</w:t>
      </w:r>
    </w:p>
    <w:p>
      <w:pPr>
        <w:pStyle w:val="NumberedParagraph"/>
      </w:pPr>
      <w:r>
        <w:t xml:space="preserve">B.</w:t>
      </w:r>
      <w:r>
        <w:tab/>
      </w:r>
      <w:r>
        <w:t xml:space="preserve">To avoid the constructively fraudulent transfers the Debtor made to the Defendant totaling $315,640.20 under 11 U.S.C. § 548(a)⁠(1)⁠(B);</w:t>
      </w:r>
    </w:p>
    <w:p>
      <w:pPr>
        <w:pStyle w:val="NumberedParagraph"/>
      </w:pPr>
      <w:r>
        <w:t xml:space="preserve">C.</w:t>
      </w:r>
      <w:r>
        <w:tab/>
      </w:r>
      <w:r>
        <w:t xml:space="preserve">To enter judgment in favor of the Plaintiff against the Defendants under 11 U.S.C. § 550(a) in the amount of the avoided transfers Defendants received;</w:t>
      </w:r>
    </w:p>
    <w:p>
      <w:pPr>
        <w:pStyle w:val="NumberedParagraph"/>
      </w:pPr>
      <w:r>
        <w:t xml:space="preserve">D.</w:t>
      </w:r>
      <w:r>
        <w:tab/>
      </w:r>
      <w:r>
        <w:t xml:space="preserve">To enter judgment in favor of the Plaintiff against the Defendants under 18 U.S.C. § 1964(c) in the amount of threefold the damages to be proven at trial, plus reasonable attorney fees;</w:t>
      </w:r>
    </w:p>
    <w:p>
      <w:pPr>
        <w:pStyle w:val="NumberedParagraph"/>
      </w:pPr>
      <w:r>
        <w:t xml:space="preserve">E.</w:t>
      </w:r>
      <w:r>
        <w:tab/>
      </w:r>
      <w:r>
        <w:t xml:space="preserve">To award pre-judgment and post-judgment interest at the maximum legal rate until paid in full, with such recovery being for the benefit of the Debtor’s estate;</w:t>
      </w:r>
    </w:p>
    <w:p>
      <w:pPr>
        <w:pStyle w:val="NumberedParagraph"/>
      </w:pPr>
      <w:r>
        <w:t xml:space="preserve">F.</w:t>
      </w:r>
      <w:r>
        <w:tab/>
      </w:r>
      <w:r>
        <w:t xml:space="preserve">To tax the costs of this action against the Defendants; and,</w:t>
      </w:r>
    </w:p>
    <w:p>
      <w:pPr>
        <w:pStyle w:val="NumberedParagraphKeep"/>
      </w:pPr>
      <w:r>
        <w:t xml:space="preserve">G.</w:t>
      </w:r>
      <w:r>
        <w:tab/>
      </w:r>
      <w:r>
        <w:t xml:space="preserve">For such other and further relief the Court deems just and proper.</w:t>
      </w:r>
    </w:p>
    <w:p>
      <w:pPr>
        <w:keepNext/>
        <w:keepLines/>
        <w:spacing w:before="0" w:after="0" w:line="480" w:lineRule="exact"/>
        <w:ind w:left="0" w:firstLine="720"/>
        <w:jc w:val="left"/>
      </w:pPr>
      <w:r>
        <w:t xml:space="preserve">Respectfully</w:t>
      </w:r>
      <w:r>
        <w:t xml:space="preserve"> </w:t>
      </w:r>
      <w:r>
        <w:t xml:space="preserve">submitted</w:t>
      </w:r>
      <w:r>
        <w:t xml:space="preserve"> </w:t>
      </w:r>
      <w:r>
        <w:t xml:space="preserve">this</w:t>
      </w:r>
      <w:r>
        <w:t xml:space="preserve"> </w:t>
      </w:r>
      <w:r>
        <w:t xml:space="preserve">19th</w:t>
      </w:r>
      <w:r>
        <w:t xml:space="preserve"> </w:t>
      </w:r>
      <w:r>
        <w:t xml:space="preserve">day</w:t>
      </w:r>
      <w:r>
        <w:t xml:space="preserve"> </w:t>
      </w:r>
      <w:r>
        <w:t xml:space="preserve">of</w:t>
      </w:r>
      <w:r>
        <w:t xml:space="preserve"> </w:t>
      </w:r>
      <w:r>
        <w:t xml:space="preserve">September,</w:t>
      </w:r>
      <w:r>
        <w:t xml:space="preserve"> </w:t>
      </w:r>
      <w:r>
        <w:t xml:space="preserve">2025.</w:t>
      </w:r>
    </w:p>
    <w:p>
      <w:pPr>
        <w:keepNext/>
        <w:keepLines/>
        <w:spacing w:before="240" w:after="0" w:line="276" w:lineRule="exact"/>
        <w:ind w:left="3600" w:firstLine="0"/>
        <w:jc w:val="left"/>
      </w:pPr>
      <w:r>
        <w:rPr>
          <w:b/>
          <w:bCs/>
        </w:rPr>
        <w:t xml:space="preserve">HESKIN</w:t>
      </w:r>
      <w:r>
        <w:rPr>
          <w:b/>
          <w:bCs/>
        </w:rPr>
        <w:t xml:space="preserve"> </w:t>
      </w:r>
      <w:r>
        <w:rPr>
          <w:b/>
          <w:bCs/>
        </w:rPr>
        <w:t xml:space="preserve">&amp;</w:t>
      </w:r>
      <w:r>
        <w:rPr>
          <w:b/>
          <w:bCs/>
        </w:rPr>
        <w:t xml:space="preserve"> </w:t>
      </w:r>
      <w:r>
        <w:rPr>
          <w:b/>
          <w:bCs/>
        </w:rPr>
        <w:t xml:space="preserve">PROPER,</w:t>
      </w:r>
      <w:r>
        <w:rPr>
          <w:b/>
          <w:bCs/>
        </w:rPr>
        <w:t xml:space="preserve"> </w:t>
      </w:r>
      <w:r>
        <w:rPr>
          <w:b/>
          <w:bCs/>
        </w:rPr>
        <w:t xml:space="preserve">PLLC</w:t>
      </w:r>
    </w:p>
    <w:p>
      <w:pPr>
        <w:keepNext/>
        <w:keepLines/>
        <w:spacing w:before="0" w:after="0" w:line="276" w:lineRule="exact"/>
        <w:ind w:left="3600" w:firstLine="0"/>
        <w:jc w:val="left"/>
      </w:pPr>
      <w:r>
        <w:t xml:space="preserve">/s/ </w:t>
      </w:r>
      <w:r>
        <w:t xml:space="preserve">Shane</w:t>
      </w:r>
      <w:r>
        <w:t xml:space="preserve"> </w:t>
      </w:r>
      <w:r>
        <w:t xml:space="preserve">R.</w:t>
      </w:r>
      <w:r>
        <w:t xml:space="preserve"> </w:t>
      </w:r>
      <w:r>
        <w:t xml:space="preserve">Heskin</w:t>
      </w:r>
    </w:p>
    <w:p>
      <w:pPr>
        <w:keepNext/>
        <w:keepLines/>
        <w:spacing w:before="0" w:after="0" w:line="276" w:lineRule="exact"/>
        <w:ind w:left="3600" w:firstLine="0"/>
        <w:jc w:val="left"/>
      </w:pPr>
      <w:r>
        <w:t xml:space="preserve">Shane</w:t>
      </w:r>
      <w:r>
        <w:t xml:space="preserve"> </w:t>
      </w:r>
      <w:r>
        <w:t xml:space="preserve">R.</w:t>
      </w:r>
      <w:r>
        <w:t xml:space="preserve"> </w:t>
      </w:r>
      <w:r>
        <w:t xml:space="preserve">Heskin</w:t>
      </w:r>
    </w:p>
    <w:p>
      <w:pPr>
        <w:keepNext/>
        <w:keepLines/>
        <w:spacing w:before="0" w:after="0" w:line="276" w:lineRule="exact"/>
        <w:ind w:left="3600" w:firstLine="0"/>
        <w:jc w:val="left"/>
      </w:pPr>
      <w:r>
        <w:t xml:space="preserve">641</w:t>
      </w:r>
      <w:r>
        <w:t xml:space="preserve"> </w:t>
      </w:r>
      <w:r>
        <w:t xml:space="preserve">Lexington</w:t>
      </w:r>
      <w:r>
        <w:t xml:space="preserve"> </w:t>
      </w:r>
      <w:r>
        <w:t xml:space="preserve">Avenue,</w:t>
      </w:r>
      <w:r>
        <w:t xml:space="preserve"> </w:t>
      </w:r>
      <w:r>
        <w:t xml:space="preserve">14th</w:t>
      </w:r>
      <w:r>
        <w:t xml:space="preserve"> </w:t>
      </w:r>
      <w:r>
        <w:t xml:space="preserve">Floor</w:t>
      </w:r>
    </w:p>
    <w:p>
      <w:pPr>
        <w:keepNext/>
        <w:keepLines/>
        <w:spacing w:before="0" w:after="0" w:line="276" w:lineRule="exact"/>
        <w:ind w:left="3600" w:firstLine="0"/>
        <w:jc w:val="left"/>
      </w:pPr>
      <w:r>
        <w:t xml:space="preserve">New</w:t>
      </w:r>
      <w:r>
        <w:t xml:space="preserve"> </w:t>
      </w:r>
      <w:r>
        <w:t xml:space="preserve">York,</w:t>
      </w:r>
      <w:r>
        <w:t xml:space="preserve"> </w:t>
      </w:r>
      <w:r>
        <w:t xml:space="preserve">N.Y.</w:t>
      </w:r>
      <w:r>
        <w:t xml:space="preserve"> </w:t>
      </w:r>
      <w:r>
        <w:t xml:space="preserve">10022</w:t>
      </w:r>
    </w:p>
    <w:p>
      <w:pPr>
        <w:keepNext/>
        <w:keepLines/>
        <w:spacing w:before="0" w:after="0" w:line="276" w:lineRule="exact"/>
        <w:ind w:left="3600" w:firstLine="0"/>
        <w:jc w:val="left"/>
      </w:pPr>
      <w:r>
        <w:t xml:space="preserve">shane@heskinproper.com</w:t>
      </w:r>
    </w:p>
    <w:p>
      <w:pPr>
        <w:spacing w:before="0" w:after="0" w:line="276" w:lineRule="exact"/>
        <w:ind w:left="3600" w:firstLine="0"/>
        <w:jc w:val="left"/>
      </w:pPr>
      <w:r>
        <w:rPr>
          <w:i/>
          <w:iCs/>
        </w:rPr>
        <w:t xml:space="preserve">Counsel</w:t>
      </w:r>
      <w:r>
        <w:rPr>
          <w:i/>
          <w:iCs/>
        </w:rPr>
        <w:t xml:space="preserve"> </w:t>
      </w:r>
      <w:r>
        <w:rPr>
          <w:i/>
          <w:iCs/>
        </w:rPr>
        <w:t xml:space="preserve">for</w:t>
      </w:r>
      <w:r>
        <w:rPr>
          <w:i/>
          <w:iCs/>
        </w:rPr>
        <w:t xml:space="preserve"> </w:t>
      </w:r>
      <w:r>
        <w:rPr>
          <w:i/>
          <w:iCs/>
        </w:rPr>
        <w:t xml:space="preserve">Plaintiff</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Interest Amount ($104,640.20, the difference between the $211,000.00 loan principal and the $315,640.20 repaid) = Principal Amount ($211,000.00) x Rate of interest (here the variable to be calculated) x Time in years (471 days, which is 1.29041 years).</w:t>
      </w:r>
    </w:p>
  </w:footnote>
  <w:footnote w:id="10">
    <w:p>
      <w:pPr>
        <w:pStyle w:val="FootnoteText"/>
      </w:pPr>
      <w:r>
        <w:rPr>
          <w:rStyle w:val="FootnoteReference"/>
        </w:rPr>
        <w:footnoteRef/>
      </w:r>
      <w:r>
        <w:t xml:space="preserve"> </w:t>
      </w:r>
      <w:r>
        <w:t xml:space="preserve">Interest Amount ($203,045.19, the difference between the $211,000.00 loan principal and the $414,045.19 that Idea 247 claims is owed ($315,640.20 repaid + additional $98,404.99 Idea 247 seeks)) = Principal Amount ($211,000.00) x Rate of interest (here the variable to be calculated) x Time in years (668 days as of the date of this filing, which is 1.8301 days).</w:t>
      </w:r>
    </w:p>
  </w:footnote>
  <w:footnote w:id="11">
    <w:p>
      <w:pPr>
        <w:pStyle w:val="FootnoteText"/>
      </w:pPr>
      <w:r>
        <w:rPr>
          <w:rStyle w:val="FootnoteReference"/>
        </w:rPr>
        <w:footnoteRef/>
      </w:r>
      <w:r>
        <w:t xml:space="preserve"> </w:t>
      </w:r>
      <w:r>
        <w:t xml:space="preserve">The Agreement provides for daily interest rate of 0.0699%. Simple interest is therefore about 25.5% (0.000699 × 365 = 0.255 ≈ 25.5%).</w:t>
      </w:r>
    </w:p>
  </w:footnote>
  <w:footnote w:id="12">
    <w:p>
      <w:pPr>
        <w:pStyle w:val="FootnoteText"/>
      </w:pPr>
      <w:r>
        <w:rPr>
          <w:rStyle w:val="FootnoteReference"/>
        </w:rPr>
        <w:footnoteRef/>
      </w:r>
      <w:r>
        <w:t xml:space="preserve"> </w:t>
      </w:r>
      <w:r>
        <w:t xml:space="preserve">In the event of a default, the daily rate increases to 0.0836%, which would be simple interest of about 30.5% per annum (.000836 x 365 ≈ 30.5%).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qFormat/>
    <w:pPr>
      <w:widowControl/>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Keep">
    <w:name w:val="Body Keep"/>
    <w:basedOn w:val="BodyText"/>
    <w:qFormat/>
    <w:pPr>
      <w:keepNext/>
      <w:keepLines/>
    </w:p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NumberedParagraphNote">
    <w:name w:val="Numbered Paragraph Note"/>
    <w:basedOn w:val="NumberedParagraph"/>
    <w:qFormat/>
    <w:pPr>
      <w:widowControl w:val="0"/>
    </w:pPr>
  </w:style>
  <w:style w:type="paragraph" w:customStyle="1" w:styleId="NumberedParagraphKeep">
    <w:name w:val="Numbered Paragraph Keep"/>
    <w:basedOn w:val="NumberedParagraph"/>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