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NO.</w:t>
      </w:r>
      <w:r>
        <w:rPr>
          <w:b/>
          <w:bCs/>
        </w:rPr>
        <w:t xml:space="preserve"> </w:t>
      </w:r>
      <w:r>
        <w:rPr>
          <w:b/>
          <w:bCs/>
        </w:rPr>
        <w:t xml:space="preserve">CV</w:t>
        <w:noBreakHyphen/>
        <w:t xml:space="preserve">24</w:t>
        <w:noBreakHyphen/>
        <w:t xml:space="preserve">101</w:t>
      </w:r>
    </w:p>
    <w:p>
      <w:pPr>
        <w:spacing w:before="144" w:after="0" w:line="322" w:lineRule="exact"/>
        <w:ind w:left="0" w:firstLine="0"/>
        <w:jc w:val="center"/>
      </w:pPr>
      <w:r>
        <w:rPr>
          <w:b/>
          <w:bCs/>
        </w:rPr>
        <w:t xml:space="preserve">BEFORE</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172" w:after="0" w:line="322" w:lineRule="exact"/>
        <w:ind w:left="0" w:firstLine="0"/>
        <w:jc w:val="left"/>
      </w:pPr>
      <w:r>
        <w:t xml:space="preserve">CLYDE</w:t>
      </w:r>
      <w:r>
        <w:t xml:space="preserve"> </w:t>
      </w:r>
      <w:r>
        <w:t xml:space="preserve">HATCHETT,</w:t>
      </w:r>
      <w:r>
        <w:t xml:space="preserve"> </w:t>
      </w:r>
      <w:r>
        <w:t xml:space="preserve">SR.</w:t>
      </w:r>
      <w:r>
        <w:t xml:space="preserve"> </w:t>
      </w:r>
      <w:r>
        <w:t xml:space="preserve">and</w:t>
      </w:r>
      <w:r>
        <w:t xml:space="preserve"> </w:t>
      </w:r>
      <w:r>
        <w:t xml:space="preserve">VIOLENTEE</w:t>
      </w:r>
      <w:r>
        <w:t xml:space="preserve"> </w:t>
      </w:r>
      <w:r>
        <w:t xml:space="preserve">HATCHETT</w:t>
      </w:r>
    </w:p>
    <w:p>
      <w:pPr>
        <w:spacing w:before="0" w:after="0" w:line="322" w:lineRule="exact"/>
        <w:ind w:left="0" w:firstLine="0"/>
        <w:jc w:val="right"/>
      </w:pPr>
      <w:r>
        <w:rPr>
          <w:b/>
          <w:bCs/>
        </w:rPr>
        <w:t xml:space="preserve">APPELLANTS</w:t>
      </w:r>
    </w:p>
    <w:p>
      <w:pPr>
        <w:spacing w:before="56" w:after="0" w:line="322" w:lineRule="exact"/>
        <w:ind w:left="0" w:firstLine="0"/>
        <w:jc w:val="center"/>
      </w:pPr>
      <w:r>
        <w:t xml:space="preserve">v.</w:t>
      </w:r>
    </w:p>
    <w:p>
      <w:pPr>
        <w:spacing w:before="0" w:after="0" w:line="322" w:lineRule="exact"/>
        <w:ind w:left="0" w:firstLine="0"/>
        <w:jc w:val="left"/>
      </w:pPr>
      <w:r>
        <w:t xml:space="preserve">HATCHETT-BULLOCK</w:t>
      </w:r>
      <w:r>
        <w:t xml:space="preserve"> </w:t>
      </w:r>
      <w:r>
        <w:t xml:space="preserve">CEMETERY</w:t>
      </w:r>
      <w:r>
        <w:t xml:space="preserve"> </w:t>
      </w:r>
      <w:r>
        <w:t xml:space="preserve">ASSOCIATION,</w:t>
      </w:r>
      <w:r>
        <w:t xml:space="preserve"> </w:t>
      </w:r>
      <w:r>
        <w:t xml:space="preserve">INC.</w:t>
      </w:r>
    </w:p>
    <w:p>
      <w:pPr>
        <w:spacing w:before="0" w:after="0" w:line="322" w:lineRule="exact"/>
        <w:ind w:left="0" w:firstLine="0"/>
        <w:jc w:val="right"/>
      </w:pPr>
      <w:r>
        <w:rPr>
          <w:b/>
          <w:bCs/>
        </w:rPr>
        <w:t xml:space="preserve">APPELLEE</w:t>
      </w:r>
    </w:p>
    <w:p>
      <w:pPr>
        <w:pBdr>
          <w:top w:val="single" w:sz="4" w:space="0" w:color="000000"/>
        </w:pBdr>
        <w:spacing w:before="168" w:after="0" w:line="1" w:lineRule="exact"/>
      </w:pPr>
    </w:p>
    <w:p>
      <w:pPr>
        <w:spacing w:before="5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Pulaski</w:t>
      </w:r>
      <w:r>
        <w:t xml:space="preserve"> </w:t>
      </w:r>
      <w:r>
        <w:t xml:space="preserve">County</w:t>
      </w:r>
      <w:r>
        <w:t xml:space="preserve"> </w:t>
      </w:r>
      <w:r>
        <w:t xml:space="preserve">Circuit</w:t>
      </w:r>
      <w:r>
        <w:t xml:space="preserve"> </w:t>
      </w:r>
      <w:r>
        <w:t xml:space="preserve">Court</w:t>
      </w:r>
    </w:p>
    <w:p>
      <w:pPr>
        <w:spacing w:before="0" w:after="0" w:line="322" w:lineRule="exact"/>
        <w:ind w:left="0" w:firstLine="0"/>
        <w:jc w:val="center"/>
      </w:pPr>
      <w:r>
        <w:t xml:space="preserve">Honorable</w:t>
      </w:r>
      <w:r>
        <w:t xml:space="preserve"> </w:t>
      </w:r>
      <w:r>
        <w:t xml:space="preserve">Morgan</w:t>
      </w:r>
      <w:r>
        <w:t xml:space="preserve"> </w:t>
      </w:r>
      <w:r>
        <w:t xml:space="preserve">E.</w:t>
      </w:r>
      <w:r>
        <w:t xml:space="preserve"> </w:t>
      </w:r>
      <w:r>
        <w:t xml:space="preserve">Welch,</w:t>
      </w:r>
      <w:r>
        <w:t xml:space="preserve"> </w:t>
      </w:r>
      <w:r>
        <w:t xml:space="preserve">Jr.,</w:t>
      </w:r>
      <w:r>
        <w:t xml:space="preserve"> </w:t>
      </w:r>
      <w:r>
        <w:t xml:space="preserve">Presiding</w:t>
      </w:r>
      <w:r>
        <w:t xml:space="preserve"> </w:t>
      </w:r>
      <w:r>
        <w:t xml:space="preserve">Judge</w:t>
      </w:r>
    </w:p>
    <w:p>
      <w:pPr>
        <w:pBdr>
          <w:top w:val="single" w:sz="4" w:space="0" w:color="000000"/>
        </w:pBdr>
        <w:spacing w:before="56" w:after="0" w:line="1" w:lineRule="exact"/>
      </w:pPr>
    </w:p>
    <w:p>
      <w:pPr>
        <w:spacing w:before="172" w:after="0" w:line="322" w:lineRule="exact"/>
        <w:ind w:left="0" w:firstLine="0"/>
        <w:jc w:val="center"/>
      </w:pPr>
      <w:r>
        <w:rPr>
          <w:b/>
          <w:bCs/>
        </w:rPr>
        <w:t xml:space="preserve">REPLY</w:t>
      </w:r>
      <w:r>
        <w:rPr>
          <w:b/>
          <w:bCs/>
        </w:rPr>
        <w:t xml:space="preserve"> </w:t>
      </w:r>
      <w:r>
        <w:rPr>
          <w:b/>
          <w:bCs/>
        </w:rPr>
        <w:t xml:space="preserve">BRIEF</w:t>
      </w:r>
    </w:p>
    <w:p>
      <w:pPr>
        <w:spacing w:before="172" w:after="0" w:line="322" w:lineRule="exact"/>
        <w:ind w:left="0" w:firstLine="0"/>
        <w:jc w:val="left"/>
      </w:pPr>
      <w:r>
        <w:t xml:space="preserve">Submitted</w:t>
      </w:r>
      <w:r>
        <w:t xml:space="preserve"> </w:t>
      </w:r>
      <w:r>
        <w:t xml:space="preserve">by:</w:t>
      </w:r>
    </w:p>
    <w:p>
      <w:pPr>
        <w:spacing w:before="224" w:after="0" w:line="322" w:lineRule="exact"/>
        <w:ind w:left="0" w:firstLine="0"/>
        <w:jc w:val="left"/>
      </w:pPr>
      <w:r>
        <w:t xml:space="preserve">Troy</w:t>
      </w:r>
      <w:r>
        <w:t xml:space="preserve"> </w:t>
      </w:r>
      <w:r>
        <w:t xml:space="preserve">A.</w:t>
      </w:r>
      <w:r>
        <w:t xml:space="preserve"> </w:t>
      </w:r>
      <w:r>
        <w:t xml:space="preserve">Price</w:t>
      </w:r>
      <w:r>
        <w:t xml:space="preserve"> </w:t>
      </w:r>
      <w:r>
        <w:t xml:space="preserve">(88010),</w:t>
      </w:r>
      <w:r>
        <w:t xml:space="preserve"> </w:t>
      </w:r>
      <w:r>
        <w:t xml:space="preserve">Antwan</w:t>
      </w:r>
      <w:r>
        <w:t xml:space="preserve"> </w:t>
      </w:r>
      <w:r>
        <w:t xml:space="preserve">D.</w:t>
      </w:r>
      <w:r>
        <w:t xml:space="preserve"> </w:t>
      </w:r>
      <w:r>
        <w:t xml:space="preserve">Phillips</w:t>
      </w:r>
      <w:r>
        <w:t xml:space="preserve"> </w:t>
      </w:r>
      <w:r>
        <w:t xml:space="preserve">(2010027)</w:t>
      </w:r>
    </w:p>
    <w:p>
      <w:pPr>
        <w:spacing w:before="0" w:after="0" w:line="322" w:lineRule="exact"/>
        <w:ind w:left="0" w:firstLine="0"/>
        <w:jc w:val="left"/>
      </w:pPr>
      <w:r>
        <w:t xml:space="preserve">WRIGHT,</w:t>
      </w:r>
      <w:r>
        <w:t xml:space="preserve"> </w:t>
      </w:r>
      <w:r>
        <w:t xml:space="preserve">LINDSEY</w:t>
      </w:r>
      <w:r>
        <w:t xml:space="preserve"> </w:t>
      </w:r>
      <w:r>
        <w:t xml:space="preserve">&amp;</w:t>
      </w:r>
      <w:r>
        <w:t xml:space="preserve"> </w:t>
      </w:r>
      <w:r>
        <w:t xml:space="preserve">JENNINGS</w:t>
      </w:r>
      <w:r>
        <w:t xml:space="preserve"> </w:t>
      </w:r>
      <w:r>
        <w:t xml:space="preserve">LLP</w:t>
      </w:r>
    </w:p>
    <w:p>
      <w:pPr>
        <w:spacing w:before="0" w:after="0" w:line="322" w:lineRule="exact"/>
        <w:ind w:left="0" w:firstLine="0"/>
        <w:jc w:val="left"/>
      </w:pPr>
      <w:r>
        <w:t xml:space="preserve">200</w:t>
      </w:r>
      <w:r>
        <w:t xml:space="preserve"> </w:t>
      </w:r>
      <w:r>
        <w:t xml:space="preserve">West</w:t>
      </w:r>
      <w:r>
        <w:t xml:space="preserve"> </w:t>
      </w:r>
      <w:r>
        <w:t xml:space="preserve">Capitol</w:t>
      </w:r>
      <w:r>
        <w:t xml:space="preserve"> </w:t>
      </w:r>
      <w:r>
        <w:t xml:space="preserve">Avenue,</w:t>
      </w:r>
      <w:r>
        <w:t xml:space="preserve"> </w:t>
      </w:r>
      <w:r>
        <w:t xml:space="preserve">Suite</w:t>
      </w:r>
      <w:r>
        <w:t xml:space="preserve"> </w:t>
      </w:r>
      <w:r>
        <w:t xml:space="preserve">2300</w:t>
      </w:r>
    </w:p>
    <w:p>
      <w:pPr>
        <w:spacing w:before="0" w:after="0" w:line="322" w:lineRule="exact"/>
        <w:ind w:left="0" w:firstLine="0"/>
        <w:jc w:val="left"/>
      </w:pPr>
      <w:r>
        <w:t xml:space="preserve">Little</w:t>
      </w:r>
      <w:r>
        <w:t xml:space="preserve"> </w:t>
      </w:r>
      <w:r>
        <w:t xml:space="preserve">Rock,</w:t>
      </w:r>
      <w:r>
        <w:t xml:space="preserve"> </w:t>
      </w:r>
      <w:r>
        <w:t xml:space="preserve">Arkansas</w:t>
      </w:r>
      <w:r>
        <w:t xml:space="preserve"> </w:t>
      </w:r>
      <w:r>
        <w:t xml:space="preserve">72201</w:t>
        <w:noBreakHyphen/>
        <w:t xml:space="preserve">3699</w:t>
      </w:r>
    </w:p>
    <w:p>
      <w:pPr>
        <w:spacing w:before="0" w:after="0" w:line="322" w:lineRule="exact"/>
        <w:ind w:left="0" w:firstLine="0"/>
        <w:jc w:val="left"/>
      </w:pPr>
      <w:r>
        <w:t xml:space="preserve">(501)</w:t>
      </w:r>
      <w:r>
        <w:t xml:space="preserve"> </w:t>
      </w:r>
      <w:r>
        <w:t xml:space="preserve">371</w:t>
        <w:noBreakHyphen/>
        <w:t xml:space="preserve">0808</w:t>
      </w:r>
    </w:p>
    <w:p>
      <w:pPr>
        <w:spacing w:before="0" w:after="0" w:line="322" w:lineRule="exact"/>
        <w:ind w:left="0" w:firstLine="0"/>
        <w:jc w:val="left"/>
      </w:pPr>
      <w:r>
        <w:t xml:space="preserve">tprice@wlj.com</w:t>
      </w:r>
    </w:p>
    <w:p>
      <w:pPr>
        <w:spacing w:before="0" w:after="0" w:line="322" w:lineRule="exact"/>
        <w:ind w:left="0" w:firstLine="0"/>
        <w:jc w:val="left"/>
      </w:pPr>
      <w:r>
        <w:t xml:space="preserve">aphillips@wlj.com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Clyde</w:t>
      </w:r>
      <w:r>
        <w:rPr>
          <w:i/>
          <w:iCs/>
        </w:rPr>
        <w:t xml:space="preserve"> </w:t>
      </w:r>
      <w:r>
        <w:rPr>
          <w:i/>
          <w:iCs/>
        </w:rPr>
        <w:t xml:space="preserve">Hatchett,</w:t>
      </w:r>
      <w:r>
        <w:rPr>
          <w:i/>
          <w:iCs/>
        </w:rPr>
        <w:t xml:space="preserve"> </w:t>
      </w:r>
      <w:r>
        <w:rPr>
          <w:i/>
          <w:iCs/>
        </w:rPr>
        <w:t xml:space="preserve">Sr.</w:t>
      </w:r>
      <w:r>
        <w:rPr>
          <w:i/>
          <w:iCs/>
        </w:rPr>
        <w:t xml:space="preserve"> </w:t>
      </w:r>
      <w:r>
        <w:rPr>
          <w:i/>
          <w:iCs/>
        </w:rPr>
        <w:t xml:space="preserve">and</w:t>
      </w:r>
      <w:r>
        <w:rPr>
          <w:i/>
          <w:iCs/>
        </w:rPr>
        <w:t xml:space="preserve"> </w:t>
      </w:r>
      <w:r>
        <w:rPr>
          <w:i/>
          <w:iCs/>
        </w:rPr>
        <w:t xml:space="preserve">Violentee</w:t>
      </w:r>
      <w:r>
        <w:rPr>
          <w:i/>
          <w:iCs/>
        </w:rPr>
        <w:t xml:space="preserve"> </w:t>
      </w:r>
      <w:r>
        <w:rPr>
          <w:i/>
          <w:iCs/>
        </w:rPr>
        <w:t xml:space="preserve">Hatchett</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Argument</w:t>
      </w:r>
      <w:r>
        <w:t xml:space="preserve">   </w:t>
      </w:r>
      <w:r>
        <w:tab/>
      </w:r>
      <w:r>
        <w:t xml:space="preserve">4</w:t>
      </w:r>
    </w:p>
    <w:p>
      <w:pPr>
        <w:keepLines/>
        <w:tabs>
          <w:tab w:val="right" w:leader="dot" w:pos="9360"/>
        </w:tabs>
        <w:spacing w:before="196" w:after="0" w:line="322" w:lineRule="exact"/>
        <w:ind w:left="720" w:right="720" w:hanging="720"/>
      </w:pPr>
      <w:r>
        <w:t xml:space="preserve">Conclusion</w:t>
      </w:r>
      <w:r>
        <w:t xml:space="preserve">   </w:t>
      </w:r>
      <w:r>
        <w:tab/>
      </w:r>
      <w:r>
        <w:t xml:space="preserve">11</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12</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12</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Anita</w:t>
      </w:r>
      <w:r>
        <w:rPr>
          <w:i/>
          <w:iCs/>
        </w:rPr>
        <w:t xml:space="preserve"> </w:t>
      </w:r>
      <w:r>
        <w:rPr>
          <w:i/>
          <w:iCs/>
        </w:rPr>
        <w:t xml:space="preserve">G,</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Centennial</w:t>
      </w:r>
      <w:r>
        <w:rPr>
          <w:i/>
          <w:iCs/>
        </w:rPr>
        <w:t xml:space="preserve"> </w:t>
      </w:r>
      <w:r>
        <w:rPr>
          <w:i/>
          <w:iCs/>
        </w:rPr>
        <w:t xml:space="preserve">Bank</w:t>
      </w:r>
      <w:r>
        <w:t xml:space="preserve">,</w:t>
      </w:r>
      <w:r>
        <w:t xml:space="preserve"> </w:t>
      </w:r>
      <w:r>
        <w:t xml:space="preserve">2019</w:t>
      </w:r>
      <w:r>
        <w:t xml:space="preserve"> </w:t>
      </w:r>
      <w:r>
        <w:t xml:space="preserve">Ark.</w:t>
      </w:r>
      <w:r>
        <w:t xml:space="preserve"> </w:t>
      </w:r>
      <w:r>
        <w:t xml:space="preserve">App,</w:t>
      </w:r>
      <w:r>
        <w:t xml:space="preserve"> </w:t>
      </w:r>
      <w:r>
        <w:t xml:space="preserve">217,</w:t>
      </w:r>
      <w:r>
        <w:t xml:space="preserve"> </w:t>
      </w:r>
      <w:r>
        <w:t xml:space="preserve">575</w:t>
      </w:r>
      <w:r>
        <w:t xml:space="preserve"> </w:t>
      </w:r>
      <w:r>
        <w:t xml:space="preserve">S.W.3d</w:t>
      </w:r>
      <w:r>
        <w:t xml:space="preserve"> </w:t>
      </w:r>
      <w:r>
        <w:t xml:space="preserve">561</w:t>
      </w:r>
      <w:r>
        <w:t xml:space="preserve"> </w:t>
      </w:r>
      <w:r>
        <w:t xml:space="preserve">(2019)</w:t>
      </w:r>
      <w:r>
        <w:t xml:space="preserve">   </w:t>
      </w:r>
      <w:r>
        <w:tab/>
      </w:r>
      <w:r>
        <w:t xml:space="preserve">7, 8</w:t>
      </w:r>
    </w:p>
    <w:p>
      <w:pPr>
        <w:keepLines/>
        <w:tabs>
          <w:tab w:val="right" w:leader="dot" w:pos="9360"/>
        </w:tabs>
        <w:spacing w:before="196" w:after="0" w:line="322" w:lineRule="exact"/>
        <w:ind w:left="720" w:right="1120" w:hanging="720"/>
      </w:pPr>
      <w:r>
        <w:rPr>
          <w:i/>
          <w:iCs/>
        </w:rPr>
        <w:t xml:space="preserve">Baker</w:t>
      </w:r>
      <w:r>
        <w:rPr>
          <w:i/>
          <w:iCs/>
        </w:rPr>
        <w:t xml:space="preserve"> </w:t>
      </w:r>
      <w:r>
        <w:rPr>
          <w:i/>
          <w:iCs/>
        </w:rPr>
        <w:t xml:space="preserve">v.</w:t>
      </w:r>
      <w:r>
        <w:rPr>
          <w:i/>
          <w:iCs/>
        </w:rPr>
        <w:t xml:space="preserve"> </w:t>
      </w:r>
      <w:r>
        <w:rPr>
          <w:i/>
          <w:iCs/>
        </w:rPr>
        <w:t xml:space="preserve">Baker</w:t>
      </w:r>
      <w:r>
        <w:t xml:space="preserve">,</w:t>
      </w:r>
      <w:r>
        <w:t xml:space="preserve"> </w:t>
      </w:r>
      <w:r>
        <w:t xml:space="preserve">920</w:t>
      </w:r>
      <w:r>
        <w:t xml:space="preserve"> </w:t>
      </w:r>
      <w:r>
        <w:t xml:space="preserve">So.2d</w:t>
      </w:r>
      <w:r>
        <w:t xml:space="preserve"> </w:t>
      </w:r>
      <w:r>
        <w:t xml:space="preserve">689</w:t>
      </w:r>
      <w:r>
        <w:t xml:space="preserve"> </w:t>
      </w:r>
      <w:r>
        <w:t xml:space="preserve">(Fla.</w:t>
      </w:r>
      <w:r>
        <w:t xml:space="preserve"> </w:t>
      </w:r>
      <w:r>
        <w:t xml:space="preserve">Ct.</w:t>
      </w:r>
      <w:r>
        <w:t xml:space="preserve"> </w:t>
      </w:r>
      <w:r>
        <w:t xml:space="preserve">App.</w:t>
      </w:r>
      <w:r>
        <w:t xml:space="preserve"> </w:t>
      </w:r>
      <w:r>
        <w:t xml:space="preserve">2006)</w:t>
      </w:r>
      <w:r>
        <w:t xml:space="preserve">   </w:t>
      </w:r>
      <w:r>
        <w:tab/>
      </w:r>
      <w:r>
        <w:t xml:space="preserve">8</w:t>
      </w:r>
    </w:p>
    <w:p>
      <w:pPr>
        <w:keepLines/>
        <w:tabs>
          <w:tab w:val="right" w:leader="dot" w:pos="9360"/>
        </w:tabs>
        <w:spacing w:before="196" w:after="0" w:line="322" w:lineRule="exact"/>
        <w:ind w:left="720" w:right="1120" w:hanging="720"/>
      </w:pPr>
      <w:r>
        <w:rPr>
          <w:i/>
          <w:iCs/>
        </w:rPr>
        <w:t xml:space="preserve">Frazier</w:t>
      </w:r>
      <w:r>
        <w:rPr>
          <w:i/>
          <w:iCs/>
        </w:rPr>
        <w:t xml:space="preserve"> </w:t>
      </w:r>
      <w:r>
        <w:rPr>
          <w:i/>
          <w:iCs/>
        </w:rPr>
        <w:t xml:space="preserve">v.</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Child</w:t>
      </w:r>
      <w:r>
        <w:rPr>
          <w:i/>
          <w:iCs/>
        </w:rPr>
        <w:t xml:space="preserve"> </w:t>
      </w:r>
      <w:r>
        <w:rPr>
          <w:i/>
          <w:iCs/>
        </w:rPr>
        <w:t xml:space="preserve">Support</w:t>
      </w:r>
      <w:r>
        <w:rPr>
          <w:i/>
          <w:iCs/>
        </w:rPr>
        <w:t xml:space="preserve"> </w:t>
      </w:r>
      <w:r>
        <w:rPr>
          <w:i/>
          <w:iCs/>
        </w:rPr>
        <w:t xml:space="preserve">Enforcement</w:t>
      </w:r>
      <w:r>
        <w:t xml:space="preserve">,</w:t>
      </w:r>
      <w:r>
        <w:t xml:space="preserve"> </w:t>
      </w:r>
      <w:r>
        <w:t xml:space="preserve">2021</w:t>
      </w:r>
      <w:r>
        <w:t xml:space="preserve"> </w:t>
      </w:r>
      <w:r>
        <w:t xml:space="preserve">Ark.</w:t>
      </w:r>
      <w:r>
        <w:t xml:space="preserve"> </w:t>
      </w:r>
      <w:r>
        <w:t xml:space="preserve">App</w:t>
      </w:r>
      <w:r>
        <w:t xml:space="preserve"> </w:t>
      </w:r>
      <w:r>
        <w:t xml:space="preserve">65,</w:t>
      </w:r>
      <w:r>
        <w:t xml:space="preserve"> </w:t>
      </w:r>
      <w:r>
        <w:t xml:space="preserve">618</w:t>
      </w:r>
      <w:r>
        <w:t xml:space="preserve"> </w:t>
      </w:r>
      <w:r>
        <w:t xml:space="preserve">S.W.3d</w:t>
      </w:r>
      <w:r>
        <w:t xml:space="preserve"> </w:t>
      </w:r>
      <w:r>
        <w:t xml:space="preserve">415</w:t>
      </w:r>
      <w:r>
        <w:t xml:space="preserve"> </w:t>
      </w:r>
      <w:r>
        <w:t xml:space="preserve">(2021)</w:t>
      </w:r>
      <w:r>
        <w:t xml:space="preserve">   </w:t>
      </w:r>
      <w:r>
        <w:tab/>
      </w:r>
      <w:r>
        <w:t xml:space="preserve">9</w:t>
      </w:r>
    </w:p>
    <w:p>
      <w:pPr>
        <w:keepLines/>
        <w:tabs>
          <w:tab w:val="right" w:leader="dot" w:pos="9360"/>
        </w:tabs>
        <w:spacing w:before="196" w:after="0" w:line="322" w:lineRule="exact"/>
        <w:ind w:left="720" w:right="1120" w:hanging="720"/>
      </w:pPr>
      <w:r>
        <w:rPr>
          <w:i/>
          <w:iCs/>
        </w:rPr>
        <w:t xml:space="preserve">Hanna</w:t>
      </w:r>
      <w:r>
        <w:rPr>
          <w:i/>
          <w:iCs/>
        </w:rPr>
        <w:t xml:space="preserve"> </w:t>
      </w:r>
      <w:r>
        <w:rPr>
          <w:i/>
          <w:iCs/>
        </w:rPr>
        <w:t xml:space="preserve">v.</w:t>
      </w:r>
      <w:r>
        <w:rPr>
          <w:i/>
          <w:iCs/>
        </w:rPr>
        <w:t xml:space="preserve"> </w:t>
      </w:r>
      <w:r>
        <w:rPr>
          <w:i/>
          <w:iCs/>
        </w:rPr>
        <w:t xml:space="preserve">Robertson</w:t>
      </w:r>
      <w:r>
        <w:t xml:space="preserve">,</w:t>
      </w:r>
      <w:r>
        <w:t xml:space="preserve"> </w:t>
      </w:r>
      <w:r>
        <w:t xml:space="preserve">86</w:t>
      </w:r>
      <w:r>
        <w:t xml:space="preserve"> </w:t>
      </w:r>
      <w:r>
        <w:t xml:space="preserve">Ark.</w:t>
      </w:r>
      <w:r>
        <w:t xml:space="preserve"> </w:t>
      </w:r>
      <w:r>
        <w:t xml:space="preserve">App.</w:t>
      </w:r>
      <w:r>
        <w:t xml:space="preserve"> </w:t>
      </w:r>
      <w:r>
        <w:t xml:space="preserve">180,</w:t>
      </w:r>
      <w:r>
        <w:t xml:space="preserve"> </w:t>
      </w:r>
      <w:r>
        <w:t xml:space="preserve">167</w:t>
      </w:r>
      <w:r>
        <w:t xml:space="preserve"> </w:t>
      </w:r>
      <w:r>
        <w:t xml:space="preserve">S.W.3d</w:t>
      </w:r>
      <w:r>
        <w:t xml:space="preserve"> </w:t>
      </w:r>
      <w:r>
        <w:t xml:space="preserve">166</w:t>
      </w:r>
      <w:r>
        <w:t xml:space="preserve"> </w:t>
      </w:r>
      <w:r>
        <w:t xml:space="preserve">(2004)</w:t>
      </w:r>
      <w:r>
        <w:t xml:space="preserve">   </w:t>
      </w:r>
      <w:r>
        <w:tab/>
      </w:r>
      <w:r>
        <w:t xml:space="preserve">8</w:t>
      </w:r>
    </w:p>
    <w:p>
      <w:pPr>
        <w:keepLines/>
        <w:tabs>
          <w:tab w:val="right" w:leader="dot" w:pos="9360"/>
        </w:tabs>
        <w:spacing w:before="196" w:after="0" w:line="322"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Marriage</w:t>
      </w:r>
      <w:r>
        <w:rPr>
          <w:i/>
          <w:iCs/>
        </w:rPr>
        <w:t xml:space="preserve"> </w:t>
      </w:r>
      <w:r>
        <w:rPr>
          <w:i/>
          <w:iCs/>
        </w:rPr>
        <w:t xml:space="preserve">of</w:t>
      </w:r>
      <w:r>
        <w:rPr>
          <w:i/>
          <w:iCs/>
        </w:rPr>
        <w:t xml:space="preserve"> </w:t>
      </w:r>
      <w:r>
        <w:rPr>
          <w:i/>
          <w:iCs/>
        </w:rPr>
        <w:t xml:space="preserve">Parker</w:t>
      </w:r>
      <w:r>
        <w:t xml:space="preserve">,</w:t>
      </w:r>
      <w:r>
        <w:t xml:space="preserve"> </w:t>
      </w:r>
      <w:r>
        <w:t xml:space="preserve">14</w:t>
      </w:r>
      <w:r>
        <w:t xml:space="preserve"> </w:t>
      </w:r>
      <w:r>
        <w:t xml:space="preserve">Cal.App.5th</w:t>
      </w:r>
      <w:r>
        <w:t xml:space="preserve"> </w:t>
      </w:r>
      <w:r>
        <w:t xml:space="preserve">681,</w:t>
      </w:r>
      <w:r>
        <w:t xml:space="preserve"> </w:t>
      </w:r>
      <w:r>
        <w:t xml:space="preserve">223</w:t>
      </w:r>
      <w:r>
        <w:t xml:space="preserve"> </w:t>
      </w:r>
      <w:r>
        <w:t xml:space="preserve">Cal.Rptr.3d</w:t>
      </w:r>
      <w:r>
        <w:t xml:space="preserve"> </w:t>
      </w:r>
      <w:r>
        <w:t xml:space="preserve">344</w:t>
      </w:r>
      <w:r>
        <w:t xml:space="preserve"> </w:t>
      </w:r>
      <w:r>
        <w:t xml:space="preserve">(2017)</w:t>
      </w:r>
      <w:r>
        <w:t xml:space="preserve">   </w:t>
      </w:r>
      <w:r>
        <w:tab/>
      </w:r>
      <w:r>
        <w:t xml:space="preserve">8</w:t>
      </w:r>
    </w:p>
    <w:p>
      <w:pPr>
        <w:keepLines/>
        <w:tabs>
          <w:tab w:val="right" w:leader="dot" w:pos="9360"/>
        </w:tabs>
        <w:spacing w:before="196" w:after="0" w:line="322" w:lineRule="exact"/>
        <w:ind w:left="720" w:right="1120" w:hanging="720"/>
      </w:pPr>
      <w:r>
        <w:rPr>
          <w:i/>
          <w:iCs/>
        </w:rPr>
        <w:t xml:space="preserve">Parkerson</w:t>
      </w:r>
      <w:r>
        <w:rPr>
          <w:i/>
          <w:iCs/>
        </w:rPr>
        <w:t xml:space="preserve"> </w:t>
      </w:r>
      <w:r>
        <w:rPr>
          <w:i/>
          <w:iCs/>
        </w:rPr>
        <w:t xml:space="preserve">v.</w:t>
      </w:r>
      <w:r>
        <w:rPr>
          <w:i/>
          <w:iCs/>
        </w:rPr>
        <w:t xml:space="preserve"> </w:t>
      </w:r>
      <w:r>
        <w:rPr>
          <w:i/>
          <w:iCs/>
        </w:rPr>
        <w:t xml:space="preserve">Brown</w:t>
      </w:r>
      <w:r>
        <w:t xml:space="preserve">,</w:t>
      </w:r>
      <w:r>
        <w:t xml:space="preserve"> </w:t>
      </w:r>
      <w:r>
        <w:t xml:space="preserve">2010</w:t>
      </w:r>
      <w:r>
        <w:t xml:space="preserve"> </w:t>
      </w:r>
      <w:r>
        <w:t xml:space="preserve">Ark.</w:t>
      </w:r>
      <w:r>
        <w:t xml:space="preserve"> </w:t>
      </w:r>
      <w:r>
        <w:t xml:space="preserve">App.</w:t>
      </w:r>
      <w:r>
        <w:t xml:space="preserve"> </w:t>
      </w:r>
      <w:r>
        <w:t xml:space="preserve">505,</w:t>
      </w:r>
      <w:r>
        <w:t xml:space="preserve"> </w:t>
      </w:r>
      <w:r>
        <w:t xml:space="preserve">379</w:t>
      </w:r>
      <w:r>
        <w:t xml:space="preserve"> </w:t>
      </w:r>
      <w:r>
        <w:t xml:space="preserve">S.W.3d</w:t>
      </w:r>
      <w:r>
        <w:t xml:space="preserve"> </w:t>
      </w:r>
      <w:r>
        <w:t xml:space="preserve">485</w:t>
      </w:r>
      <w:r>
        <w:t xml:space="preserve"> </w:t>
      </w:r>
      <w:r>
        <w:t xml:space="preserve">(2010)</w:t>
      </w:r>
      <w:r>
        <w:t xml:space="preserve">   </w:t>
      </w:r>
      <w:r>
        <w:tab/>
      </w:r>
      <w:r>
        <w:t xml:space="preserve">8</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338</w:t>
      </w:r>
      <w:r>
        <w:t xml:space="preserve"> </w:t>
      </w:r>
      <w:r>
        <w:t xml:space="preserve">Ark.</w:t>
      </w:r>
      <w:r>
        <w:t xml:space="preserve"> </w:t>
      </w:r>
      <w:r>
        <w:t xml:space="preserve">781,</w:t>
      </w:r>
      <w:r>
        <w:t xml:space="preserve"> </w:t>
      </w:r>
      <w:r>
        <w:t xml:space="preserve">3</w:t>
      </w:r>
      <w:r>
        <w:t xml:space="preserve"> </w:t>
      </w:r>
      <w:r>
        <w:t xml:space="preserve">S.W.3d</w:t>
      </w:r>
      <w:r>
        <w:t xml:space="preserve"> </w:t>
      </w:r>
      <w:r>
        <w:t xml:space="preserve">675</w:t>
      </w:r>
      <w:r>
        <w:t xml:space="preserve"> </w:t>
      </w:r>
      <w:r>
        <w:t xml:space="preserve">(1999)</w:t>
      </w:r>
      <w:r>
        <w:t xml:space="preserve">   </w:t>
      </w:r>
      <w:r>
        <w:tab/>
      </w:r>
      <w:r>
        <w:t xml:space="preserve">6, 7</w:t>
      </w:r>
    </w:p>
    <w:p>
      <w:pPr>
        <w:keepLines/>
        <w:tabs>
          <w:tab w:val="right" w:leader="dot" w:pos="9360"/>
        </w:tabs>
        <w:spacing w:before="196" w:after="0" w:line="322" w:lineRule="exact"/>
        <w:ind w:left="720" w:right="1120" w:hanging="720"/>
      </w:pPr>
      <w:r>
        <w:rPr>
          <w:i/>
          <w:iCs/>
        </w:rPr>
        <w:t xml:space="preserve">Town</w:t>
      </w:r>
      <w:r>
        <w:rPr>
          <w:i/>
          <w:iCs/>
        </w:rPr>
        <w:t xml:space="preserve"> </w:t>
      </w:r>
      <w:r>
        <w:rPr>
          <w:i/>
          <w:iCs/>
        </w:rPr>
        <w:t xml:space="preserve">of</w:t>
      </w:r>
      <w:r>
        <w:rPr>
          <w:i/>
          <w:iCs/>
        </w:rPr>
        <w:t xml:space="preserve"> </w:t>
      </w:r>
      <w:r>
        <w:rPr>
          <w:i/>
          <w:iCs/>
        </w:rPr>
        <w:t xml:space="preserve">Gravette</w:t>
      </w:r>
      <w:r>
        <w:rPr>
          <w:i/>
          <w:iCs/>
        </w:rPr>
        <w:t xml:space="preserve"> </w:t>
      </w:r>
      <w:r>
        <w:rPr>
          <w:i/>
          <w:iCs/>
        </w:rPr>
        <w:t xml:space="preserve">v.</w:t>
      </w:r>
      <w:r>
        <w:rPr>
          <w:i/>
          <w:iCs/>
        </w:rPr>
        <w:t xml:space="preserve"> </w:t>
      </w:r>
      <w:r>
        <w:rPr>
          <w:i/>
          <w:iCs/>
        </w:rPr>
        <w:t xml:space="preserve">Veach</w:t>
      </w:r>
      <w:r>
        <w:t xml:space="preserve">,</w:t>
      </w:r>
      <w:r>
        <w:t xml:space="preserve"> </w:t>
      </w:r>
      <w:r>
        <w:t xml:space="preserve">186</w:t>
      </w:r>
      <w:r>
        <w:t xml:space="preserve"> </w:t>
      </w:r>
      <w:r>
        <w:t xml:space="preserve">Ark</w:t>
      </w:r>
      <w:r>
        <w:t xml:space="preserve"> </w:t>
      </w:r>
      <w:r>
        <w:t xml:space="preserve">544,</w:t>
      </w:r>
      <w:r>
        <w:t xml:space="preserve"> </w:t>
      </w:r>
      <w:r>
        <w:t xml:space="preserve">54</w:t>
      </w:r>
      <w:r>
        <w:t xml:space="preserve"> </w:t>
      </w:r>
      <w:r>
        <w:t xml:space="preserve">S.W.2d</w:t>
      </w:r>
      <w:r>
        <w:t xml:space="preserve"> </w:t>
      </w:r>
      <w:r>
        <w:t xml:space="preserve">704</w:t>
      </w:r>
      <w:r>
        <w:t xml:space="preserve"> </w:t>
      </w:r>
      <w:r>
        <w:t xml:space="preserve">(1932),</w:t>
      </w:r>
      <w:r>
        <w:t xml:space="preserve"> </w:t>
      </w:r>
      <w:r>
        <w:t xml:space="preserve">overruled</w:t>
      </w:r>
      <w:r>
        <w:t xml:space="preserve"> </w:t>
      </w:r>
      <w:r>
        <w:t xml:space="preserve">in</w:t>
      </w:r>
      <w:r>
        <w:t xml:space="preserve"> </w:t>
      </w:r>
      <w:r>
        <w:t xml:space="preserve">part</w:t>
      </w:r>
      <w:r>
        <w:t xml:space="preserve"> </w:t>
      </w:r>
      <w:r>
        <w:t xml:space="preserve">on</w:t>
      </w:r>
      <w:r>
        <w:t xml:space="preserve"> </w:t>
      </w:r>
      <w:r>
        <w:t xml:space="preserve">other</w:t>
      </w:r>
      <w:r>
        <w:t xml:space="preserve"> </w:t>
      </w:r>
      <w:r>
        <w:t xml:space="preserve">grounds,</w:t>
      </w:r>
      <w:r>
        <w:t xml:space="preserve"> </w:t>
      </w:r>
      <w:r>
        <w:rPr>
          <w:i/>
          <w:iCs/>
        </w:rPr>
        <w:t xml:space="preserve">Lael</w:t>
      </w:r>
      <w:r>
        <w:rPr>
          <w:i/>
          <w:iCs/>
        </w:rPr>
        <w:t xml:space="preserve"> </w:t>
      </w:r>
      <w:r>
        <w:rPr>
          <w:i/>
          <w:iCs/>
        </w:rPr>
        <w:t xml:space="preserve">v.</w:t>
      </w:r>
      <w:r>
        <w:rPr>
          <w:i/>
          <w:iCs/>
        </w:rPr>
        <w:t xml:space="preserve"> </w:t>
      </w:r>
      <w:r>
        <w:rPr>
          <w:i/>
          <w:iCs/>
        </w:rPr>
        <w:t xml:space="preserve">Crook</w:t>
      </w:r>
      <w:r>
        <w:t xml:space="preserve">,</w:t>
      </w:r>
      <w:r>
        <w:t xml:space="preserve"> </w:t>
      </w:r>
      <w:r>
        <w:t xml:space="preserve">192</w:t>
      </w:r>
      <w:r>
        <w:t xml:space="preserve"> </w:t>
      </w:r>
      <w:r>
        <w:t xml:space="preserve">Ark.</w:t>
      </w:r>
      <w:r>
        <w:t xml:space="preserve"> </w:t>
      </w:r>
      <w:r>
        <w:t xml:space="preserve">1115,</w:t>
      </w:r>
      <w:r>
        <w:t xml:space="preserve"> </w:t>
      </w:r>
      <w:r>
        <w:t xml:space="preserve">97</w:t>
      </w:r>
      <w:r>
        <w:t xml:space="preserve"> </w:t>
      </w:r>
      <w:r>
        <w:t xml:space="preserve">S.W.2d</w:t>
      </w:r>
      <w:r>
        <w:t xml:space="preserve"> </w:t>
      </w:r>
      <w:r>
        <w:t xml:space="preserve">436</w:t>
      </w:r>
      <w:r>
        <w:t xml:space="preserve"> </w:t>
      </w:r>
      <w:r>
        <w:t xml:space="preserve">(1936)</w:t>
      </w:r>
      <w:r>
        <w:t xml:space="preserve">   </w:t>
      </w:r>
      <w:r>
        <w:tab/>
      </w:r>
      <w:r>
        <w:t xml:space="preserve">6</w:t>
      </w:r>
    </w:p>
    <w:p>
      <w:pPr>
        <w:keepLines/>
        <w:tabs>
          <w:tab w:val="right" w:leader="dot" w:pos="9360"/>
        </w:tabs>
        <w:spacing w:before="196" w:after="0" w:line="322" w:lineRule="exact"/>
        <w:ind w:left="720" w:right="1120" w:hanging="720"/>
      </w:pPr>
      <w:r>
        <w:rPr>
          <w:i/>
          <w:iCs/>
        </w:rPr>
        <w:t xml:space="preserve">Two</w:t>
      </w:r>
      <w:r>
        <w:rPr>
          <w:i/>
          <w:iCs/>
        </w:rPr>
        <w:t xml:space="preserve"> </w:t>
      </w:r>
      <w:r>
        <w:rPr>
          <w:i/>
          <w:iCs/>
        </w:rPr>
        <w:t xml:space="preserve">South</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Wilmington</w:t>
      </w:r>
      <w:r>
        <w:t xml:space="preserve">,</w:t>
      </w:r>
      <w:r>
        <w:t xml:space="preserve"> </w:t>
      </w:r>
      <w:r>
        <w:t xml:space="preserve">Civ.</w:t>
      </w:r>
      <w:r>
        <w:t xml:space="preserve"> </w:t>
      </w:r>
      <w:r>
        <w:t xml:space="preserve">No.</w:t>
      </w:r>
      <w:r>
        <w:t xml:space="preserve"> </w:t>
      </w:r>
      <w:r>
        <w:t xml:space="preserve">9907</w:t>
      </w:r>
      <w:r>
        <w:t xml:space="preserve"> </w:t>
      </w:r>
      <w:r>
        <w:t xml:space="preserve">Chancery</w:t>
      </w:r>
      <w:r>
        <w:t xml:space="preserve"> </w:t>
      </w:r>
      <w:r>
        <w:t xml:space="preserve">Del.</w:t>
      </w:r>
      <w:r>
        <w:t xml:space="preserve"> </w:t>
      </w:r>
      <w:r>
        <w:t xml:space="preserve">July</w:t>
      </w:r>
      <w:r>
        <w:t xml:space="preserve"> </w:t>
      </w:r>
      <w:r>
        <w:t xml:space="preserve">1,</w:t>
      </w:r>
      <w:r>
        <w:t xml:space="preserve"> </w:t>
      </w:r>
      <w:r>
        <w:t xml:space="preserve">1989),</w:t>
      </w:r>
      <w:r>
        <w:t xml:space="preserve"> </w:t>
      </w:r>
      <w:r>
        <w:t xml:space="preserve">1989</w:t>
      </w:r>
      <w:r>
        <w:t xml:space="preserve"> </w:t>
      </w:r>
      <w:r>
        <w:t xml:space="preserve">WL</w:t>
      </w:r>
      <w:r>
        <w:t xml:space="preserve"> </w:t>
      </w:r>
      <w:r>
        <w:t xml:space="preserve">76291</w:t>
      </w:r>
      <w:r>
        <w:t xml:space="preserve">   </w:t>
      </w:r>
      <w:r>
        <w:tab/>
      </w:r>
      <w:r>
        <w:t xml:space="preserve">8</w:t>
      </w:r>
    </w:p>
    <w:p>
      <w:pPr>
        <w:pageBreakBefore/>
        <w:spacing w:before="0" w:after="0" w:line="1" w:lineRule="exact"/>
      </w:pPr>
    </w:p>
    <w:p>
      <w:pPr>
        <w:keepNext/>
        <w:keepLines/>
        <w:spacing w:before="0"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granting</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corporation</w:t>
      </w:r>
      <w:r>
        <w:rPr>
          <w:b/>
          <w:bCs/>
        </w:rPr>
        <w:t xml:space="preserve"> </w:t>
      </w:r>
      <w:r>
        <w:rPr>
          <w:b/>
          <w:bCs/>
        </w:rPr>
        <w:t xml:space="preserve">concerning</w:t>
      </w:r>
      <w:r>
        <w:rPr>
          <w:b/>
          <w:bCs/>
        </w:rPr>
        <w:t xml:space="preserve"> </w:t>
      </w:r>
      <w:r>
        <w:rPr>
          <w:b/>
          <w:bCs/>
        </w:rPr>
        <w:t xml:space="preserve">property</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owned</w:t>
      </w:r>
      <w:r>
        <w:rPr>
          <w:b/>
          <w:bCs/>
        </w:rPr>
        <w:t xml:space="preserve"> </w:t>
      </w:r>
      <w:r>
        <w:rPr>
          <w:b/>
          <w:bCs/>
        </w:rPr>
        <w:t xml:space="preserve">by</w:t>
      </w:r>
      <w:r>
        <w:rPr>
          <w:b/>
          <w:bCs/>
        </w:rPr>
        <w:t xml:space="preserve"> </w:t>
      </w:r>
      <w:r>
        <w:rPr>
          <w:b/>
          <w:bCs/>
        </w:rPr>
        <w:t xml:space="preserve">an</w:t>
      </w:r>
      <w:r>
        <w:rPr>
          <w:b/>
          <w:bCs/>
        </w:rPr>
        <w:t xml:space="preserve"> </w:t>
      </w:r>
      <w:r>
        <w:rPr>
          <w:b/>
          <w:bCs/>
        </w:rPr>
        <w:t xml:space="preserve">individual</w:t>
      </w:r>
      <w:r>
        <w:rPr>
          <w:b/>
          <w:bCs/>
        </w:rPr>
        <w:t xml:space="preserve"> </w:t>
      </w:r>
      <w:r>
        <w:rPr>
          <w:b/>
          <w:bCs/>
        </w:rPr>
        <w:t xml:space="preserve">or</w:t>
      </w:r>
      <w:r>
        <w:rPr>
          <w:b/>
          <w:bCs/>
        </w:rPr>
        <w:t xml:space="preserve"> </w:t>
      </w:r>
      <w:r>
        <w:rPr>
          <w:b/>
          <w:bCs/>
        </w:rPr>
        <w:t xml:space="preserve">an</w:t>
      </w:r>
      <w:r>
        <w:rPr>
          <w:b/>
          <w:bCs/>
        </w:rPr>
        <w:t xml:space="preserve"> </w:t>
      </w:r>
      <w:r>
        <w:rPr>
          <w:b/>
          <w:bCs/>
        </w:rPr>
        <w:t xml:space="preserve">unincorporated</w:t>
      </w:r>
      <w:r>
        <w:rPr>
          <w:b/>
          <w:bCs/>
        </w:rPr>
        <w:t xml:space="preserve"> </w:t>
      </w:r>
      <w:r>
        <w:rPr>
          <w:b/>
          <w:bCs/>
        </w:rPr>
        <w:t xml:space="preserve">nonprofit</w:t>
      </w:r>
      <w:r>
        <w:rPr>
          <w:b/>
          <w:bCs/>
        </w:rPr>
        <w:t xml:space="preserve"> </w:t>
      </w:r>
      <w:r>
        <w:rPr>
          <w:b/>
          <w:bCs/>
        </w:rPr>
        <w:t xml:space="preserve">association.</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A</w:t>
      </w:r>
      <w:r>
        <w:rPr>
          <w:b/>
          <w:bCs/>
          <w:i/>
          <w:iCs/>
        </w:rPr>
        <w:t xml:space="preserve"> </w:t>
      </w:r>
      <w:r>
        <w:rPr>
          <w:b/>
          <w:bCs/>
          <w:i/>
          <w:iCs/>
        </w:rPr>
        <w:t xml:space="preserve">claim</w:t>
      </w:r>
      <w:r>
        <w:rPr>
          <w:b/>
          <w:bCs/>
          <w:i/>
          <w:iCs/>
        </w:rPr>
        <w:t xml:space="preserve"> </w:t>
      </w:r>
      <w:r>
        <w:rPr>
          <w:b/>
          <w:bCs/>
          <w:i/>
          <w:iCs/>
        </w:rPr>
        <w:t xml:space="preserve">of</w:t>
      </w:r>
      <w:r>
        <w:rPr>
          <w:b/>
          <w:bCs/>
          <w:i/>
          <w:iCs/>
        </w:rPr>
        <w:t xml:space="preserve"> </w:t>
      </w:r>
      <w:r>
        <w:rPr>
          <w:b/>
          <w:bCs/>
          <w:i/>
          <w:iCs/>
        </w:rPr>
        <w:t xml:space="preserve">irreparable</w:t>
      </w:r>
      <w:r>
        <w:rPr>
          <w:b/>
          <w:bCs/>
          <w:i/>
          <w:iCs/>
        </w:rPr>
        <w:t xml:space="preserve"> </w:t>
      </w:r>
      <w:r>
        <w:rPr>
          <w:b/>
          <w:bCs/>
          <w:i/>
          <w:iCs/>
        </w:rPr>
        <w:t xml:space="preserve">harm</w:t>
      </w:r>
      <w:r>
        <w:rPr>
          <w:b/>
          <w:bCs/>
          <w:i/>
          <w:iCs/>
        </w:rPr>
        <w:t xml:space="preserve"> </w:t>
      </w:r>
      <w:r>
        <w:rPr>
          <w:b/>
          <w:bCs/>
          <w:i/>
          <w:iCs/>
        </w:rPr>
        <w:t xml:space="preserve">requires</w:t>
      </w:r>
      <w:r>
        <w:rPr>
          <w:b/>
          <w:bCs/>
          <w:i/>
          <w:iCs/>
        </w:rPr>
        <w:t xml:space="preserve"> </w:t>
      </w:r>
      <w:r>
        <w:rPr>
          <w:b/>
          <w:bCs/>
          <w:i/>
          <w:iCs/>
        </w:rPr>
        <w:t xml:space="preserve">an</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real</w:t>
      </w:r>
      <w:r>
        <w:rPr>
          <w:b/>
          <w:bCs/>
          <w:i/>
          <w:iCs/>
        </w:rPr>
        <w:t xml:space="preserve"> </w:t>
      </w:r>
      <w:r>
        <w:rPr>
          <w:b/>
          <w:bCs/>
          <w:i/>
          <w:iCs/>
        </w:rPr>
        <w:t xml:space="preserve">property.</w:t>
      </w:r>
    </w:p>
    <w:p>
      <w:pPr>
        <w:pStyle w:val="BodyText"/>
      </w:pPr>
      <w:r>
        <w:t xml:space="preserve">On the one hand, appellee Hatchett-Bullock Cemetery Association, Inc., defends the trial court’s permanent injunction by declaring that</w:t>
      </w:r>
      <w:r>
        <w:t xml:space="preserve"> </w:t>
      </w:r>
      <w:r>
        <w:t xml:space="preserve">“the right to administer the cemetery, not ownership, formed the basis for the circuit court’s order.”</w:t>
      </w:r>
      <w:r>
        <w:t xml:space="preserve"> </w:t>
      </w:r>
      <w:r>
        <w:t xml:space="preserve">Brief of Appellee at 24. In the next figurative breath, appellee asserts that irreparable harm was shown, in part, because</w:t>
      </w:r>
      <w:r>
        <w:t xml:space="preserve"> </w:t>
      </w:r>
      <w:r>
        <w:t xml:space="preserve">“trespasses are not susceptible of pecuniary compensation.”</w:t>
      </w:r>
      <w:r>
        <w:t xml:space="preserve"> </w:t>
      </w:r>
      <w:r>
        <w:t xml:space="preserve">Brief of Appellee at 40</w:t>
      </w:r>
      <w:r>
        <w:noBreakHyphen/>
      </w:r>
      <w:r>
        <w:t xml:space="preserve">41. Since an interest in real property is essential to a showing of irreparable harm by way of potential future trespass, appellee should not be heard to say that just</w:t>
      </w:r>
      <w:r>
        <w:t xml:space="preserve"> </w:t>
      </w:r>
      <w:r>
        <w:t xml:space="preserve">“the right to administer the cemetery”</w:t>
      </w:r>
      <w:r>
        <w:t xml:space="preserve"> </w:t>
      </w:r>
      <w:r>
        <w:t xml:space="preserve">is at issue in this appeal.</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As</w:t>
      </w:r>
      <w:r>
        <w:rPr>
          <w:b/>
          <w:bCs/>
          <w:i/>
          <w:iCs/>
        </w:rPr>
        <w:t xml:space="preserve"> </w:t>
      </w:r>
      <w:r>
        <w:rPr>
          <w:b/>
          <w:bCs/>
          <w:i/>
          <w:iCs/>
        </w:rPr>
        <w:t xml:space="preserve">family</w:t>
      </w:r>
      <w:r>
        <w:rPr>
          <w:b/>
          <w:bCs/>
          <w:i/>
          <w:iCs/>
        </w:rPr>
        <w:t xml:space="preserve"> </w:t>
      </w:r>
      <w:r>
        <w:rPr>
          <w:b/>
          <w:bCs/>
          <w:i/>
          <w:iCs/>
        </w:rPr>
        <w:t xml:space="preserve">members,</w:t>
      </w:r>
      <w:r>
        <w:rPr>
          <w:b/>
          <w:bCs/>
          <w:i/>
          <w:iCs/>
        </w:rPr>
        <w:t xml:space="preserve"> </w:t>
      </w:r>
      <w:r>
        <w:rPr>
          <w:b/>
          <w:bCs/>
          <w:i/>
          <w:iCs/>
        </w:rPr>
        <w:t xml:space="preserve">appellants</w:t>
      </w:r>
      <w:r>
        <w:rPr>
          <w:b/>
          <w:bCs/>
          <w:i/>
          <w:iCs/>
        </w:rPr>
        <w:t xml:space="preserve"> </w:t>
      </w:r>
      <w:r>
        <w:rPr>
          <w:b/>
          <w:bCs/>
          <w:i/>
          <w:iCs/>
        </w:rPr>
        <w:t xml:space="preserve">have</w:t>
      </w:r>
      <w:r>
        <w:rPr>
          <w:b/>
          <w:bCs/>
          <w:i/>
          <w:iCs/>
        </w:rPr>
        <w:t xml:space="preserve"> </w:t>
      </w:r>
      <w:r>
        <w:rPr>
          <w:b/>
          <w:bCs/>
          <w:i/>
          <w:iCs/>
        </w:rPr>
        <w:t xml:space="preserve">the</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challenge</w:t>
      </w:r>
      <w:r>
        <w:rPr>
          <w:b/>
          <w:bCs/>
          <w:i/>
          <w:iCs/>
        </w:rPr>
        <w:t xml:space="preserve"> </w:t>
      </w:r>
      <w:r>
        <w:rPr>
          <w:b/>
          <w:bCs/>
          <w:i/>
          <w:iCs/>
        </w:rPr>
        <w:t xml:space="preserve">the</w:t>
      </w:r>
      <w:r>
        <w:rPr>
          <w:b/>
          <w:bCs/>
          <w:i/>
          <w:iCs/>
        </w:rPr>
        <w:t xml:space="preserve"> </w:t>
      </w:r>
      <w:r>
        <w:rPr>
          <w:b/>
          <w:bCs/>
          <w:i/>
          <w:iCs/>
        </w:rPr>
        <w:t xml:space="preserve">order</w:t>
      </w:r>
      <w:r>
        <w:rPr>
          <w:b/>
          <w:bCs/>
          <w:i/>
          <w:iCs/>
        </w:rPr>
        <w:t xml:space="preserve"> </w:t>
      </w:r>
      <w:r>
        <w:rPr>
          <w:b/>
          <w:bCs/>
          <w:i/>
          <w:iCs/>
        </w:rPr>
        <w:t xml:space="preserve">denying</w:t>
      </w:r>
      <w:r>
        <w:rPr>
          <w:b/>
          <w:bCs/>
          <w:i/>
          <w:iCs/>
        </w:rPr>
        <w:t xml:space="preserve"> </w:t>
      </w:r>
      <w:r>
        <w:rPr>
          <w:b/>
          <w:bCs/>
          <w:i/>
          <w:iCs/>
        </w:rPr>
        <w:t xml:space="preserve">them</w:t>
      </w:r>
      <w:r>
        <w:rPr>
          <w:b/>
          <w:bCs/>
          <w:i/>
          <w:iCs/>
        </w:rPr>
        <w:t xml:space="preserve"> </w:t>
      </w:r>
      <w:r>
        <w:rPr>
          <w:b/>
          <w:bCs/>
          <w:i/>
          <w:iCs/>
        </w:rPr>
        <w:t xml:space="preserve">entry</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family</w:t>
      </w:r>
      <w:r>
        <w:rPr>
          <w:b/>
          <w:bCs/>
          <w:i/>
          <w:iCs/>
        </w:rPr>
        <w:t xml:space="preserve"> </w:t>
      </w:r>
      <w:r>
        <w:rPr>
          <w:b/>
          <w:bCs/>
          <w:i/>
          <w:iCs/>
        </w:rPr>
        <w:t xml:space="preserve">cemetery.</w:t>
      </w:r>
    </w:p>
    <w:p>
      <w:pPr>
        <w:pStyle w:val="BodyText"/>
      </w:pPr>
      <w:r>
        <w:t xml:space="preserve">Nor did appellants</w:t>
      </w:r>
      <w:r>
        <w:t xml:space="preserve"> </w:t>
      </w:r>
      <w:r>
        <w:t xml:space="preserve">“miss[ ] the mark,”</w:t>
      </w:r>
      <w:r>
        <w:t xml:space="preserve"> </w:t>
      </w:r>
      <w:r>
        <w:t xml:space="preserve">as appellee claims, by arguing that the issue is about</w:t>
      </w:r>
      <w:r>
        <w:t xml:space="preserve"> </w:t>
      </w:r>
      <w:r>
        <w:t xml:space="preserve">“mere</w:t>
      </w:r>
      <w:r>
        <w:t xml:space="preserve"> </w:t>
      </w:r>
      <w:r>
        <w:t xml:space="preserve">‘access to the cemetery.’</w:t>
      </w:r>
      <w:r>
        <w:t xml:space="preserve">”</w:t>
      </w:r>
      <w:r>
        <w:t xml:space="preserve"> </w:t>
      </w:r>
      <w:r>
        <w:t xml:space="preserve">Appellants did not challenge the portion of the order barring them from burying non-family members or marketing burial plots—because they denied doing such things. So mere access to the cemetery is exactly the issue in the challenged portion of the order, which was drafted by appellee’s counsel before entry by the circuit court. That provision states that</w:t>
      </w:r>
      <w:r>
        <w:t xml:space="preserve"> </w:t>
      </w:r>
      <w:r>
        <w:t xml:space="preserve">“[appellants] are hereby restrained from entering the Hatchett Bullock Cemetery for any reason without permission from the [appellee].”</w:t>
      </w:r>
      <w:r>
        <w:t xml:space="preserve"> </w:t>
      </w:r>
      <w:r>
        <w:t xml:space="preserve">(RP 31) (emphasis supplied).</w:t>
      </w:r>
    </w:p>
    <w:p>
      <w:pPr>
        <w:pStyle w:val="BodyText"/>
      </w:pPr>
      <w:r>
        <w:t xml:space="preserve">Thus, the issue raised in this appeal is access to the family cemetery, and appellants argue that the trial court erred in barring two family members from such access at the behest of a plaintiff who failed to offer evidence of any cognizable interest in the real property. This has been appellants’ argument all along. See Brief of Appellants at 16</w:t>
      </w:r>
      <w:r>
        <w:noBreakHyphen/>
      </w:r>
      <w:r>
        <w:t xml:space="preserve">17 (</w:t>
      </w:r>
      <w:r>
        <w:t xml:space="preserve">“Without a legally cognizable right to the property, the Association suffered no harm—much less any irreparable harm—by the continued access to the cemetery by [Clyde Hatchett]”</w:t>
      </w:r>
      <w:r>
        <w:t xml:space="preserve">).</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Arkansas</w:t>
      </w:r>
      <w:r>
        <w:rPr>
          <w:b/>
          <w:bCs/>
          <w:i/>
          <w:iCs/>
        </w:rPr>
        <w:t xml:space="preserve"> </w:t>
      </w:r>
      <w:r>
        <w:rPr>
          <w:b/>
          <w:bCs/>
          <w:i/>
          <w:iCs/>
        </w:rPr>
        <w:t xml:space="preserve">courts</w:t>
      </w:r>
      <w:r>
        <w:rPr>
          <w:b/>
          <w:bCs/>
          <w:i/>
          <w:iCs/>
        </w:rPr>
        <w:t xml:space="preserve"> </w:t>
      </w:r>
      <w:r>
        <w:rPr>
          <w:b/>
          <w:bCs/>
          <w:i/>
          <w:iCs/>
        </w:rPr>
        <w:t xml:space="preserve">have</w:t>
      </w:r>
      <w:r>
        <w:rPr>
          <w:b/>
          <w:bCs/>
          <w:i/>
          <w:iCs/>
        </w:rPr>
        <w:t xml:space="preserve"> </w:t>
      </w:r>
      <w:r>
        <w:rPr>
          <w:b/>
          <w:bCs/>
          <w:i/>
          <w:iCs/>
        </w:rPr>
        <w:t xml:space="preserve">never</w:t>
      </w:r>
      <w:r>
        <w:rPr>
          <w:b/>
          <w:bCs/>
          <w:i/>
          <w:iCs/>
        </w:rPr>
        <w:t xml:space="preserve"> </w:t>
      </w:r>
      <w:r>
        <w:rPr>
          <w:b/>
          <w:bCs/>
          <w:i/>
          <w:iCs/>
        </w:rPr>
        <w:t xml:space="preserve">held</w:t>
      </w:r>
      <w:r>
        <w:rPr>
          <w:b/>
          <w:bCs/>
          <w:i/>
          <w:iCs/>
        </w:rPr>
        <w:t xml:space="preserve"> </w:t>
      </w:r>
      <w:r>
        <w:rPr>
          <w:b/>
          <w:bCs/>
          <w:i/>
          <w:iCs/>
        </w:rPr>
        <w:t xml:space="preserve">that</w:t>
      </w:r>
      <w:r>
        <w:rPr>
          <w:b/>
          <w:bCs/>
          <w:i/>
          <w:iCs/>
        </w:rPr>
        <w:t xml:space="preserve"> </w:t>
      </w:r>
      <w:r>
        <w:rPr>
          <w:b/>
          <w:bCs/>
          <w:i/>
          <w:iCs/>
        </w:rPr>
        <w:t xml:space="preserve">an</w:t>
      </w:r>
      <w:r>
        <w:rPr>
          <w:b/>
          <w:bCs/>
          <w:i/>
          <w:iCs/>
        </w:rPr>
        <w:t xml:space="preserve"> </w:t>
      </w:r>
      <w:r>
        <w:rPr>
          <w:b/>
          <w:bCs/>
          <w:i/>
          <w:iCs/>
        </w:rPr>
        <w:t xml:space="preserve">argument</w:t>
      </w:r>
      <w:r>
        <w:rPr>
          <w:b/>
          <w:bCs/>
          <w:i/>
          <w:iCs/>
        </w:rPr>
        <w:t xml:space="preserve"> </w:t>
      </w:r>
      <w:r>
        <w:rPr>
          <w:b/>
          <w:bCs/>
          <w:i/>
          <w:iCs/>
        </w:rPr>
        <w:t xml:space="preserve">is</w:t>
      </w:r>
      <w:r>
        <w:rPr>
          <w:b/>
          <w:bCs/>
          <w:i/>
          <w:iCs/>
        </w:rPr>
        <w:t xml:space="preserve"> </w:t>
      </w:r>
      <w:r>
        <w:rPr>
          <w:b/>
          <w:bCs/>
          <w:i/>
          <w:iCs/>
        </w:rPr>
        <w:t xml:space="preserve">waived</w:t>
      </w:r>
      <w:r>
        <w:rPr>
          <w:b/>
          <w:bCs/>
          <w:i/>
          <w:iCs/>
        </w:rPr>
        <w:t xml:space="preserve"> </w:t>
      </w:r>
      <w:r>
        <w:rPr>
          <w:b/>
          <w:bCs/>
          <w:i/>
          <w:iCs/>
        </w:rPr>
        <w:t xml:space="preserve">if</w:t>
      </w:r>
      <w:r>
        <w:rPr>
          <w:b/>
          <w:bCs/>
          <w:i/>
          <w:iCs/>
        </w:rPr>
        <w:t xml:space="preserve"> </w:t>
      </w:r>
      <w:r>
        <w:rPr>
          <w:b/>
          <w:bCs/>
          <w:i/>
          <w:iCs/>
        </w:rPr>
        <w:t xml:space="preserve">a</w:t>
      </w:r>
      <w:r>
        <w:rPr>
          <w:b/>
          <w:bCs/>
          <w:i/>
          <w:iCs/>
        </w:rPr>
        <w:t xml:space="preserve"> </w:t>
      </w:r>
      <w:r>
        <w:rPr>
          <w:b/>
          <w:bCs/>
          <w:i/>
          <w:iCs/>
        </w:rPr>
        <w:t xml:space="preserve">case</w:t>
      </w:r>
      <w:r>
        <w:rPr>
          <w:b/>
          <w:bCs/>
          <w:i/>
          <w:iCs/>
        </w:rPr>
        <w:t xml:space="preserve"> </w:t>
      </w:r>
      <w:r>
        <w:rPr>
          <w:b/>
          <w:bCs/>
          <w:i/>
          <w:iCs/>
        </w:rPr>
        <w:t xml:space="preserve">cited</w:t>
      </w:r>
      <w:r>
        <w:rPr>
          <w:b/>
          <w:bCs/>
          <w:i/>
          <w:iCs/>
        </w:rPr>
        <w:t xml:space="preserve"> </w:t>
      </w:r>
      <w:r>
        <w:rPr>
          <w:b/>
          <w:bCs/>
          <w:i/>
          <w:iCs/>
        </w:rPr>
        <w:t xml:space="preserve">on</w:t>
      </w:r>
      <w:r>
        <w:rPr>
          <w:b/>
          <w:bCs/>
          <w:i/>
          <w:iCs/>
        </w:rPr>
        <w:t xml:space="preserve"> </w:t>
      </w:r>
      <w:r>
        <w:rPr>
          <w:b/>
          <w:bCs/>
          <w:i/>
          <w:iCs/>
        </w:rPr>
        <w:t xml:space="preserve">appeal</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cited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p>
    <w:p>
      <w:pPr>
        <w:pStyle w:val="BodyTextNote"/>
      </w:pPr>
      <w:r>
        <w:t xml:space="preserve">And, of course, appellee’s argument that the issue on appeal was not preserved is simply incorrect. While trial counsel for appellants did not specifically argue the case cited by appellants on appeal (for the principle that incorporation by some members of an unincorporated association does not automatically transfer its title to real property to the new entity),</w:t>
      </w:r>
      <w:r>
        <w:rPr>
          <w:rStyle w:val="FootnoteReference"/>
        </w:rPr>
        <w:footnoteReference w:id="9"/>
      </w:r>
      <w:r>
        <w:t xml:space="preserve"> </w:t>
      </w:r>
      <w:r>
        <w:t xml:space="preserve">he repeatedly objected to injunctive relief on the ground that the Association did not own the property at issue just because it had incorporated.</w:t>
      </w:r>
    </w:p>
    <w:p>
      <w:pPr>
        <w:pStyle w:val="BodyText"/>
      </w:pPr>
      <w:r>
        <w:t xml:space="preserve">One such argument is reflected in the following exchange:</w:t>
      </w:r>
    </w:p>
    <w:p>
      <w:pPr>
        <w:pStyle w:val="XdQuoteFirst"/>
      </w:pPr>
      <w:r>
        <w:t xml:space="preserve">THE COURT: Well, the alienation of title to property. Property is unique, isn’t it?</w:t>
      </w:r>
    </w:p>
    <w:p>
      <w:pPr>
        <w:pStyle w:val="XdQuote"/>
      </w:pPr>
      <w:r>
        <w:t xml:space="preserve">MR. HARRIS: It is, Your Honor, but we do not believe they have even shown that they have any title to this property. The Association, Inc., has no deed showing that they own anything to it. They do not show that they have any right to any of this property. They do not show that the Association, Inc., has any right to be at the cemetery, much less be a part of it.</w:t>
      </w:r>
    </w:p>
    <w:p>
      <w:pPr>
        <w:pStyle w:val="XdQuoteLast"/>
      </w:pPr>
      <w:r>
        <w:t xml:space="preserve">This something that apparently one or two or maybe three people, two of whom live out of state, created down at the Secretary of State. They made themselves a legal entity, yes. That does not give them the right to own something, like it does not give them the right to own my house or your house. They claim they own the property.</w:t>
      </w:r>
    </w:p>
    <w:p>
      <w:pPr>
        <w:pStyle w:val="BodyText"/>
      </w:pPr>
      <w:r>
        <w:t xml:space="preserve">(RT 133). (emphasis supplied).</w:t>
      </w:r>
    </w:p>
    <w:p>
      <w:pPr>
        <w:pStyle w:val="BodyTextNote"/>
      </w:pPr>
      <w:r>
        <w:t xml:space="preserve">This argument below plainly was enough to apprise the trial court of the nature of appellant’s objection to the requested relief. Arkansas appellate courts have never held that a particular case, cited on appeal, also must have been cited to the trial court below. To the contrary, in</w:t>
      </w:r>
      <w:r>
        <w:t xml:space="preserve"> </w:t>
      </w:r>
      <w:r>
        <w:rPr>
          <w:i/>
          <w:iCs/>
        </w:rPr>
        <w:t xml:space="preserve">State v. Jones</w:t>
      </w:r>
      <w:r>
        <w:t xml:space="preserve">, 338 Ark. 781, 788</w:t>
      </w:r>
      <w:r>
        <w:noBreakHyphen/>
      </w:r>
      <w:r>
        <w:t xml:space="preserve">789, 3 S.W.3d 675 (1999), the Arkansas Supreme Court held that the state’s citation on appeal to a particular regulation that had not been cited to the trial court</w:t>
      </w:r>
      <w:r>
        <w:t xml:space="preserve"> </w:t>
      </w:r>
      <w:r>
        <w:t xml:space="preserve">“simply strengthens [the argument made below] by its citation to specific authority.”</w:t>
      </w:r>
      <w:r>
        <w:t xml:space="preserve"> </w:t>
      </w:r>
      <w:r>
        <w:t xml:space="preserve">In</w:t>
      </w:r>
      <w:r>
        <w:t xml:space="preserve"> </w:t>
      </w:r>
      <w:r>
        <w:rPr>
          <w:i/>
          <w:iCs/>
        </w:rPr>
        <w:t xml:space="preserve">Jones</w:t>
      </w:r>
      <w:r>
        <w:t xml:space="preserve">, the argument made below was preserved where there was no change in its nature or scope on appeal, but additional authority was cited. Something similar occurred here. Judge Welch understood that the Hatchetts’ counsel believed that the problem with the Association’s claim was that it had no ownership interest in the property just because it had incorporated. That continues to be the basis for reversal on appeal.</w:t>
      </w:r>
      <w:r>
        <w:rPr>
          <w:rStyle w:val="FootnoteReference"/>
        </w:rPr>
        <w:footnoteReference w:id="10"/>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To</w:t>
      </w:r>
      <w:r>
        <w:rPr>
          <w:b/>
          <w:bCs/>
          <w:i/>
          <w:iCs/>
        </w:rPr>
        <w:t xml:space="preserve"> </w:t>
      </w:r>
      <w:r>
        <w:rPr>
          <w:b/>
          <w:bCs/>
          <w:i/>
          <w:iCs/>
        </w:rPr>
        <w:t xml:space="preserve">establish</w:t>
      </w:r>
      <w:r>
        <w:rPr>
          <w:b/>
          <w:bCs/>
          <w:i/>
          <w:iCs/>
        </w:rPr>
        <w:t xml:space="preserve"> </w:t>
      </w:r>
      <w:r>
        <w:rPr>
          <w:b/>
          <w:bCs/>
          <w:i/>
          <w:iCs/>
        </w:rPr>
        <w:t xml:space="preserve">irreparable</w:t>
      </w:r>
      <w:r>
        <w:rPr>
          <w:b/>
          <w:bCs/>
          <w:i/>
          <w:iCs/>
        </w:rPr>
        <w:t xml:space="preserve"> </w:t>
      </w:r>
      <w:r>
        <w:rPr>
          <w:b/>
          <w:bCs/>
          <w:i/>
          <w:iCs/>
        </w:rPr>
        <w:t xml:space="preserve">harm</w:t>
      </w:r>
      <w:r>
        <w:rPr>
          <w:b/>
          <w:bCs/>
          <w:i/>
          <w:iCs/>
        </w:rPr>
        <w:t xml:space="preserve"> </w:t>
      </w:r>
      <w:r>
        <w:rPr>
          <w:b/>
          <w:bCs/>
          <w:i/>
          <w:iCs/>
        </w:rPr>
        <w:t xml:space="preserve">with</w:t>
      </w:r>
      <w:r>
        <w:rPr>
          <w:b/>
          <w:bCs/>
          <w:i/>
          <w:iCs/>
        </w:rPr>
        <w:t xml:space="preserve"> </w:t>
      </w:r>
      <w:r>
        <w:rPr>
          <w:b/>
          <w:bCs/>
          <w:i/>
          <w:iCs/>
        </w:rPr>
        <w:t xml:space="preserve">respect</w:t>
      </w:r>
      <w:r>
        <w:rPr>
          <w:b/>
          <w:bCs/>
          <w:i/>
          <w:iCs/>
        </w:rPr>
        <w:t xml:space="preserve"> </w:t>
      </w:r>
      <w:r>
        <w:rPr>
          <w:b/>
          <w:bCs/>
          <w:i/>
          <w:iCs/>
        </w:rPr>
        <w:t xml:space="preserve">to</w:t>
      </w:r>
      <w:r>
        <w:rPr>
          <w:b/>
          <w:bCs/>
          <w:i/>
          <w:iCs/>
        </w:rPr>
        <w:t xml:space="preserve"> </w:t>
      </w:r>
      <w:r>
        <w:rPr>
          <w:b/>
          <w:bCs/>
          <w:i/>
          <w:iCs/>
        </w:rPr>
        <w:t xml:space="preserve">real</w:t>
      </w:r>
      <w:r>
        <w:rPr>
          <w:b/>
          <w:bCs/>
          <w:i/>
          <w:iCs/>
        </w:rPr>
        <w:t xml:space="preserve"> </w:t>
      </w:r>
      <w:r>
        <w:rPr>
          <w:b/>
          <w:bCs/>
          <w:i/>
          <w:iCs/>
        </w:rPr>
        <w:t xml:space="preserve">property,</w:t>
      </w:r>
      <w:r>
        <w:rPr>
          <w:b/>
          <w:bCs/>
          <w:i/>
          <w:iCs/>
        </w:rPr>
        <w:t xml:space="preserve"> </w:t>
      </w:r>
      <w:r>
        <w:rPr>
          <w:b/>
          <w:bCs/>
          <w:i/>
          <w:iCs/>
        </w:rPr>
        <w:t xml:space="preserve">a</w:t>
      </w:r>
      <w:r>
        <w:rPr>
          <w:b/>
          <w:bCs/>
          <w:i/>
          <w:iCs/>
        </w:rPr>
        <w:t xml:space="preserve"> </w:t>
      </w:r>
      <w:r>
        <w:rPr>
          <w:b/>
          <w:bCs/>
          <w:i/>
          <w:iCs/>
        </w:rPr>
        <w:t xml:space="preserve">plaintiff</w:t>
      </w:r>
      <w:r>
        <w:rPr>
          <w:b/>
          <w:bCs/>
          <w:i/>
          <w:iCs/>
        </w:rPr>
        <w:t xml:space="preserve"> </w:t>
      </w:r>
      <w:r>
        <w:rPr>
          <w:b/>
          <w:bCs/>
          <w:i/>
          <w:iCs/>
        </w:rPr>
        <w:t xml:space="preserve">must</w:t>
      </w:r>
      <w:r>
        <w:rPr>
          <w:b/>
          <w:bCs/>
          <w:i/>
          <w:iCs/>
        </w:rPr>
        <w:t xml:space="preserve"> </w:t>
      </w:r>
      <w:r>
        <w:rPr>
          <w:b/>
          <w:bCs/>
          <w:i/>
          <w:iCs/>
        </w:rPr>
        <w:t xml:space="preserve">have</w:t>
      </w:r>
      <w:r>
        <w:rPr>
          <w:b/>
          <w:bCs/>
          <w:i/>
          <w:iCs/>
        </w:rPr>
        <w:t xml:space="preserve"> </w:t>
      </w:r>
      <w:r>
        <w:rPr>
          <w:b/>
          <w:bCs/>
          <w:i/>
          <w:iCs/>
        </w:rPr>
        <w:t xml:space="preserve">a</w:t>
      </w:r>
      <w:r>
        <w:rPr>
          <w:b/>
          <w:bCs/>
          <w:i/>
          <w:iCs/>
        </w:rPr>
        <w:t xml:space="preserve"> </w:t>
      </w:r>
      <w:r>
        <w:rPr>
          <w:b/>
          <w:bCs/>
          <w:i/>
          <w:iCs/>
        </w:rPr>
        <w:t xml:space="preserve">cognizable</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that</w:t>
      </w:r>
      <w:r>
        <w:rPr>
          <w:b/>
          <w:bCs/>
          <w:i/>
          <w:iCs/>
        </w:rPr>
        <w:t xml:space="preserve"> </w:t>
      </w:r>
      <w:r>
        <w:rPr>
          <w:b/>
          <w:bCs/>
          <w:i/>
          <w:iCs/>
        </w:rPr>
        <w:t xml:space="preserve">real</w:t>
      </w:r>
      <w:r>
        <w:rPr>
          <w:b/>
          <w:bCs/>
          <w:i/>
          <w:iCs/>
        </w:rPr>
        <w:t xml:space="preserve"> </w:t>
      </w:r>
      <w:r>
        <w:rPr>
          <w:b/>
          <w:bCs/>
          <w:i/>
          <w:iCs/>
        </w:rPr>
        <w:t xml:space="preserve">property.</w:t>
      </w:r>
    </w:p>
    <w:p>
      <w:pPr>
        <w:pStyle w:val="BodyText"/>
      </w:pPr>
      <w:r>
        <w:t xml:space="preserve">And the problem with a finding of irreparable injury in the absence of proof of a property interest is not diminished by reference to</w:t>
      </w:r>
      <w:r>
        <w:t xml:space="preserve"> </w:t>
      </w:r>
      <w:r>
        <w:rPr>
          <w:i/>
          <w:iCs/>
        </w:rPr>
        <w:t xml:space="preserve">Anita G,</w:t>
      </w:r>
      <w:r>
        <w:rPr>
          <w:i/>
          <w:iCs/>
        </w:rPr>
        <w:t xml:space="preserve"> </w:t>
      </w:r>
      <w:r>
        <w:rPr>
          <w:i/>
          <w:iCs/>
        </w:rPr>
        <w:t xml:space="preserve">LLC v. Centennial Bank</w:t>
      </w:r>
      <w:r>
        <w:t xml:space="preserve">, 2019 Ark. App, 217, 575 S.W.3d 561 (2019), as appellee suggests. In that case the appellate court upheld the issuance of an injunction to protect a prescriptive easement. Unlike the bare quasi-contractual right to manage property of another at issue here, an easement is an interest in real property recognized by Arkansas law. See, e.g.,</w:t>
      </w:r>
      <w:r>
        <w:t xml:space="preserve"> </w:t>
      </w:r>
      <w:r>
        <w:rPr>
          <w:i/>
          <w:iCs/>
        </w:rPr>
        <w:t xml:space="preserve">Parkerson</w:t>
      </w:r>
      <w:r>
        <w:rPr>
          <w:i/>
          <w:iCs/>
        </w:rPr>
        <w:t xml:space="preserve"> </w:t>
      </w:r>
      <w:r>
        <w:rPr>
          <w:i/>
          <w:iCs/>
        </w:rPr>
        <w:t xml:space="preserve">v. Brown</w:t>
      </w:r>
      <w:r>
        <w:t xml:space="preserve">, 2010 Ark. App. 505 at *5, 379 S.W.3d 485, 488 (2010) (</w:t>
      </w:r>
      <w:r>
        <w:t xml:space="preserve">“[A]n easement is an interest in land”</w:t>
      </w:r>
      <w:r>
        <w:t xml:space="preserve">);</w:t>
      </w:r>
      <w:r>
        <w:t xml:space="preserve"> </w:t>
      </w:r>
      <w:r>
        <w:rPr>
          <w:i/>
          <w:iCs/>
        </w:rPr>
        <w:t xml:space="preserve">Hanna v. Robertson</w:t>
      </w:r>
      <w:r>
        <w:t xml:space="preserve">, 86 Ark. App. 180, 185, 167 S.W.3d 166, 170 (2004) (</w:t>
      </w:r>
      <w:r>
        <w:t xml:space="preserve">“An easement is a nonpossessory interest in the land of another.”</w:t>
      </w:r>
      <w:r>
        <w:t xml:space="preserve">). Here, the Hatchett-Bullock Cemetery Association, Inc. did not have an easement (or any documented right of ownership of the cemetery), therefore, appellee’s reliance on</w:t>
      </w:r>
      <w:r>
        <w:t xml:space="preserve"> </w:t>
      </w:r>
      <w:r>
        <w:rPr>
          <w:i/>
          <w:iCs/>
        </w:rPr>
        <w:t xml:space="preserve">Anita G,</w:t>
      </w:r>
      <w:r>
        <w:rPr>
          <w:i/>
          <w:iCs/>
        </w:rPr>
        <w:t xml:space="preserve"> </w:t>
      </w:r>
      <w:r>
        <w:rPr>
          <w:i/>
          <w:iCs/>
        </w:rPr>
        <w:t xml:space="preserve">LLC</w:t>
      </w:r>
      <w:r>
        <w:t xml:space="preserve"> </w:t>
      </w:r>
      <w:r>
        <w:t xml:space="preserve">is misplaced.</w:t>
      </w:r>
    </w:p>
    <w:p>
      <w:pPr>
        <w:keepNext/>
        <w:keepLines/>
        <w:spacing w:before="280" w:after="224" w:line="322" w:lineRule="exact"/>
        <w:ind w:left="720" w:hanging="720"/>
        <w:jc w:val="left"/>
      </w:pPr>
      <w:r>
        <w:rPr>
          <w:b/>
          <w:bCs/>
          <w:i/>
          <w:iCs/>
        </w:rPr>
        <w:t xml:space="preserve">e.</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reject</w:t>
      </w:r>
      <w:r>
        <w:rPr>
          <w:b/>
          <w:bCs/>
          <w:i/>
          <w:iCs/>
        </w:rPr>
        <w:t xml:space="preserve"> </w:t>
      </w:r>
      <w:r>
        <w:rPr>
          <w:b/>
          <w:bCs/>
          <w:i/>
          <w:iCs/>
        </w:rPr>
        <w:t xml:space="preserve">appellee’s</w:t>
      </w:r>
      <w:r>
        <w:rPr>
          <w:b/>
          <w:bCs/>
          <w:i/>
          <w:iCs/>
        </w:rPr>
        <w:t xml:space="preserve"> </w:t>
      </w:r>
      <w:r>
        <w:rPr>
          <w:b/>
          <w:bCs/>
          <w:i/>
          <w:iCs/>
        </w:rPr>
        <w:t xml:space="preserve">invitation</w:t>
      </w:r>
      <w:r>
        <w:rPr>
          <w:b/>
          <w:bCs/>
          <w:i/>
          <w:iCs/>
        </w:rPr>
        <w:t xml:space="preserve"> </w:t>
      </w:r>
      <w:r>
        <w:rPr>
          <w:b/>
          <w:bCs/>
          <w:i/>
          <w:iCs/>
        </w:rPr>
        <w:t xml:space="preserve">to</w:t>
      </w:r>
      <w:r>
        <w:rPr>
          <w:b/>
          <w:bCs/>
          <w:i/>
          <w:iCs/>
        </w:rPr>
        <w:t xml:space="preserve"> </w:t>
      </w:r>
      <w:r>
        <w:rPr>
          <w:b/>
          <w:bCs/>
          <w:i/>
          <w:iCs/>
        </w:rPr>
        <w:t xml:space="preserve">appellate</w:t>
      </w:r>
      <w:r>
        <w:rPr>
          <w:b/>
          <w:bCs/>
          <w:i/>
          <w:iCs/>
        </w:rPr>
        <w:t xml:space="preserve"> </w:t>
      </w:r>
      <w:r>
        <w:rPr>
          <w:b/>
          <w:bCs/>
          <w:i/>
          <w:iCs/>
        </w:rPr>
        <w:t xml:space="preserve">fact-finding</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offensive</w:t>
      </w:r>
      <w:r>
        <w:rPr>
          <w:b/>
          <w:bCs/>
          <w:i/>
          <w:iCs/>
        </w:rPr>
        <w:t xml:space="preserve"> </w:t>
      </w:r>
      <w:r>
        <w:rPr>
          <w:b/>
          <w:bCs/>
          <w:i/>
          <w:iCs/>
        </w:rPr>
        <w:t xml:space="preserve">application</w:t>
      </w:r>
      <w:r>
        <w:rPr>
          <w:b/>
          <w:bCs/>
          <w:i/>
          <w:iCs/>
        </w:rPr>
        <w:t xml:space="preserve"> </w:t>
      </w:r>
      <w:r>
        <w:rPr>
          <w:b/>
          <w:bCs/>
          <w:i/>
          <w:iCs/>
        </w:rPr>
        <w:t xml:space="preserve">of</w:t>
      </w:r>
      <w:r>
        <w:rPr>
          <w:b/>
          <w:bCs/>
          <w:i/>
          <w:iCs/>
        </w:rPr>
        <w:t xml:space="preserve"> </w:t>
      </w:r>
      <w:r>
        <w:rPr>
          <w:b/>
          <w:bCs/>
          <w:i/>
          <w:iCs/>
        </w:rPr>
        <w:t xml:space="preserve">unpled</w:t>
      </w:r>
      <w:r>
        <w:rPr>
          <w:b/>
          <w:bCs/>
          <w:i/>
          <w:iCs/>
        </w:rPr>
        <w:t xml:space="preserve"> </w:t>
      </w:r>
      <w:r>
        <w:rPr>
          <w:b/>
          <w:bCs/>
          <w:i/>
          <w:iCs/>
        </w:rPr>
        <w:t xml:space="preserve">affirmative</w:t>
      </w:r>
      <w:r>
        <w:rPr>
          <w:b/>
          <w:bCs/>
          <w:i/>
          <w:iCs/>
        </w:rPr>
        <w:t xml:space="preserve"> </w:t>
      </w:r>
      <w:r>
        <w:rPr>
          <w:b/>
          <w:bCs/>
          <w:i/>
          <w:iCs/>
        </w:rPr>
        <w:t xml:space="preserve">defenses.</w:t>
      </w:r>
    </w:p>
    <w:p>
      <w:pPr>
        <w:pStyle w:val="BodyText"/>
      </w:pPr>
      <w:r>
        <w:t xml:space="preserve">Appellants will accept appellee’s assertion that the trial court did not rely on adverse possession, but the affirmative defenses of waiver, equitable estoppel, laches, and acquiescence are not appropriate arrows in an offensive quiver. While appellants have not located an Arkansas case on point, a number of courts have held that such defenses may not be used offensively. See, e.g.,</w:t>
      </w:r>
      <w:r>
        <w:t xml:space="preserve"> </w:t>
      </w:r>
      <w:r>
        <w:rPr>
          <w:i/>
          <w:iCs/>
        </w:rPr>
        <w:t xml:space="preserve">Baker v. Baker</w:t>
      </w:r>
      <w:r>
        <w:t xml:space="preserve">, 920 So.2d 689, 692 (Fla. Ct. App. 2006) (declining to allow laches to be used as a</w:t>
      </w:r>
      <w:r>
        <w:t xml:space="preserve"> </w:t>
      </w:r>
      <w:r>
        <w:t xml:space="preserve">“sword”</w:t>
      </w:r>
      <w:r>
        <w:t xml:space="preserve">);</w:t>
      </w:r>
      <w:r>
        <w:t xml:space="preserve"> </w:t>
      </w:r>
      <w:r>
        <w:rPr>
          <w:i/>
          <w:iCs/>
        </w:rPr>
        <w:t xml:space="preserve">In re Marriage of Parker</w:t>
      </w:r>
      <w:r>
        <w:t xml:space="preserve">, 14 Cal.App.5th 681, 688, 223 Cal.Rptr.3d 344, 348349 (2017) (</w:t>
      </w:r>
      <w:r>
        <w:t xml:space="preserve">“Laches may be used only as a shield, not as a sword”</w:t>
      </w:r>
      <w:r>
        <w:t xml:space="preserve">);</w:t>
      </w:r>
      <w:r>
        <w:t xml:space="preserve"> </w:t>
      </w:r>
      <w:r>
        <w:rPr>
          <w:i/>
          <w:iCs/>
        </w:rPr>
        <w:t xml:space="preserve">Two South</w:t>
      </w:r>
      <w:r>
        <w:rPr>
          <w:i/>
          <w:iCs/>
        </w:rPr>
        <w:t xml:space="preserve"> </w:t>
      </w:r>
      <w:r>
        <w:rPr>
          <w:i/>
          <w:iCs/>
        </w:rPr>
        <w:t xml:space="preserve">Corp. v. City of Wilmington</w:t>
      </w:r>
      <w:r>
        <w:t xml:space="preserve">, Civ. No. 9907 Chancery Del. July 1, 1989), 1989 WL 76291 at *7 (permitting a party to assert laches</w:t>
      </w:r>
      <w:r>
        <w:t xml:space="preserve"> </w:t>
      </w:r>
      <w:r>
        <w:t xml:space="preserve">“offensively in this novel fashion would stand the doctrine on its head”</w:t>
      </w:r>
      <w:r>
        <w:t xml:space="preserve">). There are sound reasons for treating laches, waiver, equitable estoppel and the like as affirmative defenses, as Arkansas does. E.g.,</w:t>
      </w:r>
      <w:r>
        <w:t xml:space="preserve"> </w:t>
      </w:r>
      <w:r>
        <w:rPr>
          <w:i/>
          <w:iCs/>
        </w:rPr>
        <w:t xml:space="preserve">Frazier</w:t>
      </w:r>
      <w:r>
        <w:rPr>
          <w:i/>
          <w:iCs/>
        </w:rPr>
        <w:t xml:space="preserve"> </w:t>
      </w:r>
      <w:r>
        <w:rPr>
          <w:i/>
          <w:iCs/>
        </w:rPr>
        <w:t xml:space="preserve">v. Office of Child Support Enforcement</w:t>
      </w:r>
      <w:r>
        <w:t xml:space="preserve">, 2021 Ark. App 65 at *2, 618 S.W.3d 415 419 (2021). The party relying on these doctrines bears the burden of proof on them, and in fairness should be required to place these issues in play by pleading them. This Court should ignore the affirmative defenses asserted by appellee as alternative bases for the decision below.</w:t>
      </w:r>
    </w:p>
    <w:p>
      <w:pPr>
        <w:keepNext/>
        <w:keepLines/>
        <w:spacing w:before="280" w:after="224" w:line="322" w:lineRule="exact"/>
        <w:ind w:left="720" w:hanging="720"/>
        <w:jc w:val="left"/>
      </w:pPr>
      <w:r>
        <w:rPr>
          <w:b/>
          <w:bCs/>
          <w:i/>
          <w:iCs/>
        </w:rPr>
        <w:t xml:space="preserve">f.</w:t>
      </w:r>
      <w:r>
        <w:rPr>
          <w:b/>
          <w:bCs/>
          <w:i/>
          <w:iCs/>
        </w:rPr>
        <w:t xml:space="preserve"> </w:t>
      </w:r>
      <w:r>
        <w:rPr>
          <w:b/>
          <w:bCs/>
          <w:i/>
          <w:iCs/>
        </w:rPr>
        <w:t xml:space="preserve">In</w:t>
      </w:r>
      <w:r>
        <w:rPr>
          <w:b/>
          <w:bCs/>
          <w:i/>
          <w:iCs/>
        </w:rPr>
        <w:t xml:space="preserve"> </w:t>
      </w:r>
      <w:r>
        <w:rPr>
          <w:b/>
          <w:bCs/>
          <w:i/>
          <w:iCs/>
        </w:rPr>
        <w:t xml:space="preserve">any</w:t>
      </w:r>
      <w:r>
        <w:rPr>
          <w:b/>
          <w:bCs/>
          <w:i/>
          <w:iCs/>
        </w:rPr>
        <w:t xml:space="preserve"> </w:t>
      </w:r>
      <w:r>
        <w:rPr>
          <w:b/>
          <w:bCs/>
          <w:i/>
          <w:iCs/>
        </w:rPr>
        <w:t xml:space="preserve">event,</w:t>
      </w:r>
      <w:r>
        <w:rPr>
          <w:b/>
          <w:bCs/>
          <w:i/>
          <w:iCs/>
        </w:rPr>
        <w:t xml:space="preserve"> </w:t>
      </w:r>
      <w:r>
        <w:rPr>
          <w:b/>
          <w:bCs/>
          <w:i/>
          <w:iCs/>
        </w:rPr>
        <w:t xml:space="preserve">once</w:t>
      </w:r>
      <w:r>
        <w:rPr>
          <w:b/>
          <w:bCs/>
          <w:i/>
          <w:iCs/>
        </w:rPr>
        <w:t xml:space="preserve"> </w:t>
      </w:r>
      <w:r>
        <w:rPr>
          <w:b/>
          <w:bCs/>
          <w:i/>
          <w:iCs/>
        </w:rPr>
        <w:t xml:space="preserve">appellants</w:t>
      </w:r>
      <w:r>
        <w:rPr>
          <w:b/>
          <w:bCs/>
          <w:i/>
          <w:iCs/>
        </w:rPr>
        <w:t xml:space="preserve"> </w:t>
      </w:r>
      <w:r>
        <w:rPr>
          <w:b/>
          <w:bCs/>
          <w:i/>
          <w:iCs/>
        </w:rPr>
        <w:t xml:space="preserve">learned</w:t>
      </w:r>
      <w:r>
        <w:rPr>
          <w:b/>
          <w:bCs/>
          <w:i/>
          <w:iCs/>
        </w:rPr>
        <w:t xml:space="preserve"> </w:t>
      </w:r>
      <w:r>
        <w:rPr>
          <w:b/>
          <w:bCs/>
          <w:i/>
          <w:iCs/>
        </w:rPr>
        <w:t xml:space="preserve">that</w:t>
      </w:r>
      <w:r>
        <w:rPr>
          <w:b/>
          <w:bCs/>
          <w:i/>
          <w:iCs/>
        </w:rPr>
        <w:t xml:space="preserve"> </w:t>
      </w:r>
      <w:r>
        <w:rPr>
          <w:b/>
          <w:bCs/>
          <w:i/>
          <w:iCs/>
        </w:rPr>
        <w:t xml:space="preserve">a</w:t>
      </w:r>
      <w:r>
        <w:rPr>
          <w:b/>
          <w:bCs/>
          <w:i/>
          <w:iCs/>
        </w:rPr>
        <w:t xml:space="preserve"> </w:t>
      </w:r>
      <w:r>
        <w:rPr>
          <w:b/>
          <w:bCs/>
          <w:i/>
          <w:iCs/>
        </w:rPr>
        <w:t xml:space="preserve">competing</w:t>
      </w:r>
      <w:r>
        <w:rPr>
          <w:b/>
          <w:bCs/>
          <w:i/>
          <w:iCs/>
        </w:rPr>
        <w:t xml:space="preserve"> </w:t>
      </w:r>
      <w:r>
        <w:rPr>
          <w:b/>
          <w:bCs/>
          <w:i/>
          <w:iCs/>
        </w:rPr>
        <w:t xml:space="preserve">group</w:t>
      </w:r>
      <w:r>
        <w:rPr>
          <w:b/>
          <w:bCs/>
          <w:i/>
          <w:iCs/>
        </w:rPr>
        <w:t xml:space="preserve"> </w:t>
      </w:r>
      <w:r>
        <w:rPr>
          <w:b/>
          <w:bCs/>
          <w:i/>
          <w:iCs/>
        </w:rPr>
        <w:t xml:space="preserve">claimed</w:t>
      </w:r>
      <w:r>
        <w:rPr>
          <w:b/>
          <w:bCs/>
          <w:i/>
          <w:iCs/>
        </w:rPr>
        <w:t xml:space="preserve"> </w:t>
      </w:r>
      <w:r>
        <w:rPr>
          <w:b/>
          <w:bCs/>
          <w:i/>
          <w:iCs/>
        </w:rPr>
        <w:t xml:space="preserve">control</w:t>
      </w:r>
      <w:r>
        <w:rPr>
          <w:b/>
          <w:bCs/>
          <w:i/>
          <w:iCs/>
        </w:rPr>
        <w:t xml:space="preserve"> </w:t>
      </w:r>
      <w:r>
        <w:rPr>
          <w:b/>
          <w:bCs/>
          <w:i/>
          <w:iCs/>
        </w:rPr>
        <w:t xml:space="preserve">over</w:t>
      </w:r>
      <w:r>
        <w:rPr>
          <w:b/>
          <w:bCs/>
          <w:i/>
          <w:iCs/>
        </w:rPr>
        <w:t xml:space="preserve"> </w:t>
      </w:r>
      <w:r>
        <w:rPr>
          <w:b/>
          <w:bCs/>
          <w:i/>
          <w:iCs/>
        </w:rPr>
        <w:t xml:space="preserve">the</w:t>
      </w:r>
      <w:r>
        <w:rPr>
          <w:b/>
          <w:bCs/>
          <w:i/>
          <w:iCs/>
        </w:rPr>
        <w:t xml:space="preserve"> </w:t>
      </w:r>
      <w:r>
        <w:rPr>
          <w:b/>
          <w:bCs/>
          <w:i/>
          <w:iCs/>
        </w:rPr>
        <w:t xml:space="preserve">family</w:t>
      </w:r>
      <w:r>
        <w:rPr>
          <w:b/>
          <w:bCs/>
          <w:i/>
          <w:iCs/>
        </w:rPr>
        <w:t xml:space="preserve"> </w:t>
      </w:r>
      <w:r>
        <w:rPr>
          <w:b/>
          <w:bCs/>
          <w:i/>
          <w:iCs/>
        </w:rPr>
        <w:t xml:space="preserve">cemetery,</w:t>
      </w:r>
      <w:r>
        <w:rPr>
          <w:b/>
          <w:bCs/>
          <w:i/>
          <w:iCs/>
        </w:rPr>
        <w:t xml:space="preserve"> </w:t>
      </w:r>
      <w:r>
        <w:rPr>
          <w:b/>
          <w:bCs/>
          <w:i/>
          <w:iCs/>
        </w:rPr>
        <w:t xml:space="preserve">appellants</w:t>
      </w:r>
      <w:r>
        <w:rPr>
          <w:b/>
          <w:bCs/>
          <w:i/>
          <w:iCs/>
        </w:rPr>
        <w:t xml:space="preserve"> </w:t>
      </w:r>
      <w:r>
        <w:rPr>
          <w:b/>
          <w:bCs/>
          <w:i/>
          <w:iCs/>
        </w:rPr>
        <w:t xml:space="preserve">contested</w:t>
      </w:r>
      <w:r>
        <w:rPr>
          <w:b/>
          <w:bCs/>
          <w:i/>
          <w:iCs/>
        </w:rPr>
        <w:t xml:space="preserve"> </w:t>
      </w:r>
      <w:r>
        <w:rPr>
          <w:b/>
          <w:bCs/>
          <w:i/>
          <w:iCs/>
        </w:rPr>
        <w:t xml:space="preserve">such</w:t>
      </w:r>
      <w:r>
        <w:rPr>
          <w:b/>
          <w:bCs/>
          <w:i/>
          <w:iCs/>
        </w:rPr>
        <w:t xml:space="preserve"> </w:t>
      </w:r>
      <w:r>
        <w:rPr>
          <w:b/>
          <w:bCs/>
          <w:i/>
          <w:iCs/>
        </w:rPr>
        <w:t xml:space="preserve">control</w:t>
      </w:r>
      <w:r>
        <w:rPr>
          <w:b/>
          <w:bCs/>
          <w:i/>
          <w:iCs/>
        </w:rPr>
        <w:t xml:space="preserve"> </w:t>
      </w:r>
      <w:r>
        <w:rPr>
          <w:b/>
          <w:bCs/>
          <w:i/>
          <w:iCs/>
        </w:rPr>
        <w:t xml:space="preserve">at</w:t>
      </w:r>
      <w:r>
        <w:rPr>
          <w:b/>
          <w:bCs/>
          <w:i/>
          <w:iCs/>
        </w:rPr>
        <w:t xml:space="preserve"> </w:t>
      </w:r>
      <w:r>
        <w:rPr>
          <w:b/>
          <w:bCs/>
          <w:i/>
          <w:iCs/>
        </w:rPr>
        <w:t xml:space="preserve">every</w:t>
      </w:r>
      <w:r>
        <w:rPr>
          <w:b/>
          <w:bCs/>
          <w:i/>
          <w:iCs/>
        </w:rPr>
        <w:t xml:space="preserve"> </w:t>
      </w:r>
      <w:r>
        <w:rPr>
          <w:b/>
          <w:bCs/>
          <w:i/>
          <w:iCs/>
        </w:rPr>
        <w:t xml:space="preserve">turn.</w:t>
      </w:r>
    </w:p>
    <w:p>
      <w:pPr>
        <w:pStyle w:val="BodyText"/>
      </w:pPr>
      <w:r>
        <w:t xml:space="preserve">This case was about competing claims to control over a family cemetery by separate family groups. It does not appear that either group was well versed in the law. One group failed to recognize that it could not transfer an interest in real property from individuals or an unincorporated Arkansas entity to a separate Arkansas corporation merely by filing articles of incorporation. Meanwhile, the other group, operating simultaneously, was slow to realize that the control they thought they had as family members had purportedly been taken over by a corporation.</w:t>
      </w:r>
    </w:p>
    <w:p>
      <w:pPr>
        <w:pStyle w:val="BodyText"/>
      </w:pPr>
      <w:r>
        <w:t xml:space="preserve">After all, it is undisputed that Clyde had a working key to the property from 2009 to 2021. (RT 41). Moreover, appellants offered evidence that Clyde was elected president of the cemetery at a family meeting in September 2021. (RT 87, 103</w:t>
      </w:r>
      <w:r>
        <w:noBreakHyphen/>
      </w:r>
      <w:r>
        <w:t xml:space="preserve">104). Thus, painting over the contact information for persons he believed to be unauthorized to act for the family, and removing a lock that prevented his access, were not the actions of one who</w:t>
      </w:r>
      <w:r>
        <w:t xml:space="preserve"> </w:t>
      </w:r>
      <w:r>
        <w:t xml:space="preserve">“acquiesced”</w:t>
      </w:r>
      <w:r>
        <w:t xml:space="preserve"> </w:t>
      </w:r>
      <w:r>
        <w:t xml:space="preserve">in another’s claim to control over the property.</w:t>
      </w:r>
    </w:p>
    <w:p>
      <w:pPr>
        <w:pStyle w:val="BodyText"/>
      </w:pPr>
      <w:r>
        <w:t xml:space="preserve">And while Clyde subsequently took the ill-advised steps of recording a quitclaim deed granting title to himself and Violentee, and then identifying himself as president of the Association on a state filing, these steps were also direct challenges to the corporation’s claim of control over the property.</w:t>
      </w:r>
    </w:p>
    <w:p>
      <w:pPr>
        <w:keepNext/>
        <w:keepLines/>
        <w:spacing w:before="280" w:after="224" w:line="322" w:lineRule="exact"/>
        <w:ind w:left="720" w:hanging="720"/>
        <w:jc w:val="left"/>
      </w:pPr>
      <w:r>
        <w:rPr>
          <w:b/>
          <w:bCs/>
          <w:i/>
          <w:iCs/>
        </w:rPr>
        <w:t xml:space="preserve">g.</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merit</w:t>
      </w:r>
      <w:r>
        <w:rPr>
          <w:b/>
          <w:bCs/>
          <w:i/>
          <w:iCs/>
        </w:rPr>
        <w:t xml:space="preserve"> </w:t>
      </w:r>
      <w:r>
        <w:rPr>
          <w:b/>
          <w:bCs/>
          <w:i/>
          <w:iCs/>
        </w:rPr>
        <w:t xml:space="preserve">to</w:t>
      </w:r>
      <w:r>
        <w:rPr>
          <w:b/>
          <w:bCs/>
          <w:i/>
          <w:iCs/>
        </w:rPr>
        <w:t xml:space="preserve"> </w:t>
      </w:r>
      <w:r>
        <w:rPr>
          <w:b/>
          <w:bCs/>
          <w:i/>
          <w:iCs/>
        </w:rPr>
        <w:t xml:space="preserve">appellee’s</w:t>
      </w:r>
      <w:r>
        <w:rPr>
          <w:b/>
          <w:bCs/>
          <w:i/>
          <w:iCs/>
        </w:rPr>
        <w:t xml:space="preserve"> </w:t>
      </w:r>
      <w:r>
        <w:rPr>
          <w:b/>
          <w:bCs/>
          <w:i/>
          <w:iCs/>
        </w:rPr>
        <w:t xml:space="preserve">contention</w:t>
      </w:r>
      <w:r>
        <w:rPr>
          <w:b/>
          <w:bCs/>
          <w:i/>
          <w:iCs/>
        </w:rPr>
        <w:t xml:space="preserve"> </w:t>
      </w:r>
      <w:r>
        <w:rPr>
          <w:b/>
          <w:bCs/>
          <w:i/>
          <w:iCs/>
        </w:rPr>
        <w:t xml:space="preserve">on</w:t>
      </w:r>
      <w:r>
        <w:rPr>
          <w:b/>
          <w:bCs/>
          <w:i/>
          <w:iCs/>
        </w:rPr>
        <w:t xml:space="preserve"> </w:t>
      </w:r>
      <w:r>
        <w:rPr>
          <w:b/>
          <w:bCs/>
          <w:i/>
          <w:iCs/>
        </w:rPr>
        <w:t xml:space="preserve">appeal</w:t>
      </w:r>
      <w:r>
        <w:rPr>
          <w:b/>
          <w:bCs/>
          <w:i/>
          <w:iCs/>
        </w:rPr>
        <w:t xml:space="preserve"> </w:t>
      </w:r>
      <w:r>
        <w:rPr>
          <w:b/>
          <w:bCs/>
          <w:i/>
          <w:iCs/>
        </w:rPr>
        <w:t xml:space="preserve">that</w:t>
      </w:r>
      <w:r>
        <w:rPr>
          <w:b/>
          <w:bCs/>
          <w:i/>
          <w:iCs/>
        </w:rPr>
        <w:t xml:space="preserve"> </w:t>
      </w:r>
      <w:r>
        <w:rPr>
          <w:b/>
          <w:bCs/>
          <w:i/>
          <w:iCs/>
        </w:rPr>
        <w:t xml:space="preserve">it</w:t>
      </w:r>
      <w:r>
        <w:rPr>
          <w:b/>
          <w:bCs/>
          <w:i/>
          <w:iCs/>
        </w:rPr>
        <w:t xml:space="preserve"> </w:t>
      </w:r>
      <w:r>
        <w:rPr>
          <w:b/>
          <w:bCs/>
          <w:i/>
          <w:iCs/>
        </w:rPr>
        <w:t xml:space="preserve">actually</w:t>
      </w:r>
      <w:r>
        <w:rPr>
          <w:b/>
          <w:bCs/>
          <w:i/>
          <w:iCs/>
        </w:rPr>
        <w:t xml:space="preserve"> </w:t>
      </w:r>
      <w:r>
        <w:rPr>
          <w:b/>
          <w:bCs/>
          <w:i/>
          <w:iCs/>
        </w:rPr>
        <w:t xml:space="preserve">does</w:t>
      </w:r>
      <w:r>
        <w:rPr>
          <w:b/>
          <w:bCs/>
          <w:i/>
          <w:iCs/>
        </w:rPr>
        <w:t xml:space="preserve"> </w:t>
      </w:r>
      <w:r>
        <w:rPr>
          <w:b/>
          <w:bCs/>
          <w:i/>
          <w:iCs/>
        </w:rPr>
        <w:t xml:space="preserve">own</w:t>
      </w:r>
      <w:r>
        <w:rPr>
          <w:b/>
          <w:bCs/>
          <w:i/>
          <w:iCs/>
        </w:rPr>
        <w:t xml:space="preserve"> </w:t>
      </w:r>
      <w:r>
        <w:rPr>
          <w:b/>
          <w:bCs/>
          <w:i/>
          <w:iCs/>
        </w:rPr>
        <w:t xml:space="preserve">the</w:t>
      </w:r>
      <w:r>
        <w:rPr>
          <w:b/>
          <w:bCs/>
          <w:i/>
          <w:iCs/>
        </w:rPr>
        <w:t xml:space="preserve"> </w:t>
      </w:r>
      <w:r>
        <w:rPr>
          <w:b/>
          <w:bCs/>
          <w:i/>
          <w:iCs/>
        </w:rPr>
        <w:t xml:space="preserve">property,</w:t>
      </w:r>
      <w:r>
        <w:rPr>
          <w:b/>
          <w:bCs/>
          <w:i/>
          <w:iCs/>
        </w:rPr>
        <w:t xml:space="preserve"> </w:t>
      </w:r>
      <w:r>
        <w:rPr>
          <w:b/>
          <w:bCs/>
          <w:i/>
          <w:iCs/>
        </w:rPr>
        <w:t xml:space="preserve">given</w:t>
      </w:r>
      <w:r>
        <w:rPr>
          <w:b/>
          <w:bCs/>
          <w:i/>
          <w:iCs/>
        </w:rPr>
        <w:t xml:space="preserve"> </w:t>
      </w:r>
      <w:r>
        <w:rPr>
          <w:b/>
          <w:bCs/>
          <w:i/>
          <w:iCs/>
        </w:rPr>
        <w:t xml:space="preserve">its</w:t>
      </w:r>
      <w:r>
        <w:rPr>
          <w:b/>
          <w:bCs/>
          <w:i/>
          <w:iCs/>
        </w:rPr>
        <w:t xml:space="preserve"> </w:t>
      </w:r>
      <w:r>
        <w:rPr>
          <w:b/>
          <w:bCs/>
          <w:i/>
          <w:iCs/>
        </w:rPr>
        <w:t xml:space="preserve">admissions</w:t>
      </w:r>
      <w:r>
        <w:rPr>
          <w:b/>
          <w:bCs/>
          <w:i/>
          <w:iCs/>
        </w:rPr>
        <w:t xml:space="preserve"> </w:t>
      </w:r>
      <w:r>
        <w:rPr>
          <w:b/>
          <w:bCs/>
          <w:i/>
          <w:iCs/>
        </w:rPr>
        <w:t xml:space="preserve">below.</w:t>
      </w:r>
    </w:p>
    <w:p>
      <w:pPr>
        <w:pStyle w:val="BodyText"/>
      </w:pPr>
      <w:r>
        <w:t xml:space="preserve">Finally, a word must be said about appellee’s assertion on appeal that it does own the property. There is no credibility determination to be made here. April Harris testified unequivocally that there was no deed in the name of Hatchett-Bullock Cemetery Association, Inc. in the following exchange:</w:t>
      </w:r>
    </w:p>
    <w:p>
      <w:pPr>
        <w:pStyle w:val="XdQuoteFirst"/>
      </w:pPr>
      <w:r>
        <w:t xml:space="preserve">BY MR. HARRIS:</w:t>
      </w:r>
    </w:p>
    <w:p>
      <w:pPr>
        <w:pStyle w:val="XdQuote"/>
      </w:pPr>
      <w:r>
        <w:t xml:space="preserve">Q. Who filed this warranty deed you claim gives the association the authority?</w:t>
      </w:r>
    </w:p>
    <w:p>
      <w:pPr>
        <w:pStyle w:val="XdQuote"/>
      </w:pPr>
      <w:r>
        <w:t xml:space="preserve">A. Doc Hatchett, Jr.</w:t>
      </w:r>
    </w:p>
    <w:p>
      <w:pPr>
        <w:pStyle w:val="XdQuote"/>
      </w:pPr>
      <w:r>
        <w:t xml:space="preserve">Q. I’m sorry.</w:t>
      </w:r>
    </w:p>
    <w:p>
      <w:pPr>
        <w:pStyle w:val="XdQuote"/>
      </w:pPr>
      <w:r>
        <w:t xml:space="preserve">A. Doc Hatchett, Jr.</w:t>
      </w:r>
    </w:p>
    <w:p>
      <w:pPr>
        <w:pStyle w:val="XdQuote"/>
      </w:pPr>
      <w:r>
        <w:t xml:space="preserve">Q. So this was filed prior to 2009?</w:t>
      </w:r>
    </w:p>
    <w:p>
      <w:pPr>
        <w:pStyle w:val="XdQuote"/>
      </w:pPr>
      <w:r>
        <w:t xml:space="preserve">A. Yes.</w:t>
      </w:r>
    </w:p>
    <w:p>
      <w:pPr>
        <w:pStyle w:val="XdQuote"/>
      </w:pPr>
      <w:r>
        <w:t xml:space="preserve">Q. So there is no deed—to your knowledge, there’s no deed that has the name of the Hatchett-Bullock Cemetery Association, Inc.?</w:t>
      </w:r>
    </w:p>
    <w:p>
      <w:pPr>
        <w:pStyle w:val="XdQuoteLast"/>
      </w:pPr>
      <w:r>
        <w:t xml:space="preserve">A. Correct.</w:t>
      </w:r>
    </w:p>
    <w:p>
      <w:pPr>
        <w:pStyle w:val="BodyText"/>
      </w:pPr>
      <w:r>
        <w:t xml:space="preserve">(RT 57- 58). While she at one point claimed there was a deed to the Association from cemetery patriarch</w:t>
      </w:r>
      <w:r>
        <w:t xml:space="preserve"> </w:t>
      </w:r>
      <w:r>
        <w:t xml:space="preserve">“Doc”</w:t>
      </w:r>
      <w:r>
        <w:t xml:space="preserve"> </w:t>
      </w:r>
      <w:r>
        <w:t xml:space="preserve">Hatchett, she confessed that this man had died before the Association was incorporated in 2009. (RT 54</w:t>
      </w:r>
      <w:r>
        <w:noBreakHyphen/>
      </w:r>
      <w:r>
        <w:t xml:space="preserve">55).</w:t>
      </w:r>
    </w:p>
    <w:p>
      <w:pPr>
        <w:keepNext/>
        <w:keepLines/>
        <w:spacing w:before="336" w:after="280" w:line="322" w:lineRule="exact"/>
        <w:ind w:left="0" w:firstLine="0"/>
        <w:jc w:val="center"/>
      </w:pPr>
      <w:r>
        <w:rPr>
          <w:b/>
          <w:bCs/>
        </w:rPr>
        <w:t xml:space="preserve">CONCLUSION</w:t>
      </w:r>
    </w:p>
    <w:p>
      <w:pPr>
        <w:pStyle w:val="BodyText"/>
      </w:pPr>
      <w:r>
        <w:t xml:space="preserve">For all the reasons stated above, and for the reasons outlined in appellants’ opening brief, the order of the circuit court granting a final injunction should be reversed, insofar as it enjoins appellants from access to the family cemetery property.</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68" w:after="0" w:line="322" w:lineRule="exact"/>
              <w:ind w:left="4608" w:firstLine="0"/>
              <w:jc w:val="left"/>
            </w:pPr>
            <w:r>
              <w:t xml:space="preserve">WRIGHT,</w:t>
            </w:r>
            <w:r>
              <w:t xml:space="preserve"> </w:t>
            </w:r>
            <w:r>
              <w:t xml:space="preserve">LINDSEY</w:t>
            </w:r>
            <w:r>
              <w:t xml:space="preserve"> </w:t>
            </w:r>
            <w:r>
              <w:t xml:space="preserve">&amp;</w:t>
            </w:r>
            <w:r>
              <w:t xml:space="preserve"> </w:t>
            </w:r>
            <w:r>
              <w:t xml:space="preserve">JENNINGS</w:t>
            </w:r>
            <w:r>
              <w:t xml:space="preserve"> </w:t>
            </w:r>
            <w:r>
              <w:t xml:space="preserve">LLP</w:t>
            </w:r>
          </w:p>
          <w:p>
            <w:pPr>
              <w:spacing w:before="0" w:after="0" w:line="322" w:lineRule="exact"/>
              <w:ind w:left="4608" w:firstLine="0"/>
              <w:jc w:val="left"/>
            </w:pPr>
            <w:r>
              <w:t xml:space="preserve">200</w:t>
            </w:r>
            <w:r>
              <w:t xml:space="preserve"> </w:t>
            </w:r>
            <w:r>
              <w:t xml:space="preserve">West</w:t>
            </w:r>
            <w:r>
              <w:t xml:space="preserve"> </w:t>
            </w:r>
            <w:r>
              <w:t xml:space="preserve">Capitol</w:t>
            </w:r>
            <w:r>
              <w:t xml:space="preserve"> </w:t>
            </w:r>
            <w:r>
              <w:t xml:space="preserve">Avenue,</w:t>
            </w:r>
            <w:r>
              <w:t xml:space="preserve"> </w:t>
            </w:r>
            <w:r>
              <w:t xml:space="preserve">Suite</w:t>
            </w:r>
            <w:r>
              <w:t xml:space="preserve"> </w:t>
            </w:r>
            <w:r>
              <w:t xml:space="preserve">2300</w:t>
            </w:r>
          </w:p>
          <w:p>
            <w:pPr>
              <w:spacing w:before="0" w:after="0" w:line="322" w:lineRule="exact"/>
              <w:ind w:left="4608" w:firstLine="0"/>
              <w:jc w:val="left"/>
            </w:pPr>
            <w:r>
              <w:t xml:space="preserve">Little</w:t>
            </w:r>
            <w:r>
              <w:t xml:space="preserve"> </w:t>
            </w:r>
            <w:r>
              <w:t xml:space="preserve">Rock,</w:t>
            </w:r>
            <w:r>
              <w:t xml:space="preserve"> </w:t>
            </w:r>
            <w:r>
              <w:t xml:space="preserve">Arkansas</w:t>
            </w:r>
            <w:r>
              <w:t xml:space="preserve"> </w:t>
            </w:r>
            <w:r>
              <w:t xml:space="preserve">72201</w:t>
              <w:noBreakHyphen/>
              <w:t xml:space="preserve">3699</w:t>
            </w:r>
          </w:p>
          <w:p>
            <w:pPr>
              <w:spacing w:before="0" w:after="0" w:line="322" w:lineRule="exact"/>
              <w:ind w:left="4608" w:firstLine="0"/>
              <w:jc w:val="left"/>
            </w:pPr>
            <w:r>
              <w:t xml:space="preserve">(501)</w:t>
            </w:r>
            <w:r>
              <w:t xml:space="preserve"> </w:t>
            </w:r>
            <w:r>
              <w:t xml:space="preserve">371</w:t>
              <w:noBreakHyphen/>
              <w:t xml:space="preserve">0808</w:t>
            </w:r>
          </w:p>
          <w:p>
            <w:pPr>
              <w:spacing w:before="0" w:after="0" w:line="322" w:lineRule="exact"/>
              <w:ind w:left="4608" w:firstLine="0"/>
              <w:jc w:val="left"/>
            </w:pPr>
            <w:r>
              <w:t xml:space="preserve">FAX:</w:t>
            </w:r>
            <w:r>
              <w:t xml:space="preserve"> </w:t>
            </w:r>
            <w:r>
              <w:t xml:space="preserve">(501)</w:t>
            </w:r>
            <w:r>
              <w:t xml:space="preserve"> </w:t>
            </w:r>
            <w:r>
              <w:t xml:space="preserve">376</w:t>
              <w:noBreakHyphen/>
              <w:t xml:space="preserve">9442</w:t>
            </w:r>
          </w:p>
          <w:p>
            <w:pPr>
              <w:spacing w:before="0" w:after="0" w:line="322" w:lineRule="exact"/>
              <w:ind w:left="4608" w:firstLine="0"/>
              <w:jc w:val="left"/>
            </w:pPr>
            <w:r>
              <w:t xml:space="preserve">tprice@wlj.com</w:t>
            </w:r>
          </w:p>
          <w:p>
            <w:pPr>
              <w:spacing w:before="0" w:after="0" w:line="322" w:lineRule="exact"/>
              <w:ind w:left="4608" w:firstLine="0"/>
              <w:jc w:val="left"/>
            </w:pPr>
            <w:r>
              <w:t xml:space="preserve">aphillips@wlj.com</w:t>
            </w:r>
          </w:p>
          <w:p>
            <w:pPr>
              <w:spacing w:before="168" w:after="0" w:line="322" w:lineRule="exact"/>
              <w:ind w:left="4608" w:firstLine="0"/>
              <w:jc w:val="left"/>
            </w:pPr>
            <w:r>
              <w:rPr>
                <w:u w:val="single"/>
              </w:rPr>
              <w:t xml:space="preserve">/s/</w:t>
            </w:r>
            <w:r>
              <w:rPr>
                <w:u w:val="single"/>
              </w:rPr>
              <w:t xml:space="preserve"> </w:t>
            </w:r>
            <w:r>
              <w:rPr>
                <w:u w:val="single"/>
              </w:rPr>
              <w:t xml:space="preserve">Troy</w:t>
            </w:r>
            <w:r>
              <w:rPr>
                <w:u w:val="single"/>
              </w:rPr>
              <w:t xml:space="preserve"> </w:t>
            </w:r>
            <w:r>
              <w:rPr>
                <w:u w:val="single"/>
              </w:rPr>
              <w:t xml:space="preserve">A.</w:t>
            </w:r>
            <w:r>
              <w:rPr>
                <w:u w:val="single"/>
              </w:rPr>
              <w:t xml:space="preserve"> </w:t>
            </w:r>
            <w:r>
              <w:rPr>
                <w:u w:val="single"/>
              </w:rPr>
              <w:t xml:space="preserve">Price</w:t>
            </w:r>
          </w:p>
          <w:p>
            <w:pPr>
              <w:spacing w:before="0" w:after="0" w:line="322" w:lineRule="exact"/>
              <w:ind w:left="4608" w:firstLine="0"/>
              <w:jc w:val="left"/>
            </w:pPr>
            <w:r>
              <w:t xml:space="preserve">Troy</w:t>
            </w:r>
            <w:r>
              <w:t xml:space="preserve"> </w:t>
            </w:r>
            <w:r>
              <w:t xml:space="preserve">A.</w:t>
            </w:r>
            <w:r>
              <w:t xml:space="preserve"> </w:t>
            </w:r>
            <w:r>
              <w:t xml:space="preserve">Price</w:t>
            </w:r>
            <w:r>
              <w:t xml:space="preserve"> </w:t>
            </w:r>
            <w:r>
              <w:t xml:space="preserve">(88010)</w:t>
            </w:r>
          </w:p>
          <w:p>
            <w:pPr>
              <w:spacing w:before="0" w:after="0" w:line="322" w:lineRule="exact"/>
              <w:ind w:left="4608" w:firstLine="0"/>
              <w:jc w:val="left"/>
            </w:pPr>
            <w:r>
              <w:t xml:space="preserve">Antwan</w:t>
            </w:r>
            <w:r>
              <w:t xml:space="preserve"> </w:t>
            </w:r>
            <w:r>
              <w:t xml:space="preserve">D.</w:t>
            </w:r>
            <w:r>
              <w:t xml:space="preserve"> </w:t>
            </w:r>
            <w:r>
              <w:t xml:space="preserve">Phillips</w:t>
            </w:r>
            <w:r>
              <w:t xml:space="preserve"> </w:t>
            </w:r>
            <w:r>
              <w:t xml:space="preserve">(2010027)</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Clyde</w:t>
            </w:r>
            <w:r>
              <w:rPr>
                <w:i/>
                <w:iCs/>
              </w:rPr>
              <w:t xml:space="preserve"> </w:t>
            </w:r>
            <w:r>
              <w:rPr>
                <w:i/>
                <w:iCs/>
              </w:rPr>
              <w:t xml:space="preserve">Hatchett,</w:t>
            </w:r>
            <w:r>
              <w:rPr>
                <w:i/>
                <w:iCs/>
              </w:rPr>
              <w:t xml:space="preserve"> </w:t>
            </w:r>
            <w:r>
              <w:rPr>
                <w:i/>
                <w:iCs/>
              </w:rPr>
              <w:t xml:space="preserve">Sr.,</w:t>
            </w:r>
            <w:r>
              <w:rPr>
                <w:i/>
                <w:iCs/>
              </w:rPr>
              <w:t xml:space="preserve"> </w:t>
            </w:r>
            <w:r>
              <w:rPr>
                <w:i/>
                <w:iCs/>
              </w:rPr>
              <w:t xml:space="preserve">and</w:t>
            </w:r>
            <w:r>
              <w:rPr>
                <w:i/>
                <w:iCs/>
              </w:rPr>
              <w:t xml:space="preserve"> </w:t>
            </w:r>
            <w:r>
              <w:rPr>
                <w:i/>
                <w:iCs/>
              </w:rPr>
              <w:t xml:space="preserve">Violentee</w:t>
            </w:r>
            <w:r>
              <w:rPr>
                <w:i/>
                <w:iCs/>
              </w:rPr>
              <w:t xml:space="preserve"> </w:t>
            </w:r>
            <w:r>
              <w:rPr>
                <w:i/>
                <w:iCs/>
              </w:rPr>
              <w:t xml:space="preserve">Hatchett</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on August 2, 2024, I filed this brief using the Court’s eFlex filing system, which will serve a copy on all counsel of record, and that a copy will be emailed on August 2, 2024, to the Honorable Morgan E. Welch, Jr.</w:t>
      </w:r>
    </w:p>
    <w:p>
      <w:pPr>
        <w:pStyle w:val="XdTail"/>
      </w:pPr>
      <w:r>
        <w:t xml:space="preserve">/s/ Troy A. Price</w:t>
      </w:r>
    </w:p>
    <w:p>
      <w:pPr>
        <w:pStyle w:val="XdTail"/>
      </w:pPr>
      <w:r>
        <w:t xml:space="preserve">Troy A. Price</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certify that this brief complies with Administrative Order No. 19, that it complies with Administrative Order No. 21, Section 9, and that it conforms to the word-count limitations in Rule 4</w:t>
      </w:r>
      <w:r>
        <w:noBreakHyphen/>
      </w:r>
      <w:r>
        <w:t xml:space="preserve">2(d) of this court’s rules. The sections specified in Rule 4</w:t>
      </w:r>
      <w:r>
        <w:noBreakHyphen/>
      </w:r>
      <w:r>
        <w:t xml:space="preserve">2(d) as counting against the word-count limitation altogether contain 1,741 words.</w:t>
      </w:r>
    </w:p>
    <w:p>
      <w:pPr>
        <w:pStyle w:val="XdTail"/>
      </w:pPr>
      <w:r>
        <w:t xml:space="preserve">/s/ Troy A. Price</w:t>
      </w:r>
    </w:p>
    <w:p>
      <w:pPr>
        <w:pStyle w:val="XdTail"/>
      </w:pPr>
      <w:r>
        <w:t xml:space="preserve">Troy A. Price</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Town of Gravette v. Veach</w:t>
      </w:r>
      <w:r>
        <w:t xml:space="preserve">, 186 Ark 544, 54 S.W.2d 704 (1932), overruled in part on other grounds,</w:t>
      </w:r>
      <w:r>
        <w:t xml:space="preserve"> </w:t>
      </w:r>
      <w:r>
        <w:rPr>
          <w:i/>
          <w:iCs/>
        </w:rPr>
        <w:t xml:space="preserve">Lael v. Crook</w:t>
      </w:r>
      <w:r>
        <w:t xml:space="preserve">, 192 Ark. 1115, 97 S.W.2d 436 (1936).</w:t>
      </w:r>
    </w:p>
  </w:footnote>
  <w:footnote w:id="10">
    <w:p>
      <w:pPr>
        <w:pStyle w:val="FootnoteText"/>
      </w:pPr>
      <w:r>
        <w:rPr>
          <w:rStyle w:val="FootnoteReference"/>
        </w:rPr>
        <w:footnoteRef/>
      </w:r>
      <w:r>
        <w:t xml:space="preserve"> </w:t>
      </w:r>
      <w:r>
        <w:t xml:space="preserve">Appellants note that the mere reference to the status of Clyde Hatchett, Sr., as one of the grandsons of</w:t>
      </w:r>
      <w:r>
        <w:t xml:space="preserve"> </w:t>
      </w:r>
      <w:r>
        <w:t xml:space="preserve">“Doc”</w:t>
      </w:r>
      <w:r>
        <w:t xml:space="preserve"> </w:t>
      </w:r>
      <w:r>
        <w:t xml:space="preserve">Hatchett does not waive rights on appeal as to Violentee Hatchett. The issue identified in the</w:t>
      </w:r>
      <w:r>
        <w:t xml:space="preserve"> </w:t>
      </w:r>
      <w:r>
        <w:t xml:space="preserve">“Points on Appeal”</w:t>
      </w:r>
      <w:r>
        <w:t xml:space="preserve"> </w:t>
      </w:r>
      <w:r>
        <w:t xml:space="preserve">section of the opening brief applies to both appellants.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