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432" w:after="0" w:line="299" w:lineRule="exact"/>
        <w:ind w:left="0" w:firstLine="0"/>
        <w:jc w:val="center"/>
      </w:pPr>
      <w:r>
        <w:rPr>
          <w:b/>
          <w:bCs/>
        </w:rPr>
        <w:t xml:space="preserve">No.</w:t>
      </w:r>
      <w:r>
        <w:rPr>
          <w:b/>
          <w:bCs/>
        </w:rPr>
        <w:t xml:space="preserve"> </w:t>
      </w:r>
      <w:r>
        <w:rPr>
          <w:b/>
          <w:bCs/>
        </w:rPr>
        <w:t xml:space="preserve">17</w:t>
        <w:noBreakHyphen/>
        <w:t xml:space="preserve">118640-A</w:t>
      </w:r>
    </w:p>
    <w:p>
      <w:pPr>
        <w:spacing w:before="432" w:after="0" w:line="299" w:lineRule="exact"/>
        <w:ind w:left="0" w:firstLine="0"/>
        <w:jc w:val="center"/>
      </w:pPr>
      <w:r>
        <w:t xml:space="preserve">STATE</w:t>
      </w:r>
      <w:r>
        <w:t xml:space="preserve"> </w:t>
      </w:r>
      <w:r>
        <w:t xml:space="preserve">OF</w:t>
      </w:r>
      <w:r>
        <w:t xml:space="preserve"> </w:t>
      </w:r>
      <w:r>
        <w:t xml:space="preserve">KANSAS,</w:t>
      </w:r>
    </w:p>
    <w:p>
      <w:pPr>
        <w:spacing w:before="0" w:after="0" w:line="299" w:lineRule="exact"/>
        <w:ind w:left="0" w:firstLine="0"/>
        <w:jc w:val="center"/>
      </w:pPr>
      <w:r>
        <w:rPr>
          <w:i/>
          <w:iCs/>
        </w:rPr>
        <w:t xml:space="preserve">Plaintiff-Appellant,</w:t>
      </w:r>
    </w:p>
    <w:p>
      <w:pPr>
        <w:spacing w:before="288" w:after="288" w:line="299" w:lineRule="exact"/>
        <w:ind w:left="0" w:firstLine="0"/>
        <w:jc w:val="center"/>
      </w:pPr>
      <w:r>
        <w:t xml:space="preserve">v.</w:t>
      </w:r>
    </w:p>
    <w:p>
      <w:pPr>
        <w:spacing w:before="0" w:after="0" w:line="299" w:lineRule="exact"/>
        <w:ind w:left="0" w:firstLine="0"/>
        <w:jc w:val="center"/>
      </w:pPr>
      <w:r>
        <w:t xml:space="preserve">LEE</w:t>
      </w:r>
      <w:r>
        <w:t xml:space="preserve"> </w:t>
      </w:r>
      <w:r>
        <w:t xml:space="preserve">SAWYZER</w:t>
      </w:r>
      <w:r>
        <w:t xml:space="preserve"> </w:t>
      </w:r>
      <w:r>
        <w:t xml:space="preserve">SANDERS,</w:t>
      </w:r>
    </w:p>
    <w:p>
      <w:pPr>
        <w:spacing w:before="0" w:after="0" w:line="299" w:lineRule="exact"/>
        <w:ind w:left="0" w:firstLine="0"/>
        <w:jc w:val="center"/>
      </w:pPr>
      <w:r>
        <w:rPr>
          <w:i/>
          <w:iCs/>
        </w:rPr>
        <w:t xml:space="preserve">Defendant-Appellee</w:t>
      </w:r>
    </w:p>
    <w:p>
      <w:pPr>
        <w:spacing w:before="43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Shawnee</w:t>
      </w:r>
      <w:r>
        <w:t xml:space="preserve"> </w:t>
      </w:r>
      <w:r>
        <w:t xml:space="preserve">County,</w:t>
      </w:r>
      <w:r>
        <w:t xml:space="preserve"> </w:t>
      </w:r>
      <w:r>
        <w:t xml:space="preserve">Kansas</w:t>
      </w:r>
    </w:p>
    <w:p>
      <w:pPr>
        <w:spacing w:before="0" w:after="0" w:line="299" w:lineRule="exact"/>
        <w:ind w:left="0" w:firstLine="0"/>
        <w:jc w:val="center"/>
      </w:pPr>
      <w:r>
        <w:t xml:space="preserve">Honorable</w:t>
      </w:r>
      <w:r>
        <w:t xml:space="preserve"> </w:t>
      </w:r>
      <w:r>
        <w:t xml:space="preserve">Mark</w:t>
      </w:r>
      <w:r>
        <w:t xml:space="preserve"> </w:t>
      </w:r>
      <w:r>
        <w:t xml:space="preserve">Braun,</w:t>
      </w:r>
      <w:r>
        <w:t xml:space="preserve"> </w:t>
      </w:r>
      <w:r>
        <w:t xml:space="preserve">District</w:t>
      </w:r>
      <w:r>
        <w:t xml:space="preserve"> </w:t>
      </w:r>
      <w:r>
        <w:t xml:space="preserve">Judge</w:t>
      </w:r>
    </w:p>
    <w:p>
      <w:pPr>
        <w:spacing w:before="0" w:after="0" w:line="299" w:lineRule="exact"/>
        <w:ind w:left="0" w:firstLine="0"/>
        <w:jc w:val="center"/>
      </w:pPr>
      <w:r>
        <w:t xml:space="preserve">District</w:t>
      </w:r>
      <w:r>
        <w:t xml:space="preserve"> </w:t>
      </w:r>
      <w:r>
        <w:t xml:space="preserve">Court</w:t>
      </w:r>
      <w:r>
        <w:t xml:space="preserve"> </w:t>
      </w:r>
      <w:r>
        <w:t xml:space="preserve">Case</w:t>
      </w:r>
      <w:r>
        <w:t xml:space="preserve"> </w:t>
      </w:r>
      <w:r>
        <w:t xml:space="preserve">No.</w:t>
      </w:r>
      <w:r>
        <w:t xml:space="preserve"> </w:t>
      </w:r>
      <w:r>
        <w:t xml:space="preserve">16</w:t>
      </w:r>
      <w:r>
        <w:t xml:space="preserve"> </w:t>
      </w:r>
      <w:r>
        <w:t xml:space="preserve">CR</w:t>
      </w:r>
      <w:r>
        <w:t xml:space="preserve"> </w:t>
      </w:r>
      <w:r>
        <w:t xml:space="preserve">2341</w:t>
      </w:r>
    </w:p>
    <w:p>
      <w:pPr>
        <w:spacing w:before="1440" w:after="0" w:line="368" w:lineRule="exact"/>
        <w:ind w:left="0" w:firstLine="0"/>
        <w:jc w:val="center"/>
      </w:pPr>
      <w:r>
        <w:rPr>
          <w:b/>
          <w:bCs/>
          <w:sz w:val="32"/>
          <w:szCs w:val="32"/>
        </w:rPr>
        <w:t xml:space="preserve">REPLY</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w:t>
      </w:r>
    </w:p>
    <w:p>
      <w:pPr>
        <w:spacing w:before="1440" w:after="0" w:line="299" w:lineRule="exact"/>
        <w:ind w:left="4608" w:firstLine="0"/>
        <w:jc w:val="left"/>
      </w:pPr>
      <w:r>
        <w:rPr>
          <w:b/>
          <w:bCs/>
        </w:rPr>
        <w:t xml:space="preserve">RACHEL</w:t>
      </w:r>
      <w:r>
        <w:rPr>
          <w:b/>
          <w:bCs/>
        </w:rPr>
        <w:t xml:space="preserve"> </w:t>
      </w:r>
      <w:r>
        <w:rPr>
          <w:b/>
          <w:bCs/>
        </w:rPr>
        <w:t xml:space="preserve">L.</w:t>
      </w:r>
      <w:r>
        <w:rPr>
          <w:b/>
          <w:bCs/>
        </w:rPr>
        <w:t xml:space="preserve"> </w:t>
      </w:r>
      <w:r>
        <w:rPr>
          <w:b/>
          <w:bCs/>
        </w:rPr>
        <w:t xml:space="preserve">PICKERING,</w:t>
      </w:r>
      <w:r>
        <w:rPr>
          <w:b/>
          <w:bCs/>
        </w:rPr>
        <w:t xml:space="preserve"> </w:t>
      </w:r>
      <w:r>
        <w:rPr>
          <w:b/>
          <w:bCs/>
        </w:rPr>
        <w:t xml:space="preserve">#21747</w:t>
      </w:r>
    </w:p>
    <w:p>
      <w:pPr>
        <w:spacing w:before="0" w:after="0" w:line="299" w:lineRule="exact"/>
        <w:ind w:left="4608" w:firstLine="0"/>
        <w:jc w:val="left"/>
      </w:pPr>
      <w:r>
        <w:t xml:space="preserve">Assistant</w:t>
      </w:r>
      <w:r>
        <w:t xml:space="preserve"> </w:t>
      </w:r>
      <w:r>
        <w:t xml:space="preserve">Solicitor</w:t>
      </w:r>
      <w:r>
        <w:t xml:space="preserve"> </w:t>
      </w:r>
      <w:r>
        <w:t xml:space="preserve">General</w:t>
      </w:r>
    </w:p>
    <w:p>
      <w:pPr>
        <w:spacing w:before="0" w:after="0" w:line="299" w:lineRule="exact"/>
        <w:ind w:left="4608" w:firstLine="0"/>
        <w:jc w:val="left"/>
      </w:pPr>
      <w:r>
        <w:t xml:space="preserve">Office</w:t>
      </w:r>
      <w:r>
        <w:t xml:space="preserve"> </w:t>
      </w:r>
      <w:r>
        <w:t xml:space="preserve">of</w:t>
      </w:r>
      <w:r>
        <w:t xml:space="preserve"> </w:t>
      </w:r>
      <w:r>
        <w:t xml:space="preserve">the</w:t>
      </w:r>
      <w:r>
        <w:t xml:space="preserve"> </w:t>
      </w:r>
      <w:r>
        <w:t xml:space="preserve">Kansas</w:t>
      </w:r>
      <w:r>
        <w:t xml:space="preserve"> </w:t>
      </w:r>
      <w:r>
        <w:t xml:space="preserve">Attorney</w:t>
      </w:r>
      <w:r>
        <w:t xml:space="preserve"> </w:t>
      </w:r>
      <w:r>
        <w:t xml:space="preserve">General</w:t>
      </w:r>
    </w:p>
    <w:p>
      <w:pPr>
        <w:spacing w:before="0" w:after="0" w:line="299" w:lineRule="exact"/>
        <w:ind w:left="4608" w:firstLine="0"/>
        <w:jc w:val="left"/>
      </w:pPr>
      <w:r>
        <w:t xml:space="preserve">120</w:t>
      </w:r>
      <w:r>
        <w:t xml:space="preserve"> </w:t>
      </w:r>
      <w:r>
        <w:t xml:space="preserve">SW</w:t>
      </w:r>
      <w:r>
        <w:t xml:space="preserve"> </w:t>
      </w:r>
      <w:r>
        <w:t xml:space="preserve">10th</w:t>
      </w:r>
      <w:r>
        <w:t xml:space="preserve"> </w:t>
      </w:r>
      <w:r>
        <w:t xml:space="preserve">Ave.,</w:t>
      </w:r>
      <w:r>
        <w:t xml:space="preserve"> </w:t>
      </w:r>
      <w:r>
        <w:t xml:space="preserve">2nd</w:t>
      </w:r>
      <w:r>
        <w:t xml:space="preserve"> </w:t>
      </w:r>
      <w:r>
        <w:t xml:space="preserve">Floor</w:t>
      </w:r>
    </w:p>
    <w:p>
      <w:pPr>
        <w:spacing w:before="0" w:after="0" w:line="299" w:lineRule="exact"/>
        <w:ind w:left="4608" w:firstLine="0"/>
        <w:jc w:val="left"/>
      </w:pPr>
      <w:r>
        <w:t xml:space="preserve">Topeka,</w:t>
      </w:r>
      <w:r>
        <w:t xml:space="preserve"> </w:t>
      </w:r>
      <w:r>
        <w:t xml:space="preserve">KS</w:t>
      </w:r>
      <w:r>
        <w:t xml:space="preserve"> </w:t>
      </w:r>
      <w:r>
        <w:t xml:space="preserve">66612</w:t>
      </w:r>
    </w:p>
    <w:p>
      <w:pPr>
        <w:spacing w:before="0" w:after="0" w:line="299" w:lineRule="exact"/>
        <w:ind w:left="4608" w:firstLine="0"/>
        <w:jc w:val="left"/>
      </w:pPr>
      <w:r>
        <w:t xml:space="preserve">(785)</w:t>
      </w:r>
      <w:r>
        <w:t xml:space="preserve"> </w:t>
      </w:r>
      <w:r>
        <w:t xml:space="preserve">296</w:t>
        <w:noBreakHyphen/>
        <w:t xml:space="preserve">2215</w:t>
      </w:r>
    </w:p>
    <w:p>
      <w:pPr>
        <w:spacing w:before="0" w:after="0" w:line="299" w:lineRule="exact"/>
        <w:ind w:left="4608" w:firstLine="0"/>
        <w:jc w:val="left"/>
      </w:pPr>
      <w:r>
        <w:t xml:space="preserve">(785)</w:t>
      </w:r>
      <w:r>
        <w:t xml:space="preserve"> </w:t>
      </w:r>
      <w:r>
        <w:t xml:space="preserve">291</w:t>
        <w:noBreakHyphen/>
        <w:t xml:space="preserve">3131</w:t>
      </w:r>
      <w:r>
        <w:t xml:space="preserve"> </w:t>
      </w:r>
      <w:r>
        <w:t xml:space="preserve">(fax)</w:t>
      </w:r>
    </w:p>
    <w:p>
      <w:pPr>
        <w:spacing w:before="0" w:after="0" w:line="299" w:lineRule="exact"/>
        <w:ind w:left="4608" w:firstLine="0"/>
        <w:jc w:val="left"/>
      </w:pPr>
      <w:r>
        <w:t xml:space="preserve">rachel.pickering@ag.ks.gov</w:t>
      </w:r>
    </w:p>
    <w:p>
      <w:pPr>
        <w:spacing w:before="0" w:after="0" w:line="299"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Appellant</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720" w:right="720" w:hanging="720"/>
      </w:pPr>
      <w:r>
        <w:t xml:space="preserve">Posture</w:t>
      </w:r>
      <w:r>
        <w:t xml:space="preserve"> </w:t>
      </w:r>
      <w:r>
        <w:t xml:space="preserve">of</w:t>
      </w:r>
      <w:r>
        <w:t xml:space="preserve"> </w:t>
      </w:r>
      <w:r>
        <w:t xml:space="preserve">Case</w:t>
      </w:r>
      <w:r>
        <w:t xml:space="preserve">   </w:t>
      </w:r>
      <w:r>
        <w:tab/>
      </w:r>
      <w:r>
        <w:t xml:space="preserve">4</w:t>
      </w:r>
    </w:p>
    <w:p>
      <w:pPr>
        <w:keepLines/>
        <w:tabs>
          <w:tab w:val="right" w:leader="dot" w:pos="9360"/>
        </w:tabs>
        <w:spacing w:before="234" w:after="0" w:line="299" w:lineRule="exact"/>
        <w:ind w:left="1110" w:right="720" w:hanging="720"/>
      </w:pPr>
      <w:r>
        <w:t xml:space="preserve">Issue:</w:t>
      </w:r>
      <w:r>
        <w:t xml:space="preserve"> </w:t>
      </w: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Sanders’</w:t>
      </w:r>
      <w:r>
        <w:t xml:space="preserve"> </w:t>
      </w:r>
      <w:r>
        <w:t xml:space="preserve">suppression</w:t>
      </w:r>
      <w:r>
        <w:t xml:space="preserve"> </w:t>
      </w:r>
      <w:r>
        <w:t xml:space="preserve">motion.</w:t>
      </w:r>
      <w:r>
        <w:t xml:space="preserve">   </w:t>
      </w:r>
      <w:r>
        <w:tab/>
      </w:r>
      <w:r>
        <w:t xml:space="preserve">4</w:t>
      </w:r>
    </w:p>
    <w:p>
      <w:pPr>
        <w:keepLines/>
        <w:tabs>
          <w:tab w:val="right" w:leader="dot" w:pos="9360"/>
        </w:tabs>
        <w:spacing w:before="234" w:after="0" w:line="299" w:lineRule="exact"/>
        <w:ind w:left="1110" w:right="720" w:hanging="720"/>
      </w:pPr>
      <w:r>
        <w:t xml:space="preserve">Application</w:t>
      </w:r>
      <w:r>
        <w:t xml:space="preserve"> </w:t>
      </w:r>
      <w:r>
        <w:t xml:space="preserve">of</w:t>
      </w:r>
      <w:r>
        <w:t xml:space="preserve"> </w:t>
      </w:r>
      <w:r>
        <w:t xml:space="preserve">Sup.</w:t>
      </w:r>
      <w:r>
        <w:t xml:space="preserve"> </w:t>
      </w:r>
      <w:r>
        <w:t xml:space="preserve">Ct.</w:t>
      </w:r>
      <w:r>
        <w:t xml:space="preserve"> </w:t>
      </w:r>
      <w:r>
        <w:t xml:space="preserve">R.</w:t>
      </w:r>
      <w:r>
        <w:t xml:space="preserve"> </w:t>
      </w:r>
      <w:r>
        <w:t xml:space="preserve">6.05</w:t>
      </w:r>
      <w:r>
        <w:t xml:space="preserve"> </w:t>
      </w:r>
      <w:r>
        <w:t xml:space="preserve">to</w:t>
      </w:r>
      <w:r>
        <w:t xml:space="preserve"> </w:t>
      </w:r>
      <w:r>
        <w:t xml:space="preserve">Issue</w:t>
      </w:r>
      <w:r>
        <w:t xml:space="preserve"> </w:t>
      </w:r>
      <w:r>
        <w:t xml:space="preserve">1</w:t>
      </w:r>
      <w:r>
        <w:t xml:space="preserve">   </w:t>
      </w:r>
      <w:r>
        <w:tab/>
      </w:r>
      <w:r>
        <w:t xml:space="preserve">4</w:t>
      </w:r>
    </w:p>
    <w:p>
      <w:pPr>
        <w:keepLines/>
        <w:tabs>
          <w:tab w:val="right" w:leader="dot" w:pos="9360"/>
        </w:tabs>
        <w:spacing w:before="234" w:after="0" w:line="299" w:lineRule="exact"/>
        <w:ind w:left="1500" w:right="720" w:hanging="720"/>
      </w:pPr>
      <w:r>
        <w:t xml:space="preserve">Purpose</w:t>
      </w:r>
      <w:r>
        <w:t xml:space="preserve"> </w:t>
      </w:r>
      <w:r>
        <w:t xml:space="preserve">of</w:t>
      </w:r>
      <w:r>
        <w:t xml:space="preserve"> </w:t>
      </w:r>
      <w:r>
        <w:t xml:space="preserve">having</w:t>
      </w:r>
      <w:r>
        <w:t xml:space="preserve"> </w:t>
      </w:r>
      <w:r>
        <w:t xml:space="preserve">the</w:t>
      </w:r>
      <w:r>
        <w:t xml:space="preserve"> </w:t>
      </w:r>
      <w:r>
        <w:t xml:space="preserve">issue</w:t>
      </w:r>
      <w:r>
        <w:t xml:space="preserve"> </w:t>
      </w:r>
      <w:r>
        <w:t xml:space="preserve">first</w:t>
      </w:r>
      <w:r>
        <w:t xml:space="preserve"> </w:t>
      </w:r>
      <w:r>
        <w:t xml:space="preserve">raised</w:t>
      </w:r>
      <w:r>
        <w:t xml:space="preserve"> </w:t>
      </w:r>
      <w:r>
        <w:t xml:space="preserve">in</w:t>
      </w:r>
      <w:r>
        <w:t xml:space="preserve"> </w:t>
      </w:r>
      <w:r>
        <w:t xml:space="preserve">district</w:t>
      </w:r>
      <w:r>
        <w:t xml:space="preserve"> </w:t>
      </w:r>
      <w:r>
        <w:t xml:space="preserve">court.</w:t>
      </w:r>
      <w:r>
        <w:t xml:space="preserve">   </w:t>
      </w:r>
      <w:r>
        <w:tab/>
      </w:r>
      <w:r>
        <w:t xml:space="preserve">4</w:t>
      </w:r>
    </w:p>
    <w:p>
      <w:pPr>
        <w:keepLines/>
        <w:tabs>
          <w:tab w:val="right" w:leader="dot" w:pos="9360"/>
        </w:tabs>
        <w:spacing w:before="234" w:after="0" w:line="299" w:lineRule="exact"/>
        <w:ind w:left="1500" w:right="720" w:hanging="720"/>
      </w:pPr>
      <w:r>
        <w:t xml:space="preserve">Inevitable</w:t>
      </w:r>
      <w:r>
        <w:t xml:space="preserve"> </w:t>
      </w:r>
      <w:r>
        <w:t xml:space="preserve">discovery</w:t>
      </w:r>
      <w:r>
        <w:t xml:space="preserve">   </w:t>
      </w:r>
      <w:r>
        <w:tab/>
      </w:r>
      <w:r>
        <w:t xml:space="preserve">7</w:t>
      </w:r>
    </w:p>
    <w:p>
      <w:pPr>
        <w:keepLines/>
        <w:tabs>
          <w:tab w:val="right" w:leader="dot" w:pos="9360"/>
        </w:tabs>
        <w:spacing w:before="234" w:after="0" w:line="299" w:lineRule="exact"/>
        <w:ind w:left="1500" w:right="720" w:hanging="720"/>
      </w:pPr>
      <w:r>
        <w:t xml:space="preserve">District</w:t>
      </w:r>
      <w:r>
        <w:t xml:space="preserve"> </w:t>
      </w:r>
      <w:r>
        <w:t xml:space="preserve">court’s</w:t>
      </w:r>
      <w:r>
        <w:t xml:space="preserve"> </w:t>
      </w:r>
      <w:r>
        <w:t xml:space="preserve">assessment</w:t>
      </w:r>
      <w:r>
        <w:t xml:space="preserve"> </w:t>
      </w:r>
      <w:r>
        <w:t xml:space="preserve">of</w:t>
      </w:r>
      <w:r>
        <w:t xml:space="preserve"> </w:t>
      </w:r>
      <w:r>
        <w:t xml:space="preserve">officers’</w:t>
      </w:r>
      <w:r>
        <w:t xml:space="preserve"> </w:t>
      </w:r>
      <w:r>
        <w:t xml:space="preserve">lack</w:t>
      </w:r>
      <w:r>
        <w:t xml:space="preserve"> </w:t>
      </w:r>
      <w:r>
        <w:t xml:space="preserve">of</w:t>
      </w:r>
      <w:r>
        <w:t xml:space="preserve"> </w:t>
      </w:r>
      <w:r>
        <w:t xml:space="preserve">credibility</w:t>
      </w:r>
      <w:r>
        <w:t xml:space="preserve">   </w:t>
      </w:r>
      <w:r>
        <w:tab/>
      </w:r>
      <w:r>
        <w:t xml:space="preserve">8</w:t>
      </w:r>
    </w:p>
    <w:p>
      <w:pPr>
        <w:keepLines/>
        <w:tabs>
          <w:tab w:val="right" w:leader="dot" w:pos="9360"/>
        </w:tabs>
        <w:spacing w:before="234" w:after="0" w:line="299" w:lineRule="exact"/>
        <w:ind w:left="720" w:right="720" w:hanging="720"/>
      </w:pPr>
      <w:r>
        <w:t xml:space="preserve">Conclusion</w:t>
      </w:r>
      <w:r>
        <w:t xml:space="preserve">   </w:t>
      </w:r>
      <w:r>
        <w:tab/>
      </w:r>
      <w:r>
        <w:t xml:space="preserve">8</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52" w:line="299" w:lineRule="exact"/>
        <w:ind w:left="0" w:firstLine="0"/>
        <w:jc w:val="left"/>
      </w:pPr>
      <w:r>
        <w:rPr>
          <w:b/>
          <w:bCs/>
        </w:rPr>
        <w:t xml:space="preserve">Rules</w:t>
      </w:r>
    </w:p>
    <w:p>
      <w:pPr>
        <w:keepLines/>
        <w:tabs>
          <w:tab w:val="right" w:leader="dot" w:pos="9360"/>
        </w:tabs>
        <w:spacing w:before="234" w:after="0" w:line="299" w:lineRule="exact"/>
        <w:ind w:left="390" w:right="1120" w:hanging="390"/>
      </w:pPr>
      <w:r>
        <w:t xml:space="preserve">Sup.</w:t>
      </w:r>
      <w:r>
        <w:t xml:space="preserve"> </w:t>
      </w:r>
      <w:r>
        <w:t xml:space="preserve">Ct.</w:t>
      </w:r>
      <w:r>
        <w:t xml:space="preserve"> </w:t>
      </w:r>
      <w:r>
        <w:t xml:space="preserve">R.</w:t>
      </w:r>
      <w:r>
        <w:t xml:space="preserve"> </w:t>
      </w:r>
      <w:r>
        <w:t xml:space="preserve">6.05</w:t>
      </w:r>
      <w:r>
        <w:t xml:space="preserve">   </w:t>
      </w:r>
      <w:r>
        <w:tab/>
      </w:r>
      <w:r>
        <w:t xml:space="preserve">4</w:t>
      </w:r>
    </w:p>
    <w:p>
      <w:pPr>
        <w:keepNext/>
        <w:keepLines/>
        <w:spacing w:before="312" w:after="52" w:line="299" w:lineRule="exact"/>
        <w:ind w:left="0" w:firstLine="0"/>
        <w:jc w:val="left"/>
      </w:pPr>
      <w:r>
        <w:rPr>
          <w:b/>
          <w:bCs/>
        </w:rPr>
        <w:t xml:space="preserve">Cases</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Flynn</w:t>
      </w:r>
      <w:r>
        <w:t xml:space="preserve">,</w:t>
      </w:r>
      <w:r>
        <w:t xml:space="preserve"> </w:t>
      </w:r>
      <w:r>
        <w:t xml:space="preserve">274</w:t>
      </w:r>
      <w:r>
        <w:t xml:space="preserve"> </w:t>
      </w:r>
      <w:r>
        <w:t xml:space="preserve">Kan.</w:t>
      </w:r>
      <w:r>
        <w:t xml:space="preserve"> </w:t>
      </w:r>
      <w:r>
        <w:t xml:space="preserve">473,</w:t>
      </w:r>
      <w:r>
        <w:t xml:space="preserve"> </w:t>
      </w:r>
      <w:r>
        <w:t xml:space="preserve">55</w:t>
      </w:r>
      <w:r>
        <w:t xml:space="preserve"> </w:t>
      </w:r>
      <w:r>
        <w:t xml:space="preserve">P.3d</w:t>
      </w:r>
      <w:r>
        <w:t xml:space="preserve"> </w:t>
      </w:r>
      <w:r>
        <w:t xml:space="preserve">324</w:t>
      </w:r>
      <w:r>
        <w:t xml:space="preserve"> </w:t>
      </w:r>
      <w:r>
        <w:t xml:space="preserve">(2002)</w:t>
      </w:r>
      <w:r>
        <w:t xml:space="preserve">   </w:t>
      </w:r>
      <w:r>
        <w:tab/>
      </w:r>
      <w:r>
        <w:t xml:space="preserve">4</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Gray</w:t>
      </w:r>
      <w:r>
        <w:t xml:space="preserve">,</w:t>
      </w:r>
      <w:r>
        <w:t xml:space="preserve"> </w:t>
      </w:r>
      <w:r>
        <w:t xml:space="preserve">306</w:t>
      </w:r>
      <w:r>
        <w:t xml:space="preserve"> </w:t>
      </w:r>
      <w:r>
        <w:t xml:space="preserve">Kan.</w:t>
      </w:r>
      <w:r>
        <w:t xml:space="preserve"> </w:t>
      </w:r>
      <w:r>
        <w:t xml:space="preserve">1287,</w:t>
      </w:r>
      <w:r>
        <w:t xml:space="preserve"> </w:t>
      </w:r>
      <w:r>
        <w:t xml:space="preserve">403</w:t>
      </w:r>
      <w:r>
        <w:t xml:space="preserve"> </w:t>
      </w:r>
      <w:r>
        <w:t xml:space="preserve">P.3d</w:t>
      </w:r>
      <w:r>
        <w:t xml:space="preserve"> </w:t>
      </w:r>
      <w:r>
        <w:t xml:space="preserve">1220</w:t>
      </w:r>
      <w:r>
        <w:t xml:space="preserve"> </w:t>
      </w:r>
      <w:r>
        <w:t xml:space="preserve">(2017)</w:t>
      </w:r>
      <w:r>
        <w:t xml:space="preserve">   </w:t>
      </w:r>
      <w:r>
        <w:tab/>
      </w:r>
      <w:r>
        <w:t xml:space="preserve">8</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Hollingsworth</w:t>
      </w:r>
      <w:r>
        <w:t xml:space="preserve">,</w:t>
      </w:r>
      <w:r>
        <w:t xml:space="preserve"> </w:t>
      </w:r>
      <w:r>
        <w:t xml:space="preserve">289</w:t>
      </w:r>
      <w:r>
        <w:t xml:space="preserve"> </w:t>
      </w:r>
      <w:r>
        <w:t xml:space="preserve">Kan.</w:t>
      </w:r>
      <w:r>
        <w:t xml:space="preserve"> </w:t>
      </w:r>
      <w:r>
        <w:t xml:space="preserve">1250,</w:t>
      </w:r>
      <w:r>
        <w:t xml:space="preserve"> </w:t>
      </w:r>
      <w:r>
        <w:t xml:space="preserve">221</w:t>
      </w:r>
      <w:r>
        <w:t xml:space="preserve"> </w:t>
      </w:r>
      <w:r>
        <w:t xml:space="preserve">P.3d</w:t>
      </w:r>
      <w:r>
        <w:t xml:space="preserve"> </w:t>
      </w:r>
      <w:r>
        <w:t xml:space="preserve">1122</w:t>
      </w:r>
      <w:r>
        <w:t xml:space="preserve"> </w:t>
      </w:r>
      <w:r>
        <w:t xml:space="preserve">(2009)</w:t>
      </w:r>
      <w:r>
        <w:t xml:space="preserve">   </w:t>
      </w:r>
      <w:r>
        <w:tab/>
      </w:r>
      <w:r>
        <w:t xml:space="preserve">7</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293</w:t>
      </w:r>
      <w:r>
        <w:t xml:space="preserve"> </w:t>
      </w:r>
      <w:r>
        <w:t xml:space="preserve">Kan.</w:t>
      </w:r>
      <w:r>
        <w:t xml:space="preserve"> </w:t>
      </w:r>
      <w:r>
        <w:t xml:space="preserve">959,</w:t>
      </w:r>
      <w:r>
        <w:t xml:space="preserve"> </w:t>
      </w:r>
      <w:r>
        <w:t xml:space="preserve">270</w:t>
      </w:r>
      <w:r>
        <w:t xml:space="preserve"> </w:t>
      </w:r>
      <w:r>
        <w:t xml:space="preserve">P.3d</w:t>
      </w:r>
      <w:r>
        <w:t xml:space="preserve"> </w:t>
      </w:r>
      <w:r>
        <w:t xml:space="preserve">1135</w:t>
      </w:r>
      <w:r>
        <w:t xml:space="preserve"> </w:t>
      </w:r>
      <w:r>
        <w:t xml:space="preserve">(2012)</w:t>
      </w:r>
      <w:r>
        <w:t xml:space="preserve">   </w:t>
      </w:r>
      <w:r>
        <w:tab/>
      </w:r>
      <w:r>
        <w:t xml:space="preserve">7</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Mack</w:t>
      </w:r>
      <w:r>
        <w:t xml:space="preserve">,</w:t>
      </w:r>
      <w:r>
        <w:t xml:space="preserve"> </w:t>
      </w:r>
      <w:r>
        <w:t xml:space="preserve">255</w:t>
      </w:r>
      <w:r>
        <w:t xml:space="preserve"> </w:t>
      </w:r>
      <w:r>
        <w:t xml:space="preserve">Kan.</w:t>
      </w:r>
      <w:r>
        <w:t xml:space="preserve"> </w:t>
      </w:r>
      <w:r>
        <w:t xml:space="preserve">21,</w:t>
      </w:r>
      <w:r>
        <w:t xml:space="preserve"> </w:t>
      </w:r>
      <w:r>
        <w:t xml:space="preserve">871</w:t>
      </w:r>
      <w:r>
        <w:t xml:space="preserve"> </w:t>
      </w:r>
      <w:r>
        <w:t xml:space="preserve">P.2d</w:t>
      </w:r>
      <w:r>
        <w:t xml:space="preserve"> </w:t>
      </w:r>
      <w:r>
        <w:t xml:space="preserve">1265</w:t>
      </w:r>
      <w:r>
        <w:t xml:space="preserve"> </w:t>
      </w:r>
      <w:r>
        <w:t xml:space="preserve">(1994)</w:t>
      </w:r>
      <w:r>
        <w:t xml:space="preserve">   </w:t>
      </w:r>
      <w:r>
        <w:tab/>
      </w:r>
      <w:r>
        <w:t xml:space="preserve">7</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Shadden</w:t>
      </w:r>
      <w:r>
        <w:t xml:space="preserve">,</w:t>
      </w:r>
      <w:r>
        <w:t xml:space="preserve"> </w:t>
      </w:r>
      <w:r>
        <w:t xml:space="preserve">290</w:t>
      </w:r>
      <w:r>
        <w:t xml:space="preserve"> </w:t>
      </w:r>
      <w:r>
        <w:t xml:space="preserve">Kan.</w:t>
      </w:r>
      <w:r>
        <w:t xml:space="preserve"> </w:t>
      </w:r>
      <w:r>
        <w:t xml:space="preserve">803,</w:t>
      </w:r>
      <w:r>
        <w:t xml:space="preserve"> </w:t>
      </w:r>
      <w:r>
        <w:t xml:space="preserve">235</w:t>
      </w:r>
      <w:r>
        <w:t xml:space="preserve"> </w:t>
      </w:r>
      <w:r>
        <w:t xml:space="preserve">P.3d</w:t>
      </w:r>
      <w:r>
        <w:t xml:space="preserve"> </w:t>
      </w:r>
      <w:r>
        <w:t xml:space="preserve">436</w:t>
      </w:r>
      <w:r>
        <w:t xml:space="preserve"> </w:t>
      </w:r>
      <w:r>
        <w:t xml:space="preserve">(2010)</w:t>
      </w:r>
      <w:r>
        <w:t xml:space="preserve">   </w:t>
      </w:r>
      <w:r>
        <w:tab/>
      </w:r>
      <w:r>
        <w:t xml:space="preserve">5</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Shopteese</w:t>
      </w:r>
      <w:r>
        <w:t xml:space="preserve">,</w:t>
      </w:r>
      <w:r>
        <w:t xml:space="preserve"> </w:t>
      </w:r>
      <w:r>
        <w:t xml:space="preserve">283</w:t>
      </w:r>
      <w:r>
        <w:t xml:space="preserve"> </w:t>
      </w:r>
      <w:r>
        <w:t xml:space="preserve">Kan.</w:t>
      </w:r>
      <w:r>
        <w:t xml:space="preserve"> </w:t>
      </w:r>
      <w:r>
        <w:t xml:space="preserve">331,</w:t>
      </w:r>
      <w:r>
        <w:t xml:space="preserve"> </w:t>
      </w:r>
      <w:r>
        <w:t xml:space="preserve">153</w:t>
      </w:r>
      <w:r>
        <w:t xml:space="preserve"> </w:t>
      </w:r>
      <w:r>
        <w:t xml:space="preserve">P.3d</w:t>
      </w:r>
      <w:r>
        <w:t xml:space="preserve"> </w:t>
      </w:r>
      <w:r>
        <w:t xml:space="preserve">1208</w:t>
      </w:r>
      <w:r>
        <w:t xml:space="preserve"> </w:t>
      </w:r>
      <w:r>
        <w:t xml:space="preserve">(2007)</w:t>
      </w:r>
      <w:r>
        <w:t xml:space="preserve">   </w:t>
      </w:r>
      <w:r>
        <w:tab/>
      </w:r>
      <w:r>
        <w:t xml:space="preserve">4</w:t>
      </w:r>
    </w:p>
    <w:p>
      <w:pPr>
        <w:pageBreakBefore/>
        <w:spacing w:before="0" w:after="0" w:line="1" w:lineRule="exact"/>
      </w:pPr>
    </w:p>
    <w:p>
      <w:pPr>
        <w:keepNext/>
        <w:keepLines/>
        <w:spacing w:before="0" w:after="312" w:line="299" w:lineRule="exact"/>
        <w:ind w:left="0" w:firstLine="0"/>
        <w:jc w:val="center"/>
      </w:pPr>
      <w:r>
        <w:rPr>
          <w:b/>
          <w:bCs/>
        </w:rPr>
        <w:t xml:space="preserve">POSTURE</w:t>
      </w:r>
      <w:r>
        <w:rPr>
          <w:b/>
          <w:bCs/>
        </w:rPr>
        <w:t xml:space="preserve"> </w:t>
      </w:r>
      <w:r>
        <w:rPr>
          <w:b/>
          <w:bCs/>
        </w:rPr>
        <w:t xml:space="preserve">OF</w:t>
      </w:r>
      <w:r>
        <w:rPr>
          <w:b/>
          <w:bCs/>
        </w:rPr>
        <w:t xml:space="preserve"> </w:t>
      </w:r>
      <w:r>
        <w:rPr>
          <w:b/>
          <w:bCs/>
        </w:rPr>
        <w:t xml:space="preserve">CASE</w:t>
      </w:r>
    </w:p>
    <w:p>
      <w:pPr>
        <w:pStyle w:val="BodyText"/>
      </w:pPr>
      <w:r>
        <w:t xml:space="preserve">This is the State’s reply brief in response to Sanders’ Appellee Brief.</w:t>
      </w:r>
    </w:p>
    <w:p>
      <w:pPr>
        <w:keepNext/>
        <w:keepLines/>
        <w:spacing w:before="312" w:after="208" w:line="299" w:lineRule="exact"/>
        <w:ind w:left="720" w:hanging="720"/>
        <w:jc w:val="left"/>
      </w:pPr>
      <w:r>
        <w:rPr>
          <w:b/>
          <w:bCs/>
        </w:rPr>
        <w:t xml:space="preserve">Issue:</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Sanders’</w:t>
      </w:r>
      <w:r>
        <w:rPr>
          <w:b/>
          <w:bCs/>
        </w:rPr>
        <w:t xml:space="preserve"> </w:t>
      </w:r>
      <w:r>
        <w:rPr>
          <w:b/>
          <w:bCs/>
        </w:rPr>
        <w:t xml:space="preserve">suppression</w:t>
      </w:r>
      <w:r>
        <w:rPr>
          <w:b/>
          <w:bCs/>
        </w:rPr>
        <w:t xml:space="preserve"> </w:t>
      </w:r>
      <w:r>
        <w:rPr>
          <w:b/>
          <w:bCs/>
        </w:rPr>
        <w:t xml:space="preserve">motion.</w:t>
      </w:r>
    </w:p>
    <w:p>
      <w:pPr>
        <w:keepNext/>
        <w:keepLines/>
        <w:spacing w:before="312" w:after="208" w:line="299" w:lineRule="exact"/>
        <w:ind w:left="720" w:hanging="720"/>
        <w:jc w:val="left"/>
      </w:pPr>
      <w:r>
        <w:rPr>
          <w:b/>
          <w:bCs/>
        </w:rPr>
        <w:t xml:space="preserve">Application</w:t>
      </w:r>
      <w:r>
        <w:rPr>
          <w:b/>
          <w:bCs/>
        </w:rPr>
        <w:t xml:space="preserve"> </w:t>
      </w:r>
      <w:r>
        <w:rPr>
          <w:b/>
          <w:bCs/>
        </w:rPr>
        <w:t xml:space="preserve">of</w:t>
      </w:r>
      <w:r>
        <w:rPr>
          <w:b/>
          <w:bCs/>
        </w:rPr>
        <w:t xml:space="preserve"> </w:t>
      </w:r>
      <w:r>
        <w:rPr>
          <w:b/>
          <w:bCs/>
        </w:rPr>
        <w:t xml:space="preserve">Sup.</w:t>
      </w:r>
      <w:r>
        <w:rPr>
          <w:b/>
          <w:bCs/>
        </w:rPr>
        <w:t xml:space="preserve"> </w:t>
      </w:r>
      <w:r>
        <w:rPr>
          <w:b/>
          <w:bCs/>
        </w:rPr>
        <w:t xml:space="preserve">Ct.</w:t>
      </w:r>
      <w:r>
        <w:rPr>
          <w:b/>
          <w:bCs/>
        </w:rPr>
        <w:t xml:space="preserve"> </w:t>
      </w:r>
      <w:r>
        <w:rPr>
          <w:b/>
          <w:bCs/>
        </w:rPr>
        <w:t xml:space="preserve">R.</w:t>
      </w:r>
      <w:r>
        <w:rPr>
          <w:b/>
          <w:bCs/>
        </w:rPr>
        <w:t xml:space="preserve"> </w:t>
      </w:r>
      <w:r>
        <w:rPr>
          <w:b/>
          <w:bCs/>
        </w:rPr>
        <w:t xml:space="preserve">6.05</w:t>
      </w:r>
      <w:r>
        <w:rPr>
          <w:b/>
          <w:bCs/>
        </w:rPr>
        <w:t xml:space="preserve"> </w:t>
      </w:r>
      <w:r>
        <w:rPr>
          <w:b/>
          <w:bCs/>
        </w:rPr>
        <w:t xml:space="preserve">to</w:t>
      </w:r>
      <w:r>
        <w:rPr>
          <w:b/>
          <w:bCs/>
        </w:rPr>
        <w:t xml:space="preserve"> </w:t>
      </w:r>
      <w:r>
        <w:rPr>
          <w:b/>
          <w:bCs/>
        </w:rPr>
        <w:t xml:space="preserve">Issue</w:t>
      </w:r>
      <w:r>
        <w:rPr>
          <w:b/>
          <w:bCs/>
        </w:rPr>
        <w:t xml:space="preserve"> </w:t>
      </w:r>
      <w:r>
        <w:rPr>
          <w:b/>
          <w:bCs/>
        </w:rPr>
        <w:t xml:space="preserve">1</w:t>
      </w:r>
    </w:p>
    <w:p>
      <w:pPr>
        <w:pStyle w:val="BodyText"/>
      </w:pPr>
      <w:r>
        <w:t xml:space="preserve">Under Sup. Ct. R. 6.05,</w:t>
      </w:r>
      <w:r>
        <w:t xml:space="preserve"> </w:t>
      </w:r>
      <w:r>
        <w:t xml:space="preserve">“a reply brief must include a specific reference to the new material being rebutted and may not include, except by reference, a statement, argument, or authority already included in a preceding brief.”</w:t>
      </w:r>
    </w:p>
    <w:p>
      <w:pPr>
        <w:pStyle w:val="BodyText"/>
      </w:pPr>
      <w:r>
        <w:t xml:space="preserve">The new material being rebutted is Sanders’ argument that the attenuation doctrine and inevitable discovery should not be considered by this Court as they are were not “raised to the trial court.” (See Appellee’s Brief, 20</w:t>
      </w:r>
      <w:r>
        <w:noBreakHyphen/>
      </w:r>
      <w:r>
        <w:t xml:space="preserve">21.) Additionally, Sanders heavily relies on the judge’s assessment that the officers’ lacked credibility. (Appellee’s Brief, 10</w:t>
      </w:r>
      <w:r>
        <w:noBreakHyphen/>
      </w:r>
      <w:r>
        <w:t xml:space="preserve">12.)</w:t>
      </w:r>
    </w:p>
    <w:p>
      <w:pPr>
        <w:keepNext/>
        <w:keepLines/>
        <w:spacing w:before="260" w:after="208" w:line="299" w:lineRule="exact"/>
        <w:ind w:left="720" w:hanging="720"/>
        <w:jc w:val="left"/>
      </w:pPr>
      <w:r>
        <w:rPr>
          <w:b/>
          <w:bCs/>
          <w:i/>
          <w:iCs/>
        </w:rPr>
        <w:t xml:space="preserve">Purpose</w:t>
      </w:r>
      <w:r>
        <w:rPr>
          <w:b/>
          <w:bCs/>
          <w:i/>
          <w:iCs/>
        </w:rPr>
        <w:t xml:space="preserve"> </w:t>
      </w:r>
      <w:r>
        <w:rPr>
          <w:b/>
          <w:bCs/>
          <w:i/>
          <w:iCs/>
        </w:rPr>
        <w:t xml:space="preserve">of</w:t>
      </w:r>
      <w:r>
        <w:rPr>
          <w:b/>
          <w:bCs/>
          <w:i/>
          <w:iCs/>
        </w:rPr>
        <w:t xml:space="preserve"> </w:t>
      </w:r>
      <w:r>
        <w:rPr>
          <w:b/>
          <w:bCs/>
          <w:i/>
          <w:iCs/>
        </w:rPr>
        <w:t xml:space="preserve">having</w:t>
      </w:r>
      <w:r>
        <w:rPr>
          <w:b/>
          <w:bCs/>
          <w:i/>
          <w:iCs/>
        </w:rPr>
        <w:t xml:space="preserve"> </w:t>
      </w:r>
      <w:r>
        <w:rPr>
          <w:b/>
          <w:bCs/>
          <w:i/>
          <w:iCs/>
        </w:rPr>
        <w:t xml:space="preserve">the</w:t>
      </w:r>
      <w:r>
        <w:rPr>
          <w:b/>
          <w:bCs/>
          <w:i/>
          <w:iCs/>
        </w:rPr>
        <w:t xml:space="preserve"> </w:t>
      </w:r>
      <w:r>
        <w:rPr>
          <w:b/>
          <w:bCs/>
          <w:i/>
          <w:iCs/>
        </w:rPr>
        <w:t xml:space="preserve">issue</w:t>
      </w:r>
      <w:r>
        <w:rPr>
          <w:b/>
          <w:bCs/>
          <w:i/>
          <w:iCs/>
        </w:rPr>
        <w:t xml:space="preserve"> </w:t>
      </w:r>
      <w:r>
        <w:rPr>
          <w:b/>
          <w:bCs/>
          <w:i/>
          <w:iCs/>
        </w:rPr>
        <w:t xml:space="preserve">first</w:t>
      </w:r>
      <w:r>
        <w:rPr>
          <w:b/>
          <w:bCs/>
          <w:i/>
          <w:iCs/>
        </w:rPr>
        <w:t xml:space="preserve"> </w:t>
      </w:r>
      <w:r>
        <w:rPr>
          <w:b/>
          <w:bCs/>
          <w:i/>
          <w:iCs/>
        </w:rPr>
        <w:t xml:space="preserve">raised</w:t>
      </w:r>
      <w:r>
        <w:rPr>
          <w:b/>
          <w:bCs/>
          <w:i/>
          <w:iCs/>
        </w:rPr>
        <w:t xml:space="preserve"> </w:t>
      </w:r>
      <w:r>
        <w:rPr>
          <w:b/>
          <w:bCs/>
          <w:i/>
          <w:iCs/>
        </w:rPr>
        <w:t xml:space="preserve">in</w:t>
      </w:r>
      <w:r>
        <w:rPr>
          <w:b/>
          <w:bCs/>
          <w:i/>
          <w:iCs/>
        </w:rPr>
        <w:t xml:space="preserve"> </w:t>
      </w:r>
      <w:r>
        <w:rPr>
          <w:b/>
          <w:bCs/>
          <w:i/>
          <w:iCs/>
        </w:rPr>
        <w:t xml:space="preserve">district</w:t>
      </w:r>
      <w:r>
        <w:rPr>
          <w:b/>
          <w:bCs/>
          <w:i/>
          <w:iCs/>
        </w:rPr>
        <w:t xml:space="preserve"> </w:t>
      </w:r>
      <w:r>
        <w:rPr>
          <w:b/>
          <w:bCs/>
          <w:i/>
          <w:iCs/>
        </w:rPr>
        <w:t xml:space="preserve">court.</w:t>
      </w:r>
    </w:p>
    <w:p>
      <w:pPr>
        <w:pStyle w:val="BodyText"/>
      </w:pPr>
      <w:r>
        <w:t xml:space="preserve">In Kansas, issues not raised before the district court cannot generally be raised on appeal.</w:t>
      </w:r>
      <w:r>
        <w:t xml:space="preserve"> </w:t>
      </w:r>
      <w:r>
        <w:rPr>
          <w:i/>
          <w:iCs/>
        </w:rPr>
        <w:t xml:space="preserve">State v. Shopteese</w:t>
      </w:r>
      <w:r>
        <w:t xml:space="preserve">, 283 Kan.</w:t>
      </w:r>
      <w:r>
        <w:t xml:space="preserve"> </w:t>
      </w:r>
      <w:r>
        <w:t xml:space="preserve">331, 153 P.3d 1208 (2007)</w:t>
      </w:r>
    </w:p>
    <w:p>
      <w:pPr>
        <w:pStyle w:val="BodyText"/>
      </w:pPr>
      <w:r>
        <w:t xml:space="preserve">The purpose of having the issue raised in district court is to give the district court an opportunity to rule on the issue. See</w:t>
      </w:r>
      <w:r>
        <w:t xml:space="preserve"> </w:t>
      </w:r>
      <w:r>
        <w:rPr>
          <w:i/>
          <w:iCs/>
        </w:rPr>
        <w:t xml:space="preserve">State v. Flynn</w:t>
      </w:r>
      <w:r>
        <w:t xml:space="preserve">, 274 Kan.</w:t>
      </w:r>
      <w:r>
        <w:t xml:space="preserve"> </w:t>
      </w:r>
      <w:r>
        <w:t xml:space="preserve">473, 502, 55 P.3d 324 (2002) (“As a general rule, a party cannot raise an issue on appeal where no contemporaneous objection was made and where the trial court did not have an opportunity to rule.”) This Court may consider the two arguments regarding the attenuation doctrine and inevitable discovery because both were considered by the district court at the suppression hearing.</w:t>
      </w:r>
    </w:p>
    <w:p>
      <w:pPr>
        <w:pStyle w:val="BodyText"/>
      </w:pPr>
      <w:r>
        <w:t xml:space="preserve">In</w:t>
      </w:r>
      <w:r>
        <w:t xml:space="preserve"> </w:t>
      </w:r>
      <w:r>
        <w:rPr>
          <w:i/>
          <w:iCs/>
        </w:rPr>
        <w:t xml:space="preserve">State v. Shadden</w:t>
      </w:r>
      <w:r>
        <w:t xml:space="preserve">, 290 Kan.</w:t>
      </w:r>
      <w:r>
        <w:t xml:space="preserve"> </w:t>
      </w:r>
      <w:r>
        <w:t xml:space="preserve">803, 235 P.3d 436 (2010), the Kansas Supreme Court considered the issue of whether the defendant’s objections to the motion in limine were timely. The</w:t>
      </w:r>
      <w:r>
        <w:t xml:space="preserve"> </w:t>
      </w:r>
      <w:r>
        <w:rPr>
          <w:i/>
          <w:iCs/>
        </w:rPr>
        <w:t xml:space="preserve">Shadden</w:t>
      </w:r>
      <w:r>
        <w:t xml:space="preserve"> </w:t>
      </w:r>
      <w:r>
        <w:t xml:space="preserve">court noted how “Shadden’s objections revolved around the very purpose of the motion in limine.”</w:t>
      </w:r>
      <w:r>
        <w:t xml:space="preserve"> </w:t>
      </w:r>
      <w:r>
        <w:rPr>
          <w:i/>
          <w:iCs/>
        </w:rPr>
        <w:t xml:space="preserve">Shadden</w:t>
      </w:r>
      <w:r>
        <w:t xml:space="preserve">, 290 Kan.</w:t>
      </w:r>
      <w:r>
        <w:t xml:space="preserve"> </w:t>
      </w:r>
      <w:r>
        <w:t xml:space="preserve">at 835. There,</w:t>
      </w:r>
      <w:r>
        <w:t xml:space="preserve"> </w:t>
      </w:r>
      <w:r>
        <w:rPr>
          <w:i/>
          <w:iCs/>
        </w:rPr>
        <w:t xml:space="preserve">Shadden</w:t>
      </w:r>
      <w:r>
        <w:t xml:space="preserve"> </w:t>
      </w:r>
      <w:r>
        <w:t xml:space="preserve">had made contemporaneous objections “on the bases of foundation or ultimate conclusion (province of the jury), both of where were discussed at the hearing on the motion in limine and addressed by the judge;” moreover</w:t>
      </w:r>
      <w:r>
        <w:t xml:space="preserve"> </w:t>
      </w:r>
      <w:r>
        <w:rPr>
          <w:i/>
          <w:iCs/>
        </w:rPr>
        <w:t xml:space="preserve">Shadden</w:t>
      </w:r>
      <w:r>
        <w:t xml:space="preserve"> </w:t>
      </w:r>
      <w:r>
        <w:t xml:space="preserve">made a standing objection at trial.</w:t>
      </w:r>
      <w:r>
        <w:t xml:space="preserve"> </w:t>
      </w:r>
      <w:r>
        <w:rPr>
          <w:i/>
          <w:iCs/>
        </w:rPr>
        <w:t xml:space="preserve">Shadden</w:t>
      </w:r>
      <w:r>
        <w:t xml:space="preserve">, 290 Kan.</w:t>
      </w:r>
      <w:r>
        <w:t xml:space="preserve"> </w:t>
      </w:r>
      <w:r>
        <w:t xml:space="preserve">at 835 (emphasis added).</w:t>
      </w:r>
    </w:p>
    <w:p>
      <w:pPr>
        <w:pStyle w:val="BodyText"/>
      </w:pPr>
      <w:r>
        <w:t xml:space="preserve">Importantly, the</w:t>
      </w:r>
      <w:r>
        <w:t xml:space="preserve"> </w:t>
      </w:r>
      <w:r>
        <w:rPr>
          <w:i/>
          <w:iCs/>
        </w:rPr>
        <w:t xml:space="preserve">Shadden</w:t>
      </w:r>
      <w:r>
        <w:t xml:space="preserve"> </w:t>
      </w:r>
      <w:r>
        <w:t xml:space="preserve">court explained how appellate courts “generally refuse to consider an issue on appeal if it has not been raised in the district court.”</w:t>
      </w:r>
      <w:r>
        <w:t xml:space="preserve"> </w:t>
      </w:r>
      <w:r>
        <w:rPr>
          <w:i/>
          <w:iCs/>
        </w:rPr>
        <w:t xml:space="preserve">Shadden</w:t>
      </w:r>
      <w:r>
        <w:t xml:space="preserve">, 290 Kan.</w:t>
      </w:r>
      <w:r>
        <w:t xml:space="preserve"> </w:t>
      </w:r>
      <w:r>
        <w:t xml:space="preserve">at 813. In that case, however, the court noted how - not only had the defendant’s objections revolved around the “very purpose of the motion in limine” - but the objections were addressed by the judge.</w:t>
      </w:r>
    </w:p>
    <w:p>
      <w:pPr>
        <w:pStyle w:val="BodyText"/>
      </w:pPr>
      <w:r>
        <w:t xml:space="preserve">Here, the necessary facts regarding Sanders’ outstanding warrant - and thus his lawful arrest and inevitable discovery of the methamphetamine were established by the State in both Officer Belt’s direct testimony as to why Sanders was arrested and in the State’s arguments to the court. (R. III, 11, 36.) The State questioned the officer about discovering that Sanders had an outstanding warrant. These questions were purposeful. And in arguing against the suppression of the evidence, the State noted the importance of the discovered warrant.</w:t>
      </w:r>
    </w:p>
    <w:p>
      <w:pPr>
        <w:pStyle w:val="BodyText"/>
      </w:pPr>
      <w:r>
        <w:t xml:space="preserve">The State stressed that Officer Belt was going to arrest Sanders for the warrant and not for the methamphetamine or drug paraphernalia. And Officer Furney testified that Sanders had an outstanding warrant based on the running of his name on the identification provided to officers. (R. III, 26.) The warrant gave the officers justification to arrest Sanders.</w:t>
      </w:r>
    </w:p>
    <w:p>
      <w:pPr>
        <w:pStyle w:val="BodyText"/>
      </w:pPr>
      <w:r>
        <w:t xml:space="preserve">Additionally, as in</w:t>
      </w:r>
      <w:r>
        <w:t xml:space="preserve"> </w:t>
      </w:r>
      <w:r>
        <w:rPr>
          <w:i/>
          <w:iCs/>
        </w:rPr>
        <w:t xml:space="preserve">Shadden</w:t>
      </w:r>
      <w:r>
        <w:t xml:space="preserve">, the district court in this case, addressed the issue of the attenuation doctrine.</w:t>
      </w:r>
    </w:p>
    <w:p>
      <w:pPr>
        <w:pStyle w:val="XdQuoteOnly"/>
      </w:pPr>
      <w:r>
        <w:t xml:space="preserve">“I’ve tried to look at the fact of balancing whether the - I don’t remember if it’s the Attenuation Doctrine. You know, at some point, they find out that there’s a warrant but my belief, counsel, is that the activity or that the whole issue of seizing the defendant, I have great difficulty with based on the testimony that I’ve heard.”</w:t>
      </w:r>
    </w:p>
    <w:p>
      <w:pPr>
        <w:pStyle w:val="BodyText"/>
      </w:pPr>
      <w:r>
        <w:t xml:space="preserve">(R. III, 41) (emphasis added).</w:t>
      </w:r>
    </w:p>
    <w:p>
      <w:pPr>
        <w:pStyle w:val="BodyText"/>
      </w:pPr>
      <w:r>
        <w:t xml:space="preserve">Here, the district court was advised of the issue. In this instance, the district court considered the attenuation doctrine and declined to apply the doctrine. The district court stated so on the record. The district court’s statement about the attenuation doctrine itself indicates the issue was raised and considered by the court.</w:t>
      </w:r>
    </w:p>
    <w:p>
      <w:pPr>
        <w:pStyle w:val="BodyText"/>
      </w:pPr>
      <w:r>
        <w:t xml:space="preserve">The purpose of having an issue first raised in district court is to allow the district court to consider and rule on the issue at the trial level. That purpose was met in this case.</w:t>
      </w:r>
    </w:p>
    <w:p>
      <w:pPr>
        <w:keepNext/>
        <w:keepLines/>
        <w:spacing w:before="260" w:after="208" w:line="299" w:lineRule="exact"/>
        <w:ind w:left="720" w:hanging="720"/>
        <w:jc w:val="left"/>
      </w:pPr>
      <w:r>
        <w:rPr>
          <w:b/>
          <w:bCs/>
          <w:i/>
          <w:iCs/>
        </w:rPr>
        <w:t xml:space="preserve">Inevitable</w:t>
      </w:r>
      <w:r>
        <w:rPr>
          <w:b/>
          <w:bCs/>
          <w:i/>
          <w:iCs/>
        </w:rPr>
        <w:t xml:space="preserve"> </w:t>
      </w:r>
      <w:r>
        <w:rPr>
          <w:b/>
          <w:bCs/>
          <w:i/>
          <w:iCs/>
        </w:rPr>
        <w:t xml:space="preserve">discovery</w:t>
      </w:r>
    </w:p>
    <w:p>
      <w:pPr>
        <w:pStyle w:val="BodyText"/>
      </w:pPr>
      <w:r>
        <w:t xml:space="preserve">The State argued inevitable discovery to the district court when the State argued how methamphetamine was found on Sanders after it was certain that Sanders was going to jail.</w:t>
      </w:r>
    </w:p>
    <w:p>
      <w:pPr>
        <w:pStyle w:val="BodyText"/>
      </w:pPr>
      <w:r>
        <w:t xml:space="preserve">Once Sanders was lawfully arrested, the officers conducted a pre-incarceration inventory of the items found on Sanders’ person and found the methamphetamine. The State presented this argument to the court, stating “after he [was] for sure going to jail that the methamphetamine was found inside the deck of cards, Your Honor.” (R. III, 36) (emphasis added.) The district court heard the State’s argument that the drugs were found in a pre-incarceration search and later noted, “the contact that the officer had in taking the defendant into custody[ .]” (R. III, 41.) (emphasis added.)</w:t>
      </w:r>
    </w:p>
    <w:p>
      <w:pPr>
        <w:pStyle w:val="BodyText"/>
      </w:pPr>
      <w:r>
        <w:t xml:space="preserve">Inevitable discovery of the methamphetamine was raised by the State in both Officer Belt’s direct testimony as to why Sanders was arrested and in the State’s arguments to the court. (R. III, 11, 36.) Compare</w:t>
      </w:r>
      <w:r>
        <w:t xml:space="preserve"> </w:t>
      </w:r>
      <w:r>
        <w:rPr>
          <w:i/>
          <w:iCs/>
        </w:rPr>
        <w:t xml:space="preserve">State v. Hollingsworth</w:t>
      </w:r>
      <w:r>
        <w:t xml:space="preserve">, 289 Kan.</w:t>
      </w:r>
      <w:r>
        <w:t xml:space="preserve"> </w:t>
      </w:r>
      <w:r>
        <w:t xml:space="preserve">1250, 1257, 221 P.3d 1122 (2009) (held because defense’s objection on one ground at trial and another ground on appeal, the issue was not preserved on appeal).</w:t>
      </w:r>
    </w:p>
    <w:p>
      <w:pPr>
        <w:pStyle w:val="BodyText"/>
      </w:pPr>
      <w:r>
        <w:t xml:space="preserve">In comparison, in</w:t>
      </w:r>
      <w:r>
        <w:t xml:space="preserve"> </w:t>
      </w:r>
      <w:r>
        <w:rPr>
          <w:i/>
          <w:iCs/>
        </w:rPr>
        <w:t xml:space="preserve">State v. Mack</w:t>
      </w:r>
      <w:r>
        <w:t xml:space="preserve">, 255 Kan.</w:t>
      </w:r>
      <w:r>
        <w:t xml:space="preserve"> </w:t>
      </w:r>
      <w:r>
        <w:t xml:space="preserve">21, 27</w:t>
      </w:r>
      <w:r>
        <w:noBreakHyphen/>
      </w:r>
      <w:r>
        <w:t xml:space="preserve">28, 871 P.2d 1265 (1994), the Kansas Supreme Court did not consider a defendant’s effort to advance new reasons to support suppression for the first time on appeal. And in</w:t>
      </w:r>
      <w:r>
        <w:t xml:space="preserve"> </w:t>
      </w:r>
      <w:r>
        <w:rPr>
          <w:i/>
          <w:iCs/>
        </w:rPr>
        <w:t xml:space="preserve">State v. Johnson</w:t>
      </w:r>
      <w:r>
        <w:t xml:space="preserve">, 293 Kan.</w:t>
      </w:r>
      <w:r>
        <w:t xml:space="preserve"> </w:t>
      </w:r>
      <w:r>
        <w:t xml:space="preserve">959, 963</w:t>
      </w:r>
      <w:r>
        <w:noBreakHyphen/>
      </w:r>
      <w:r>
        <w:t xml:space="preserve">64, 270 P.3d 1135 (2012), the Kansas Supreme Court would not consider a new Fourth Amendment argument, which had never been presented to either the district court or the appellate court.</w:t>
      </w:r>
    </w:p>
    <w:p>
      <w:pPr>
        <w:pStyle w:val="BodyText"/>
      </w:pPr>
      <w:r>
        <w:t xml:space="preserve">This Court should not bar appellate review.</w:t>
      </w:r>
    </w:p>
    <w:p>
      <w:pPr>
        <w:keepNext/>
        <w:keepLines/>
        <w:spacing w:before="260" w:after="208" w:line="299" w:lineRule="exact"/>
        <w:ind w:left="720" w:hanging="720"/>
        <w:jc w:val="left"/>
      </w:pPr>
      <w:r>
        <w:rPr>
          <w:b/>
          <w:bCs/>
          <w:i/>
          <w:iCs/>
        </w:rPr>
        <w:t xml:space="preserve">District</w:t>
      </w:r>
      <w:r>
        <w:rPr>
          <w:b/>
          <w:bCs/>
          <w:i/>
          <w:iCs/>
        </w:rPr>
        <w:t xml:space="preserve"> </w:t>
      </w:r>
      <w:r>
        <w:rPr>
          <w:b/>
          <w:bCs/>
          <w:i/>
          <w:iCs/>
        </w:rPr>
        <w:t xml:space="preserve">court’s</w:t>
      </w:r>
      <w:r>
        <w:rPr>
          <w:b/>
          <w:bCs/>
          <w:i/>
          <w:iCs/>
        </w:rPr>
        <w:t xml:space="preserve"> </w:t>
      </w:r>
      <w:r>
        <w:rPr>
          <w:b/>
          <w:bCs/>
          <w:i/>
          <w:iCs/>
        </w:rPr>
        <w:t xml:space="preserve">assessment</w:t>
      </w:r>
      <w:r>
        <w:rPr>
          <w:b/>
          <w:bCs/>
          <w:i/>
          <w:iCs/>
        </w:rPr>
        <w:t xml:space="preserve"> </w:t>
      </w:r>
      <w:r>
        <w:rPr>
          <w:b/>
          <w:bCs/>
          <w:i/>
          <w:iCs/>
        </w:rPr>
        <w:t xml:space="preserve">of</w:t>
      </w:r>
      <w:r>
        <w:rPr>
          <w:b/>
          <w:bCs/>
          <w:i/>
          <w:iCs/>
        </w:rPr>
        <w:t xml:space="preserve"> </w:t>
      </w:r>
      <w:r>
        <w:rPr>
          <w:b/>
          <w:bCs/>
          <w:i/>
          <w:iCs/>
        </w:rPr>
        <w:t xml:space="preserve">officers’</w:t>
      </w:r>
      <w:r>
        <w:rPr>
          <w:b/>
          <w:bCs/>
          <w:i/>
          <w:iCs/>
        </w:rPr>
        <w:t xml:space="preserve"> </w:t>
      </w:r>
      <w:r>
        <w:rPr>
          <w:b/>
          <w:bCs/>
          <w:i/>
          <w:iCs/>
        </w:rPr>
        <w:t xml:space="preserve">lack</w:t>
      </w:r>
      <w:r>
        <w:rPr>
          <w:b/>
          <w:bCs/>
          <w:i/>
          <w:iCs/>
        </w:rPr>
        <w:t xml:space="preserve"> </w:t>
      </w:r>
      <w:r>
        <w:rPr>
          <w:b/>
          <w:bCs/>
          <w:i/>
          <w:iCs/>
        </w:rPr>
        <w:t xml:space="preserve">of</w:t>
      </w:r>
      <w:r>
        <w:rPr>
          <w:b/>
          <w:bCs/>
          <w:i/>
          <w:iCs/>
        </w:rPr>
        <w:t xml:space="preserve"> </w:t>
      </w:r>
      <w:r>
        <w:rPr>
          <w:b/>
          <w:bCs/>
          <w:i/>
          <w:iCs/>
        </w:rPr>
        <w:t xml:space="preserve">credibility</w:t>
      </w:r>
    </w:p>
    <w:p>
      <w:pPr>
        <w:pStyle w:val="BodyText"/>
      </w:pPr>
      <w:r>
        <w:t xml:space="preserve">On appeal, Sanders points to the judge’s assessment of the officers’ lack of credibility. (Appellee’s Brief, 10.) Importantly, regarding a district court judge’s credibility assessment, the Kansas Supreme Court has stated “As with any credibility assessment, a district judge must weigh surrounding facts and circumstances along with a witness’ statements.”</w:t>
      </w:r>
      <w:r>
        <w:t xml:space="preserve"> </w:t>
      </w:r>
      <w:r>
        <w:rPr>
          <w:i/>
          <w:iCs/>
        </w:rPr>
        <w:t xml:space="preserve">State v. Gray</w:t>
      </w:r>
      <w:r>
        <w:t xml:space="preserve">, 306 Kan.</w:t>
      </w:r>
      <w:r>
        <w:t xml:space="preserve"> </w:t>
      </w:r>
      <w:r>
        <w:t xml:space="preserve">1287, 1302</w:t>
      </w:r>
      <w:r>
        <w:noBreakHyphen/>
      </w:r>
      <w:r>
        <w:t xml:space="preserve">03, 403 P.3d 1220 (2017) (emphasis added.)</w:t>
      </w:r>
    </w:p>
    <w:p>
      <w:pPr>
        <w:pStyle w:val="BodyText"/>
      </w:pPr>
      <w:r>
        <w:t xml:space="preserve">Here, the district court’s credibility determination of the officers cannot erase the surrounding facts and circumstances that support the finding of reasonable suspicion to detain Sanders. Namely, Sanders’ suspicious actions at the vehicle, Sanders two attempts to run from the officers who saw him by the vehicle and his attempts to conceal himself. (R. III, 6, 7, 22.) The surrounding facts and circumstances support the finding of reasonable suspicion.</w:t>
      </w:r>
    </w:p>
    <w:p>
      <w:pPr>
        <w:keepNext/>
        <w:keepLines/>
        <w:spacing w:before="416" w:after="312" w:line="299" w:lineRule="exact"/>
        <w:ind w:left="0" w:firstLine="0"/>
        <w:jc w:val="center"/>
      </w:pPr>
      <w:r>
        <w:rPr>
          <w:b/>
          <w:bCs/>
        </w:rPr>
        <w:t xml:space="preserve">CONCLUSION</w:t>
      </w:r>
    </w:p>
    <w:p>
      <w:pPr>
        <w:pStyle w:val="BodyText"/>
      </w:pPr>
      <w:r>
        <w:t xml:space="preserve">This Court should reverse the district court’s ruling that granted Sanders’ suppression motion.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04" w:after="0" w:line="299" w:lineRule="exact"/>
                    <w:ind w:left="4608" w:firstLine="0"/>
                    <w:jc w:val="left"/>
                  </w:pPr>
                  <w:r>
                    <w:rPr>
                      <w:b/>
                      <w:bCs/>
                    </w:rPr>
                    <w:t xml:space="preserve">OFFICE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p>
                <w:p>
                  <w:pPr>
                    <w:spacing w:before="208" w:after="0" w:line="299" w:lineRule="exact"/>
                    <w:ind w:left="4608" w:firstLine="0"/>
                    <w:jc w:val="left"/>
                  </w:pPr>
                  <w:r>
                    <w:rPr>
                      <w:u w:val="single"/>
                    </w:rPr>
                    <w:t xml:space="preserve">/s/</w:t>
                  </w:r>
                  <w:r>
                    <w:rPr>
                      <w:u w:val="single"/>
                    </w:rPr>
                    <w:t xml:space="preserve"> </w:t>
                  </w:r>
                  <w:r>
                    <w:rPr>
                      <w:i/>
                      <w:iCs/>
                      <w:u w:val="single"/>
                    </w:rPr>
                    <w:t xml:space="preserve">Rachel</w:t>
                  </w:r>
                  <w:r>
                    <w:rPr>
                      <w:i/>
                      <w:iCs/>
                      <w:u w:val="single"/>
                    </w:rPr>
                    <w:t xml:space="preserve"> </w:t>
                  </w:r>
                  <w:r>
                    <w:rPr>
                      <w:i/>
                      <w:iCs/>
                      <w:u w:val="single"/>
                    </w:rPr>
                    <w:t xml:space="preserve">L.</w:t>
                  </w:r>
                  <w:r>
                    <w:rPr>
                      <w:i/>
                      <w:iCs/>
                      <w:u w:val="single"/>
                    </w:rPr>
                    <w:t xml:space="preserve"> </w:t>
                  </w:r>
                  <w:r>
                    <w:rPr>
                      <w:i/>
                      <w:iCs/>
                      <w:u w:val="single"/>
                    </w:rPr>
                    <w:t xml:space="preserve">Pickering</w:t>
                  </w:r>
                </w:p>
                <w:p>
                  <w:pPr>
                    <w:spacing w:before="0" w:after="0" w:line="299" w:lineRule="exact"/>
                    <w:ind w:left="4608" w:firstLine="0"/>
                    <w:jc w:val="left"/>
                  </w:pPr>
                  <w:r>
                    <w:t xml:space="preserve">Rachel</w:t>
                  </w:r>
                  <w:r>
                    <w:t xml:space="preserve"> </w:t>
                  </w:r>
                  <w:r>
                    <w:t xml:space="preserve">L.</w:t>
                  </w:r>
                  <w:r>
                    <w:t xml:space="preserve"> </w:t>
                  </w:r>
                  <w:r>
                    <w:t xml:space="preserve">Pickering</w:t>
                  </w:r>
                </w:p>
                <w:p>
                  <w:pPr>
                    <w:spacing w:before="0" w:after="0" w:line="299" w:lineRule="exact"/>
                    <w:ind w:left="4608" w:firstLine="0"/>
                    <w:jc w:val="left"/>
                  </w:pPr>
                  <w:r>
                    <w:t xml:space="preserve">#21747</w:t>
                  </w:r>
                </w:p>
                <w:p>
                  <w:pPr>
                    <w:spacing w:before="0" w:after="0" w:line="299" w:lineRule="exact"/>
                    <w:ind w:left="4608" w:firstLine="0"/>
                    <w:jc w:val="left"/>
                  </w:pPr>
                  <w:r>
                    <w:t xml:space="preserve">Assistant</w:t>
                  </w:r>
                  <w:r>
                    <w:t xml:space="preserve"> </w:t>
                  </w:r>
                  <w:r>
                    <w:t xml:space="preserve">Solicitor</w:t>
                  </w:r>
                  <w:r>
                    <w:t xml:space="preserve"> </w:t>
                  </w:r>
                  <w:r>
                    <w:t xml:space="preserve">General</w:t>
                  </w:r>
                </w:p>
                <w:p>
                  <w:pPr>
                    <w:spacing w:before="0" w:after="0" w:line="299" w:lineRule="exact"/>
                    <w:ind w:left="4608" w:firstLine="0"/>
                    <w:jc w:val="left"/>
                  </w:pPr>
                  <w:r>
                    <w:t xml:space="preserve">120</w:t>
                  </w:r>
                  <w:r>
                    <w:t xml:space="preserve"> </w:t>
                  </w:r>
                  <w:r>
                    <w:t xml:space="preserve">SW</w:t>
                  </w:r>
                  <w:r>
                    <w:t xml:space="preserve"> </w:t>
                  </w:r>
                  <w:r>
                    <w:t xml:space="preserve">10th</w:t>
                  </w:r>
                  <w:r>
                    <w:t xml:space="preserve"> </w:t>
                  </w:r>
                  <w:r>
                    <w:t xml:space="preserve">Street,</w:t>
                  </w:r>
                  <w:r>
                    <w:t xml:space="preserve"> </w:t>
                  </w:r>
                  <w:r>
                    <w:t xml:space="preserve">2nd</w:t>
                  </w:r>
                  <w:r>
                    <w:t xml:space="preserve"> </w:t>
                  </w:r>
                  <w:r>
                    <w:t xml:space="preserve">Floor</w:t>
                  </w:r>
                </w:p>
                <w:p>
                  <w:pPr>
                    <w:spacing w:before="0" w:after="0" w:line="299" w:lineRule="exact"/>
                    <w:ind w:left="4608" w:firstLine="0"/>
                    <w:jc w:val="left"/>
                  </w:pPr>
                  <w:r>
                    <w:t xml:space="preserve">Topeka,</w:t>
                  </w:r>
                  <w:r>
                    <w:t xml:space="preserve"> </w:t>
                  </w:r>
                  <w:r>
                    <w:t xml:space="preserve">Kansas</w:t>
                  </w:r>
                  <w:r>
                    <w:t xml:space="preserve"> </w:t>
                  </w:r>
                  <w:r>
                    <w:t xml:space="preserve">66612</w:t>
                  </w:r>
                </w:p>
                <w:p>
                  <w:pPr>
                    <w:spacing w:before="0" w:after="0" w:line="299" w:lineRule="exact"/>
                    <w:ind w:left="4608" w:firstLine="0"/>
                    <w:jc w:val="left"/>
                  </w:pPr>
                  <w:r>
                    <w:t xml:space="preserve">(785)</w:t>
                  </w:r>
                  <w:r>
                    <w:t xml:space="preserve"> </w:t>
                  </w:r>
                  <w:r>
                    <w:t xml:space="preserve">296</w:t>
                    <w:noBreakHyphen/>
                    <w:t xml:space="preserve">2215;</w:t>
                  </w:r>
                  <w:r>
                    <w:t xml:space="preserve"> </w:t>
                  </w:r>
                  <w:r>
                    <w:t xml:space="preserve">(785)</w:t>
                  </w:r>
                  <w:r>
                    <w:t xml:space="preserve"> </w:t>
                  </w:r>
                  <w:r>
                    <w:t xml:space="preserve">296</w:t>
                    <w:noBreakHyphen/>
                    <w:t xml:space="preserve">3131</w:t>
                  </w:r>
                  <w:r>
                    <w:t xml:space="preserve"> </w:t>
                  </w:r>
                  <w:r>
                    <w:t xml:space="preserve">(FAX)</w:t>
                  </w:r>
                </w:p>
                <w:p>
                  <w:pPr>
                    <w:spacing w:before="0" w:after="0" w:line="299" w:lineRule="exact"/>
                    <w:ind w:left="4608" w:firstLine="0"/>
                    <w:jc w:val="left"/>
                  </w:pPr>
                  <w:r>
                    <w:t xml:space="preserve">Rachel.pickering@ag.ks.gov</w:t>
                  </w:r>
                </w:p>
                <w:p>
                  <w:pPr>
                    <w:spacing w:before="0" w:after="0" w:line="299" w:lineRule="exact"/>
                    <w:ind w:left="4608" w:firstLine="0"/>
                    <w:jc w:val="left"/>
                  </w:pPr>
                  <w:r>
                    <w:t xml:space="preserve">Counsel</w:t>
                  </w:r>
                  <w:r>
                    <w:t xml:space="preserve"> </w:t>
                  </w:r>
                  <w:r>
                    <w:t xml:space="preserve">for</w:t>
                  </w:r>
                  <w:r>
                    <w:t xml:space="preserve"> </w:t>
                  </w:r>
                  <w:r>
                    <w:t xml:space="preserve">Plaintiff/​Appellee</w:t>
                  </w:r>
                </w:p>
              </w:tc>
            </w:tr>
          </w:tbl>
          <w:p>
            <w:pPr>
              <w:spacing w:before="0" w:after="0" w:line="1" w:lineRule="exact"/>
            </w:pP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March</w:t>
      </w:r>
      <w:r>
        <w:t xml:space="preserve"> </w:t>
      </w:r>
      <w:r>
        <w:t xml:space="preserve">9,</w:t>
      </w:r>
      <w:r>
        <w:t xml:space="preserve"> </w:t>
      </w:r>
      <w:r>
        <w:t xml:space="preserve">2018,</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reply</w:t>
      </w:r>
      <w:r>
        <w:t xml:space="preserve"> </w:t>
      </w:r>
      <w:r>
        <w:t xml:space="preserve">brief</w:t>
      </w:r>
      <w:r>
        <w:t xml:space="preserve"> </w:t>
      </w:r>
      <w:r>
        <w:t xml:space="preserve">was</w:t>
      </w:r>
      <w:r>
        <w:t xml:space="preserve"> </w:t>
      </w:r>
      <w:r>
        <w:t xml:space="preserve">served</w:t>
      </w:r>
      <w:r>
        <w:t xml:space="preserve"> </w:t>
      </w:r>
      <w:r>
        <w:t xml:space="preserve">by</w:t>
      </w:r>
      <w:r>
        <w:t xml:space="preserve"> </w:t>
      </w:r>
      <w:r>
        <w:t xml:space="preserve">email</w:t>
      </w:r>
      <w:r>
        <w:t xml:space="preserve"> </w:t>
      </w:r>
      <w:r>
        <w:t xml:space="preserve">to</w:t>
      </w:r>
      <w:r>
        <w:t xml:space="preserve"> </w:t>
      </w:r>
      <w:r>
        <w:t xml:space="preserve">Reid</w:t>
      </w:r>
      <w:r>
        <w:t xml:space="preserve"> </w:t>
      </w:r>
      <w:r>
        <w:t xml:space="preserve">Nelson,</w:t>
      </w:r>
      <w:r>
        <w:t xml:space="preserve"> </w:t>
      </w:r>
      <w:r>
        <w:t xml:space="preserve">#12726</w:t>
      </w:r>
      <w:r>
        <w:t xml:space="preserve"> </w:t>
      </w:r>
      <w:r>
        <w:t xml:space="preserve">at</w:t>
      </w:r>
      <w:r>
        <w:t xml:space="preserve"> </w:t>
      </w:r>
      <w:r>
        <w:t xml:space="preserve">rnelson@sbids.org.</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04" w:after="0" w:line="299" w:lineRule="exact"/>
              <w:ind w:left="4608" w:firstLine="0"/>
              <w:jc w:val="left"/>
            </w:pPr>
            <w:r>
              <w:rPr>
                <w:b/>
                <w:bCs/>
              </w:rPr>
              <w:t xml:space="preserve">OFFICE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p>
          <w:p>
            <w:pPr>
              <w:spacing w:before="208" w:after="0" w:line="299" w:lineRule="exact"/>
              <w:ind w:left="4608" w:firstLine="0"/>
              <w:jc w:val="left"/>
            </w:pPr>
            <w:r>
              <w:rPr>
                <w:u w:val="single"/>
              </w:rPr>
              <w:t xml:space="preserve">/s/</w:t>
            </w:r>
            <w:r>
              <w:rPr>
                <w:u w:val="single"/>
              </w:rPr>
              <w:t xml:space="preserve"> </w:t>
            </w:r>
            <w:r>
              <w:rPr>
                <w:i/>
                <w:iCs/>
                <w:u w:val="single"/>
              </w:rPr>
              <w:t xml:space="preserve">Rachel</w:t>
            </w:r>
            <w:r>
              <w:rPr>
                <w:i/>
                <w:iCs/>
                <w:u w:val="single"/>
              </w:rPr>
              <w:t xml:space="preserve"> </w:t>
            </w:r>
            <w:r>
              <w:rPr>
                <w:i/>
                <w:iCs/>
                <w:u w:val="single"/>
              </w:rPr>
              <w:t xml:space="preserve">L.</w:t>
            </w:r>
            <w:r>
              <w:rPr>
                <w:i/>
                <w:iCs/>
                <w:u w:val="single"/>
              </w:rPr>
              <w:t xml:space="preserve"> </w:t>
            </w:r>
            <w:r>
              <w:rPr>
                <w:i/>
                <w:iCs/>
                <w:u w:val="single"/>
              </w:rPr>
              <w:t xml:space="preserve">Pickering</w:t>
            </w:r>
          </w:p>
          <w:p>
            <w:pPr>
              <w:spacing w:before="0" w:after="0" w:line="299" w:lineRule="exact"/>
              <w:ind w:left="4608" w:firstLine="0"/>
              <w:jc w:val="left"/>
            </w:pPr>
            <w:r>
              <w:t xml:space="preserve">Rachel</w:t>
            </w:r>
            <w:r>
              <w:t xml:space="preserve"> </w:t>
            </w:r>
            <w:r>
              <w:t xml:space="preserve">L.</w:t>
            </w:r>
            <w:r>
              <w:t xml:space="preserve"> </w:t>
            </w:r>
            <w:r>
              <w:t xml:space="preserve">Pickering</w:t>
            </w:r>
          </w:p>
          <w:p>
            <w:pPr>
              <w:spacing w:before="0" w:after="0" w:line="299" w:lineRule="exact"/>
              <w:ind w:left="4608" w:firstLine="0"/>
              <w:jc w:val="left"/>
            </w:pPr>
            <w:r>
              <w:t xml:space="preserve">#21747</w:t>
            </w:r>
          </w:p>
          <w:p>
            <w:pPr>
              <w:spacing w:before="0" w:after="0" w:line="299" w:lineRule="exact"/>
              <w:ind w:left="4608" w:firstLine="0"/>
              <w:jc w:val="left"/>
            </w:pPr>
            <w:r>
              <w:t xml:space="preserve">Assistant</w:t>
            </w:r>
            <w:r>
              <w:t xml:space="preserve"> </w:t>
            </w:r>
            <w:r>
              <w:t xml:space="preserve">Solicitor</w:t>
            </w:r>
            <w:r>
              <w:t xml:space="preserve"> </w:t>
            </w:r>
            <w:r>
              <w:t xml:space="preserve">General</w:t>
            </w:r>
          </w:p>
          <w:p>
            <w:pPr>
              <w:spacing w:before="0" w:after="0" w:line="299" w:lineRule="exact"/>
              <w:ind w:left="4608" w:firstLine="0"/>
              <w:jc w:val="left"/>
            </w:pPr>
            <w:r>
              <w:t xml:space="preserve">120</w:t>
            </w:r>
            <w:r>
              <w:t xml:space="preserve"> </w:t>
            </w:r>
            <w:r>
              <w:t xml:space="preserve">SW</w:t>
            </w:r>
            <w:r>
              <w:t xml:space="preserve"> </w:t>
            </w:r>
            <w:r>
              <w:t xml:space="preserve">10th</w:t>
            </w:r>
            <w:r>
              <w:t xml:space="preserve"> </w:t>
            </w:r>
            <w:r>
              <w:t xml:space="preserve">Street,</w:t>
            </w:r>
            <w:r>
              <w:t xml:space="preserve"> </w:t>
            </w:r>
            <w:r>
              <w:t xml:space="preserve">2nd</w:t>
            </w:r>
            <w:r>
              <w:t xml:space="preserve"> </w:t>
            </w:r>
            <w:r>
              <w:t xml:space="preserve">Floor</w:t>
            </w:r>
          </w:p>
          <w:p>
            <w:pPr>
              <w:spacing w:before="0" w:after="0" w:line="299" w:lineRule="exact"/>
              <w:ind w:left="4608" w:firstLine="0"/>
              <w:jc w:val="left"/>
            </w:pPr>
            <w:r>
              <w:t xml:space="preserve">Topeka,</w:t>
            </w:r>
            <w:r>
              <w:t xml:space="preserve"> </w:t>
            </w:r>
            <w:r>
              <w:t xml:space="preserve">Kansas</w:t>
            </w:r>
            <w:r>
              <w:t xml:space="preserve"> </w:t>
            </w:r>
            <w:r>
              <w:t xml:space="preserve">66612</w:t>
            </w:r>
          </w:p>
          <w:p>
            <w:pPr>
              <w:spacing w:before="0" w:after="0" w:line="299" w:lineRule="exact"/>
              <w:ind w:left="4608" w:firstLine="0"/>
              <w:jc w:val="left"/>
            </w:pPr>
            <w:r>
              <w:t xml:space="preserve">(785)</w:t>
            </w:r>
            <w:r>
              <w:t xml:space="preserve"> </w:t>
            </w:r>
            <w:r>
              <w:t xml:space="preserve">296</w:t>
              <w:noBreakHyphen/>
              <w:t xml:space="preserve">2215;</w:t>
            </w:r>
            <w:r>
              <w:t xml:space="preserve"> </w:t>
            </w:r>
            <w:r>
              <w:t xml:space="preserve">(785)</w:t>
            </w:r>
            <w:r>
              <w:t xml:space="preserve"> </w:t>
            </w:r>
            <w:r>
              <w:t xml:space="preserve">296</w:t>
              <w:noBreakHyphen/>
              <w:t xml:space="preserve">3131</w:t>
            </w:r>
            <w:r>
              <w:t xml:space="preserve"> </w:t>
            </w:r>
            <w:r>
              <w:t xml:space="preserve">(FAX)</w:t>
            </w:r>
          </w:p>
          <w:p>
            <w:pPr>
              <w:spacing w:before="0" w:after="0" w:line="299" w:lineRule="exact"/>
              <w:ind w:left="4608" w:firstLine="0"/>
              <w:jc w:val="left"/>
            </w:pPr>
            <w:r>
              <w:t xml:space="preserve">Rachel.pickering@ag.ks.gov</w:t>
            </w:r>
          </w:p>
          <w:p>
            <w:pPr>
              <w:spacing w:before="0" w:after="0" w:line="299" w:lineRule="exact"/>
              <w:ind w:left="4608" w:firstLine="0"/>
              <w:jc w:val="left"/>
            </w:pPr>
            <w:r>
              <w:t xml:space="preserve">Counsel</w:t>
            </w:r>
            <w:r>
              <w:t xml:space="preserve"> </w:t>
            </w:r>
            <w:r>
              <w:t xml:space="preserve">for</w:t>
            </w:r>
            <w:r>
              <w:t xml:space="preserve"> </w:t>
            </w:r>
            <w:r>
              <w:t xml:space="preserve">Plaintiff/​Appellee</w:t>
            </w:r>
          </w:p>
        </w:tc>
      </w:tr>
    </w:tbl>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