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exact"/>
        <w:ind w:left="0" w:firstLine="0"/>
        <w:jc w:val="left"/>
      </w:pPr>
      <w:r>
        <w:t xml:space="preserve">TAYLOR</w:t>
      </w:r>
      <w:r>
        <w:t xml:space="preserve"> </w:t>
      </w:r>
      <w:r>
        <w:t xml:space="preserve">ARANA</w:t>
      </w:r>
      <w:r>
        <w:t xml:space="preserve"> </w:t>
      </w:r>
      <w:r>
        <w:t xml:space="preserve">(IL</w:t>
      </w:r>
      <w:r>
        <w:t xml:space="preserve"> </w:t>
      </w:r>
      <w:r>
        <w:t xml:space="preserve">Bar</w:t>
      </w:r>
      <w:r>
        <w:t xml:space="preserve"> </w:t>
      </w:r>
      <w:r>
        <w:t xml:space="preserve">#</w:t>
      </w:r>
      <w:r>
        <w:t xml:space="preserve"> </w:t>
      </w:r>
      <w:r>
        <w:t xml:space="preserve">6329393)</w:t>
      </w:r>
    </w:p>
    <w:p>
      <w:pPr>
        <w:spacing w:before="0" w:after="0" w:line="240" w:lineRule="exact"/>
        <w:ind w:left="0" w:firstLine="0"/>
        <w:jc w:val="left"/>
      </w:pPr>
      <w:r>
        <w:t xml:space="preserve">230</w:t>
      </w:r>
      <w:r>
        <w:t xml:space="preserve"> </w:t>
      </w:r>
      <w:r>
        <w:t xml:space="preserve">S.</w:t>
      </w:r>
      <w:r>
        <w:t xml:space="preserve"> </w:t>
      </w:r>
      <w:r>
        <w:t xml:space="preserve">Dearborn,</w:t>
      </w:r>
      <w:r>
        <w:t xml:space="preserve"> </w:t>
      </w:r>
      <w:r>
        <w:t xml:space="preserve">Suite</w:t>
      </w:r>
      <w:r>
        <w:t xml:space="preserve"> </w:t>
      </w:r>
      <w:r>
        <w:t xml:space="preserve">3030</w:t>
      </w:r>
    </w:p>
    <w:p>
      <w:pPr>
        <w:spacing w:before="0" w:after="0" w:line="240" w:lineRule="exact"/>
        <w:ind w:left="0" w:firstLine="0"/>
        <w:jc w:val="left"/>
      </w:pPr>
      <w:r>
        <w:t xml:space="preserve">Chicago,</w:t>
      </w:r>
      <w:r>
        <w:t xml:space="preserve"> </w:t>
      </w:r>
      <w:r>
        <w:t xml:space="preserve">IL</w:t>
      </w:r>
      <w:r>
        <w:t xml:space="preserve"> </w:t>
      </w:r>
      <w:r>
        <w:t xml:space="preserve">60604</w:t>
      </w:r>
    </w:p>
    <w:p>
      <w:pPr>
        <w:spacing w:before="0" w:after="0" w:line="240" w:lineRule="exact"/>
        <w:ind w:left="0" w:firstLine="0"/>
        <w:jc w:val="left"/>
      </w:pPr>
      <w:r>
        <w:t xml:space="preserve">Email:</w:t>
      </w:r>
      <w:r>
        <w:t xml:space="preserve"> </w:t>
      </w:r>
      <w:r>
        <w:t xml:space="preserve">tarana@ftc.gov</w:t>
      </w:r>
    </w:p>
    <w:p>
      <w:pPr>
        <w:spacing w:before="0" w:after="0" w:line="240" w:lineRule="exact"/>
        <w:ind w:left="0" w:firstLine="0"/>
        <w:jc w:val="left"/>
      </w:pPr>
      <w:r>
        <w:t xml:space="preserve">Phone:</w:t>
      </w:r>
      <w:r>
        <w:t xml:space="preserve"> </w:t>
      </w:r>
      <w:r>
        <w:t xml:space="preserve">(312)</w:t>
      </w:r>
      <w:r>
        <w:t xml:space="preserve"> </w:t>
      </w:r>
      <w:r>
        <w:t xml:space="preserve">960-⁠5639</w:t>
      </w:r>
    </w:p>
    <w:p>
      <w:pPr>
        <w:spacing w:before="0" w:after="0" w:line="240"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Petitioner</w:t>
      </w:r>
      <w:r>
        <w:rPr>
          <w:i/>
          <w:iCs/>
        </w:rPr>
        <w:t xml:space="preserve"> </w:t>
      </w:r>
      <w:r>
        <w:rPr>
          <w:i/>
          <w:iCs/>
        </w:rPr>
        <w:t xml:space="preserve">Federal</w:t>
      </w:r>
      <w:r>
        <w:rPr>
          <w:i/>
          <w:iCs/>
        </w:rPr>
        <w:t xml:space="preserve"> </w:t>
      </w:r>
      <w:r>
        <w:rPr>
          <w:i/>
          <w:iCs/>
        </w:rPr>
        <w:t xml:space="preserve">Trade</w:t>
      </w:r>
      <w:r>
        <w:rPr>
          <w:i/>
          <w:iCs/>
        </w:rPr>
        <w:t xml:space="preserve"> </w:t>
      </w:r>
      <w:r>
        <w:rPr>
          <w:i/>
          <w:iCs/>
        </w:rPr>
        <w:t xml:space="preserve">Commission,</w:t>
      </w:r>
      <w:r>
        <w:rPr>
          <w:i/>
          <w:iCs/>
        </w:rPr>
        <w:t xml:space="preserve"> </w:t>
      </w:r>
      <w:r>
        <w:rPr>
          <w:i/>
          <w:iCs/>
        </w:rPr>
        <w:t xml:space="preserve">Appearing</w:t>
      </w:r>
      <w:r>
        <w:rPr>
          <w:i/>
          <w:iCs/>
        </w:rPr>
        <w:t xml:space="preserve"> </w:t>
      </w:r>
      <w:r>
        <w:rPr>
          <w:i/>
          <w:iCs/>
        </w:rPr>
        <w:t xml:space="preserve">Pursuant</w:t>
      </w:r>
      <w:r>
        <w:rPr>
          <w:i/>
          <w:iCs/>
        </w:rPr>
        <w:t xml:space="preserve"> </w:t>
      </w:r>
      <w:r>
        <w:rPr>
          <w:i/>
          <w:iCs/>
        </w:rPr>
        <w:t xml:space="preserve">to</w:t>
      </w:r>
      <w:r>
        <w:rPr>
          <w:i/>
          <w:iCs/>
        </w:rPr>
        <w:t xml:space="preserve"> </w:t>
      </w:r>
      <w:r>
        <w:rPr>
          <w:i/>
          <w:iCs/>
        </w:rPr>
        <w:t xml:space="preserve">Civil</w:t>
      </w:r>
      <w:r>
        <w:rPr>
          <w:i/>
          <w:iCs/>
        </w:rPr>
        <w:t xml:space="preserve"> </w:t>
      </w:r>
      <w:r>
        <w:rPr>
          <w:i/>
          <w:iCs/>
        </w:rPr>
        <w:t xml:space="preserve">L.R.</w:t>
      </w:r>
      <w:r>
        <w:rPr>
          <w:i/>
          <w:iCs/>
        </w:rPr>
        <w:t xml:space="preserve"> </w:t>
      </w:r>
      <w:r>
        <w:rPr>
          <w:i/>
          <w:iCs/>
        </w:rPr>
        <w:t xml:space="preserve">11-⁠2</w:t>
      </w:r>
    </w:p>
    <w:p>
      <w:pPr>
        <w:spacing w:before="480" w:after="0" w:line="240"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40" w:lineRule="exact"/>
        <w:ind w:left="0" w:firstLine="0"/>
        <w:jc w:val="center"/>
      </w:pPr>
      <w:r>
        <w:rPr>
          <w:b/>
          <w:bCs/>
        </w:rPr>
        <w:t xml:space="preserve">NORTHERN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CALIFORNIA</w:t>
      </w:r>
    </w:p>
    <w:p>
      <w:pPr>
        <w:spacing w:before="460" w:after="0" w:line="20" w:lineRule="exact"/>
        <w:ind w:left="0" w:firstLine="0"/>
        <w:jc w:val="lef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320"/>
        <w:gridCol w:w="4320"/>
      </w:tblGrid>
      <w:tr>
        <w:trPr>
          <w:cantSplit/>
        </w:trPr>
        <w:tc>
          <w:tcPr>
            <w:tcW w:w="4320" w:type="dxa"/>
            <w:tcBorders>
              <w:bottom w:val="single" w:sz="6" w:space="0" w:color="000000"/>
              <w:right w:val="single" w:sz="6" w:space="0" w:color="000000"/>
            </w:tcBorders>
            <w:tcMar>
              <w:bottom w:w="240" w:type="dxa"/>
              <w:right w:w="288" w:type="dxa"/>
            </w:tcMar>
          </w:tcPr>
          <w:p>
            <w:pPr>
              <w:spacing w:before="0" w:after="0" w:line="240" w:lineRule="exact"/>
              <w:ind w:left="0" w:firstLine="0"/>
              <w:jc w:val="left"/>
            </w:pPr>
            <w:r>
              <w:t xml:space="preserve">Federal</w:t>
            </w:r>
            <w:r>
              <w:t xml:space="preserve"> </w:t>
            </w:r>
            <w:r>
              <w:t xml:space="preserve">Trade</w:t>
            </w:r>
            <w:r>
              <w:t xml:space="preserve"> </w:t>
            </w:r>
            <w:r>
              <w:t xml:space="preserve">Commission</w:t>
            </w:r>
          </w:p>
          <w:p>
            <w:pPr>
              <w:spacing w:before="0" w:after="0" w:line="240" w:lineRule="exact"/>
              <w:ind w:left="2592" w:firstLine="0"/>
              <w:jc w:val="left"/>
            </w:pPr>
            <w:r>
              <w:t xml:space="preserve">Petitioner,</w:t>
            </w:r>
          </w:p>
          <w:p>
            <w:pPr>
              <w:spacing w:before="240" w:after="0" w:line="240" w:lineRule="exact"/>
              <w:ind w:left="0" w:firstLine="0"/>
              <w:jc w:val="center"/>
            </w:pPr>
            <w:r>
              <w:t xml:space="preserve">v.</w:t>
            </w:r>
          </w:p>
          <w:p>
            <w:pPr>
              <w:spacing w:before="240" w:after="0" w:line="240" w:lineRule="exact"/>
              <w:ind w:left="0" w:firstLine="0"/>
              <w:jc w:val="left"/>
            </w:pPr>
            <w:r>
              <w:t xml:space="preserve">Block,</w:t>
            </w:r>
            <w:r>
              <w:t xml:space="preserve"> </w:t>
            </w:r>
            <w:r>
              <w:t xml:space="preserve">Inc.</w:t>
            </w:r>
          </w:p>
          <w:p>
            <w:pPr>
              <w:spacing w:before="0" w:after="0" w:line="240" w:lineRule="exact"/>
              <w:ind w:left="2592" w:firstLine="0"/>
              <w:jc w:val="left"/>
            </w:pPr>
            <w:r>
              <w:t xml:space="preserve">Respondent.</w:t>
            </w:r>
          </w:p>
        </w:tc>
        <w:tc>
          <w:tcPr>
            <w:tcW w:w="4320" w:type="dxa"/>
            <w:tcMar>
              <w:left w:w="288" w:type="dxa"/>
            </w:tcMar>
          </w:tcPr>
          <w:p>
            <w:pPr>
              <w:spacing w:before="72" w:after="0" w:line="240" w:lineRule="exact"/>
              <w:ind w:left="0" w:firstLine="0"/>
              <w:jc w:val="left"/>
            </w:pPr>
            <w:r>
              <w:t xml:space="preserve">Case No. 26-⁠80299</w:t>
            </w:r>
          </w:p>
          <w:p>
            <w:pPr>
              <w:spacing w:before="240" w:after="0" w:line="240" w:lineRule="exact"/>
              <w:ind w:left="0" w:firstLine="0"/>
              <w:jc w:val="left"/>
            </w:pPr>
            <w:r>
              <w:rPr>
                <w:b/>
                <w:bCs/>
              </w:rPr>
              <w:t xml:space="preserve">[PROPOSED]</w:t>
            </w:r>
            <w:r>
              <w:rPr>
                <w:b/>
                <w:bCs/>
              </w:rPr>
              <w:t xml:space="preserve"> </w:t>
            </w:r>
            <w:r>
              <w:rPr>
                <w:b/>
                <w:bCs/>
              </w:rPr>
              <w:t xml:space="preserve">ORDER</w:t>
            </w:r>
            <w:r>
              <w:rPr>
                <w:b/>
                <w:bCs/>
              </w:rPr>
              <w:t xml:space="preserve"> </w:t>
            </w:r>
            <w:r>
              <w:rPr>
                <w:b/>
                <w:bCs/>
              </w:rPr>
              <w:t xml:space="preserve">TO</w:t>
            </w:r>
            <w:r>
              <w:rPr>
                <w:b/>
                <w:bCs/>
              </w:rPr>
              <w:t xml:space="preserve"> </w:t>
            </w:r>
            <w:r>
              <w:rPr>
                <w:b/>
                <w:bCs/>
              </w:rPr>
              <w:t xml:space="preserve">SHOW</w:t>
            </w:r>
            <w:r>
              <w:rPr>
                <w:b/>
                <w:bCs/>
              </w:rPr>
              <w:t xml:space="preserve"> </w:t>
            </w:r>
            <w:r>
              <w:rPr>
                <w:b/>
                <w:bCs/>
              </w:rPr>
              <w:t xml:space="preserve">CAUSE</w:t>
            </w:r>
          </w:p>
        </w:tc>
      </w:tr>
    </w:tbl>
    <w:p>
      <w:pPr>
        <w:pStyle w:val="BodyText"/>
      </w:pPr>
      <w:r>
        <w:t xml:space="preserve">Petitioner, the Federal Trade Commission (</w:t>
      </w:r>
      <w:r>
        <w:t xml:space="preserve">“FTC”</w:t>
      </w:r>
      <w:r>
        <w:t xml:space="preserve"> </w:t>
      </w:r>
      <w:r>
        <w:t xml:space="preserve">or</w:t>
      </w:r>
      <w:r>
        <w:t xml:space="preserve"> </w:t>
      </w:r>
      <w:r>
        <w:t xml:space="preserve">“Commission”</w:t>
      </w:r>
      <w:r>
        <w:t xml:space="preserve">), under the authority conferred by Section 20 of the FTC Act, 15 U.S.C. § 57b-⁠1 and Fed. R. Civ. P. 81(a)⁠(5), has invoked the aid of this Court for an order requiring Respondent, Block, Inc. (</w:t>
      </w:r>
      <w:r>
        <w:t xml:space="preserve">“Respondent”</w:t>
      </w:r>
      <w:r>
        <w:t xml:space="preserve">) to comply with a civil investigative demand (</w:t>
      </w:r>
      <w:r>
        <w:t xml:space="preserve">“CID”</w:t>
      </w:r>
      <w:r>
        <w:t xml:space="preserve">), issued to it on January 22, 2026, in aid of an FTC law enforcement investigation.</w:t>
      </w:r>
    </w:p>
    <w:p>
      <w:pPr>
        <w:pStyle w:val="BodyText"/>
      </w:pPr>
      <w:r>
        <w:t xml:space="preserve">The Court has considered the FTC’s Petition to Enforce Civil Investigative Demand and the papers filed in support thereof; and it appears to the Court that Petitioner has shown good cause for the entry of this Order.</w:t>
      </w:r>
    </w:p>
    <w:p>
      <w:pPr>
        <w:pStyle w:val="BodyText"/>
      </w:pPr>
      <w:r>
        <w:t xml:space="preserve">It is, therefore, ORDERED that, within _____ days after entry of this Order, by ____________________, 2026, Respondent shall:</w:t>
      </w:r>
    </w:p>
    <w:p>
      <w:pPr>
        <w:pStyle w:val="BodyText"/>
      </w:pPr>
      <w:r>
        <w:t xml:space="preserve">(1) Produce forthwith to the Commission: (a) a complete response to Interrogatory 46 set forth in the Commission’s January 22, 2026, CID; (b) all non-privileged documents responsive to Requests for Production 1, 7-⁠9, 17, and 21 set forth in the Commission’s January 22, 2026, CID; (c) a signed certification of compliance in the form attached to the Commission’s January 22, 2026, CID to certify that Block’s responses to the CID are complete; and (d) a signed and dated verification under penalty of perjury that each interrogatory response is true and correct as required by the Commission’s January 22, 2026, CID;</w:t>
      </w:r>
    </w:p>
    <w:p>
      <w:pPr>
        <w:pStyle w:val="BodyText"/>
      </w:pPr>
      <w:r>
        <w:t xml:space="preserve">OR</w:t>
      </w:r>
    </w:p>
    <w:p>
      <w:pPr>
        <w:pStyle w:val="BodyText"/>
      </w:pPr>
      <w:r>
        <w:t xml:space="preserve">(2) By that date, file with the Court and serve (by hand or electronically via email) on counsel for the Commission its response to the Commission’s Petition. As Respondent did not file a petition to limit or quash the January 22, 2026, CID, any response to the Commission must demonstrate good cause for the failure to raise such objections previously. Absent such good cause shown, no objections that could have been, but were not, raised in an administrative petition to quash shall be considered. Any reply by the Commission to an opposition filed by Respondent shall be filed with the Court and served (by hand or electronically via email) on counsel for Respondent. Such reply shall be filed and served no later than ______ days after service of Respondent’s opposition.</w:t>
      </w:r>
    </w:p>
    <w:p>
      <w:pPr>
        <w:pStyle w:val="BodyText"/>
      </w:pPr>
      <w:r>
        <w:t xml:space="preserve">IT IS FURTHER ORDERED that if Respondent files an opposition, Respondent and counsel for the FTC shall appear at __ __ a.m./​p.m. on the ____ day of ____________, 2026, in Courtroom No. ____ of the United States Courthouse for the Northern District of California, in ____________, California, and Respondent shall show cause, if any there be, why this Court should not enter an order, subject to the penalty of contempt, directing Respondent to comply with the Commission’s January 22, 2026, CID. Unless the Court determines otherwise, notwithstanding the filing or pending of any procedural or other motions, all issues raised by the Petition and supporting papers, and any opposition to the petition will be considered at the hearing on the Petition, and the allegations of said Petition shall be deemed admitted unless controverted by a specific factual showing; and</w:t>
      </w:r>
    </w:p>
    <w:p>
      <w:pPr>
        <w:pStyle w:val="BodyText"/>
      </w:pPr>
      <w:r>
        <w:t xml:space="preserve">IT IS FURTHER ORDERED that, pursuant to Fed. R. Civ. P. 81(a)⁠(5) and 26(a)⁠(1)⁠(B)⁠(v), this is a summary proceeding and no party shall be entitled to discovery without further order of the Court upon a specific showing of need; and that the dates for a hearing and the filing of papers established by this Order shall not be altered without prior order of the Court upon good cause shown; and</w:t>
      </w:r>
    </w:p>
    <w:p>
      <w:pPr>
        <w:pStyle w:val="BodyText"/>
      </w:pPr>
      <w:r>
        <w:t xml:space="preserve">IT IS FURTHER ORDERED that a copy of this Order and copies of said Petition and exhibits filed therewith shall be served forthwith by Petitioner upon Respondent and/​or its counsel, using as expeditious means as practicable.</w:t>
      </w:r>
    </w:p>
    <w:p>
      <w:pPr>
        <w:pStyle w:val="BodyText"/>
      </w:pPr>
      <w:r>
        <w:t xml:space="preserve">IT IS SO ORDERED this __ day of ____________________, 2026.</w:t>
      </w:r>
    </w:p>
    <w:p>
      <w:pPr>
        <w:keepNext/>
        <w:keepLines/>
        <w:spacing w:before="460" w:after="0" w:line="20" w:lineRule="exact"/>
        <w:ind w:left="0" w:firstLine="0"/>
        <w:jc w:val="lef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032"/>
        <w:gridCol w:w="4608"/>
      </w:tblGrid>
      <w:tr>
        <w:trPr>
          <w:cantSplit/>
        </w:trPr>
        <w:tc>
          <w:tcPr>
            <w:tcW w:w="4032" w:type="dxa"/>
          </w:tcPr>
          <w:p>
            <w:pPr>
              <w:spacing w:before="0" w:after="0" w:line="240" w:lineRule="exact"/>
              <w:ind w:left="0" w:firstLine="0"/>
              <w:jc w:val="left"/>
            </w:pPr>
          </w:p>
        </w:tc>
        <w:tc>
          <w:tcPr>
            <w:tcW w:w="4608" w:type="dxa"/>
            <w:tcBorders>
              <w:top w:val="single" w:sz="6" w:space="0" w:color="000000"/>
            </w:tcBorders>
          </w:tcPr>
          <w:p>
            <w:pPr>
              <w:spacing w:before="0" w:after="0" w:line="240" w:lineRule="exact"/>
              <w:ind w:left="0" w:firstLine="0"/>
              <w:jc w:val="left"/>
            </w:pPr>
            <w:r>
              <w:t xml:space="preserve">United States District Judge</w:t>
            </w:r>
          </w:p>
        </w:tc>
      </w:tr>
    </w:tbl>
    <w:sectPr>
      <w:footerReference w:type="default" r:id="rIdCandFooter"/>
      <w:pgSz w:w="12240" w:h="15840"/>
      <w:pgMar w:top="1200" w:right="1440" w:bottom="1200" w:left="2160" w:header="720" w:footer="16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0" w:lineRule="exact"/>
    </w:pPr>
    <w:r>
      <w:pict xmlns:v="urn:schemas-microsoft-com:vml" xmlns:o="urn:schemas-microsoft-com:office:office">
        <v:shape id="CandLineNumbers" filled="f" stroked="f" style="position:absolute;mso-position-horizontal:absolute;mso-position-horizontal-relative:page;mso-position-vertical:absolute;mso-position-vertical-relative:page;margin-left:4pt;margin-top:55.75pt;width:72.0pt;height:684.0pt;z-index:-251658752">
          <v:textbox inset="0pt,0pt,0pt,0pt">
            <w:txbxContent>
              <w:p>
                <w:pPr>
                  <w:spacing w:before="0" w:after="0" w:line="480" w:lineRule="exact"/>
                  <w:ind w:left="0" w:firstLine="0"/>
                  <w:jc w:val="right"/>
                </w:pPr>
                <w:r>
                  <w:t xml:space="preserve">1</w:t>
                </w:r>
              </w:p>
              <w:p>
                <w:pPr>
                  <w:spacing w:before="0" w:after="0" w:line="480" w:lineRule="exact"/>
                  <w:ind w:left="0" w:firstLine="0"/>
                  <w:jc w:val="right"/>
                </w:pPr>
                <w:r>
                  <w:t xml:space="preserve">2</w:t>
                </w:r>
              </w:p>
              <w:p>
                <w:pPr>
                  <w:spacing w:before="0" w:after="0" w:line="480" w:lineRule="exact"/>
                  <w:ind w:left="0" w:firstLine="0"/>
                  <w:jc w:val="right"/>
                </w:pPr>
                <w:r>
                  <w:t xml:space="preserve">3</w:t>
                </w:r>
              </w:p>
              <w:p>
                <w:pPr>
                  <w:spacing w:before="0" w:after="0" w:line="480" w:lineRule="exact"/>
                  <w:ind w:left="0" w:firstLine="0"/>
                  <w:jc w:val="right"/>
                </w:pPr>
                <w:r>
                  <w:t xml:space="preserve">4</w:t>
                </w:r>
              </w:p>
              <w:p>
                <w:pPr>
                  <w:spacing w:before="0" w:after="0" w:line="480" w:lineRule="exact"/>
                  <w:ind w:left="0" w:firstLine="0"/>
                  <w:jc w:val="right"/>
                </w:pPr>
                <w:r>
                  <w:t xml:space="preserve">5</w:t>
                </w:r>
              </w:p>
              <w:p>
                <w:pPr>
                  <w:spacing w:before="0" w:after="0" w:line="480" w:lineRule="exact"/>
                  <w:ind w:left="0" w:firstLine="0"/>
                  <w:jc w:val="right"/>
                </w:pPr>
                <w:r>
                  <w:t xml:space="preserve">6</w:t>
                </w:r>
              </w:p>
              <w:p>
                <w:pPr>
                  <w:spacing w:before="0" w:after="0" w:line="480" w:lineRule="exact"/>
                  <w:ind w:left="0" w:firstLine="0"/>
                  <w:jc w:val="right"/>
                </w:pPr>
                <w:r>
                  <w:t xml:space="preserve">7</w:t>
                </w:r>
              </w:p>
              <w:p>
                <w:pPr>
                  <w:spacing w:before="0" w:after="0" w:line="480" w:lineRule="exact"/>
                  <w:ind w:left="0" w:firstLine="0"/>
                  <w:jc w:val="right"/>
                </w:pPr>
                <w:r>
                  <w:t xml:space="preserve">8</w:t>
                </w:r>
              </w:p>
              <w:p>
                <w:pPr>
                  <w:spacing w:before="0" w:after="0" w:line="480" w:lineRule="exact"/>
                  <w:ind w:left="0" w:firstLine="0"/>
                  <w:jc w:val="right"/>
                </w:pPr>
                <w:r>
                  <w:t xml:space="preserve">9</w:t>
                </w:r>
              </w:p>
              <w:p>
                <w:pPr>
                  <w:spacing w:before="0" w:after="0" w:line="480" w:lineRule="exact"/>
                  <w:ind w:left="0" w:firstLine="0"/>
                  <w:jc w:val="right"/>
                </w:pPr>
                <w:r>
                  <w:t xml:space="preserve">10</w:t>
                </w:r>
              </w:p>
              <w:p>
                <w:pPr>
                  <w:spacing w:before="0" w:after="0" w:line="480" w:lineRule="exact"/>
                  <w:ind w:left="0" w:firstLine="0"/>
                  <w:jc w:val="right"/>
                </w:pPr>
                <w:r>
                  <w:t xml:space="preserve">11</w:t>
                </w:r>
              </w:p>
              <w:p>
                <w:pPr>
                  <w:spacing w:before="0" w:after="0" w:line="480" w:lineRule="exact"/>
                  <w:ind w:left="0" w:firstLine="0"/>
                  <w:jc w:val="right"/>
                </w:pPr>
                <w:r>
                  <w:t xml:space="preserve">12</w:t>
                </w:r>
              </w:p>
              <w:p>
                <w:pPr>
                  <w:spacing w:before="0" w:after="0" w:line="480" w:lineRule="exact"/>
                  <w:ind w:left="0" w:firstLine="0"/>
                  <w:jc w:val="right"/>
                </w:pPr>
                <w:r>
                  <w:t xml:space="preserve">13</w:t>
                </w:r>
              </w:p>
              <w:p>
                <w:pPr>
                  <w:spacing w:before="0" w:after="0" w:line="480" w:lineRule="exact"/>
                  <w:ind w:left="0" w:firstLine="0"/>
                  <w:jc w:val="right"/>
                </w:pPr>
                <w:r>
                  <w:t xml:space="preserve">14</w:t>
                </w:r>
              </w:p>
              <w:p>
                <w:pPr>
                  <w:spacing w:before="0" w:after="0" w:line="480" w:lineRule="exact"/>
                  <w:ind w:left="0" w:firstLine="0"/>
                  <w:jc w:val="right"/>
                </w:pPr>
                <w:r>
                  <w:t xml:space="preserve">15</w:t>
                </w:r>
              </w:p>
              <w:p>
                <w:pPr>
                  <w:spacing w:before="0" w:after="0" w:line="480" w:lineRule="exact"/>
                  <w:ind w:left="0" w:firstLine="0"/>
                  <w:jc w:val="right"/>
                </w:pPr>
                <w:r>
                  <w:t xml:space="preserve">16</w:t>
                </w:r>
              </w:p>
              <w:p>
                <w:pPr>
                  <w:spacing w:before="0" w:after="0" w:line="480" w:lineRule="exact"/>
                  <w:ind w:left="0" w:firstLine="0"/>
                  <w:jc w:val="right"/>
                </w:pPr>
                <w:r>
                  <w:t xml:space="preserve">17</w:t>
                </w:r>
              </w:p>
              <w:p>
                <w:pPr>
                  <w:spacing w:before="0" w:after="0" w:line="480" w:lineRule="exact"/>
                  <w:ind w:left="0" w:firstLine="0"/>
                  <w:jc w:val="right"/>
                </w:pPr>
                <w:r>
                  <w:t xml:space="preserve">18</w:t>
                </w:r>
              </w:p>
              <w:p>
                <w:pPr>
                  <w:spacing w:before="0" w:after="0" w:line="480" w:lineRule="exact"/>
                  <w:ind w:left="0" w:firstLine="0"/>
                  <w:jc w:val="right"/>
                </w:pPr>
                <w:r>
                  <w:t xml:space="preserve">19</w:t>
                </w:r>
              </w:p>
              <w:p>
                <w:pPr>
                  <w:spacing w:before="0" w:after="0" w:line="480" w:lineRule="exact"/>
                  <w:ind w:left="0" w:firstLine="0"/>
                  <w:jc w:val="right"/>
                </w:pPr>
                <w:r>
                  <w:t xml:space="preserve">20</w:t>
                </w:r>
              </w:p>
              <w:p>
                <w:pPr>
                  <w:spacing w:before="0" w:after="0" w:line="480" w:lineRule="exact"/>
                  <w:ind w:left="0" w:firstLine="0"/>
                  <w:jc w:val="right"/>
                </w:pPr>
                <w:r>
                  <w:t xml:space="preserve">21</w:t>
                </w:r>
              </w:p>
              <w:p>
                <w:pPr>
                  <w:spacing w:before="0" w:after="0" w:line="480" w:lineRule="exact"/>
                  <w:ind w:left="0" w:firstLine="0"/>
                  <w:jc w:val="right"/>
                </w:pPr>
                <w:r>
                  <w:t xml:space="preserve">22</w:t>
                </w:r>
              </w:p>
              <w:p>
                <w:pPr>
                  <w:spacing w:before="0" w:after="0" w:line="480" w:lineRule="exact"/>
                  <w:ind w:left="0" w:firstLine="0"/>
                  <w:jc w:val="right"/>
                </w:pPr>
                <w:r>
                  <w:t xml:space="preserve">23</w:t>
                </w:r>
              </w:p>
              <w:p>
                <w:pPr>
                  <w:spacing w:before="0" w:after="0" w:line="480" w:lineRule="exact"/>
                  <w:ind w:left="0" w:firstLine="0"/>
                  <w:jc w:val="right"/>
                </w:pPr>
                <w:r>
                  <w:t xml:space="preserve">24</w:t>
                </w:r>
              </w:p>
              <w:p>
                <w:pPr>
                  <w:spacing w:before="0" w:after="0" w:line="480" w:lineRule="exact"/>
                  <w:ind w:left="0" w:firstLine="0"/>
                  <w:jc w:val="right"/>
                </w:pPr>
                <w:r>
                  <w:t xml:space="preserve">25</w:t>
                </w:r>
              </w:p>
              <w:p>
                <w:pPr>
                  <w:spacing w:before="0" w:after="0" w:line="480" w:lineRule="exact"/>
                  <w:ind w:left="0" w:firstLine="0"/>
                  <w:jc w:val="right"/>
                </w:pPr>
                <w:r>
                  <w:t xml:space="preserve">26</w:t>
                </w:r>
              </w:p>
              <w:p>
                <w:pPr>
                  <w:spacing w:before="0" w:after="0" w:line="480" w:lineRule="exact"/>
                  <w:ind w:left="0" w:firstLine="0"/>
                  <w:jc w:val="right"/>
                </w:pPr>
                <w:r>
                  <w:t xml:space="preserve">27</w:t>
                </w:r>
              </w:p>
              <w:p>
                <w:pPr>
                  <w:spacing w:before="0" w:after="0" w:line="480" w:lineRule="exact"/>
                  <w:ind w:left="0" w:firstLine="0"/>
                  <w:jc w:val="right"/>
                </w:pPr>
                <w:r>
                  <w:t xml:space="preserve">28</w:t>
                </w:r>
              </w:p>
            </w:txbxContent>
          </v:textbox>
        </v:shape>
      </w:pict>
    </w:r>
    <w:r>
      <w:pict xmlns:v="urn:schemas-microsoft-com:vml" xmlns:o="urn:schemas-microsoft-com:office:office">
        <v:rect id="CandRule1" fillcolor="black" filled="t" stroked="f" style="position:absolute;mso-position-horizontal:absolute;mso-position-horizontal-relative:page;mso-position-vertical:absolute;mso-position-vertical-relative:page;margin-left:93.23pt;margin-top:0;width:0.75pt;height:792pt;z-index:-251658701"/>
      </w:pict>
    </w:r>
    <w:r>
      <w:pict xmlns:v="urn:schemas-microsoft-com:vml" xmlns:o="urn:schemas-microsoft-com:office:office">
        <v:rect id="CandRule2" fillcolor="black" filled="t" stroked="f" style="position:absolute;mso-position-horizontal:absolute;mso-position-horizontal-relative:page;mso-position-vertical:absolute;mso-position-vertical-relative:page;margin-left:96.11pt;margin-top:0;width:0.75pt;height:792pt;z-index:-251658702"/>
      </w:pict>
    </w:r>
    <w:r>
      <w:pict xmlns:v="urn:schemas-microsoft-com:vml" xmlns:o="urn:schemas-microsoft-com:office:office">
        <v:rect id="CandRule3" fillcolor="black" filled="t" stroked="f" style="position:absolute;mso-position-horizontal:absolute;mso-position-horizontal-relative:page;mso-position-vertical:absolute;mso-position-vertical-relative:page;margin-left:546.82pt;margin-top:0;width:0.75pt;height:792pt;z-index:-251658703"/>
      </w:pict>
    </w:r>
  </w:p>
  <w:p>
    <w:pPr>
      <w:spacing w:before="0" w:after="0" w:line="230" w:lineRule="exact"/>
      <w:ind w:left="0" w:firstLine="0"/>
      <w:jc w:val="center"/>
    </w:pP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p>
    <w:pPr>
      <w:spacing w:before="0" w:after="0" w:line="230" w:lineRule="exact"/>
      <w:ind w:left="0" w:firstLine="0"/>
      <w:jc w:val="center"/>
    </w:pPr>
    <w:r>
      <w:rPr>
        <w:sz w:val="20"/>
        <w:szCs w:val="20"/>
      </w:rPr>
      <w:t xml:space="preserve">[PROPOSED]</w:t>
    </w:r>
    <w:r>
      <w:rPr>
        <w:sz w:val="20"/>
        <w:szCs w:val="20"/>
      </w:rPr>
      <w:t xml:space="preserve"> </w:t>
    </w:r>
    <w:r>
      <w:rPr>
        <w:sz w:val="20"/>
        <w:szCs w:val="20"/>
      </w:rPr>
      <w:t xml:space="preserve">ORDER</w:t>
    </w:r>
    <w:r>
      <w:rPr>
        <w:sz w:val="20"/>
        <w:szCs w:val="20"/>
      </w:rPr>
      <w:t xml:space="preserve"> </w:t>
    </w:r>
    <w:r>
      <w:rPr>
        <w:sz w:val="20"/>
        <w:szCs w:val="20"/>
      </w:rPr>
      <w:t xml:space="preserve">TO</w:t>
    </w:r>
    <w:r>
      <w:rPr>
        <w:sz w:val="20"/>
        <w:szCs w:val="20"/>
      </w:rPr>
      <w:t xml:space="preserve"> </w:t>
    </w:r>
    <w:r>
      <w:rPr>
        <w:sz w:val="20"/>
        <w:szCs w:val="20"/>
      </w:rPr>
      <w:t xml:space="preserve">SHOW</w:t>
    </w:r>
    <w:r>
      <w:rPr>
        <w:sz w:val="20"/>
        <w:szCs w:val="20"/>
      </w:rPr>
      <w:t xml:space="preserve"> </w:t>
    </w:r>
    <w:r>
      <w:rPr>
        <w:sz w:val="20"/>
        <w:szCs w:val="20"/>
      </w:rPr>
      <w:t xml:space="preserve">CAUSE</w:t>
    </w:r>
  </w:p>
  <w:p>
    <w:pPr>
      <w:spacing w:before="0" w:after="0" w:line="230" w:lineRule="exact"/>
      <w:ind w:left="0" w:firstLine="0"/>
      <w:jc w:val="center"/>
    </w:pPr>
    <w:r>
      <w:rPr>
        <w:sz w:val="20"/>
        <w:szCs w:val="20"/>
      </w:rPr>
      <w:t xml:space="preserve">No. 26-⁠80299</w:t>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240" w:line="24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240" w:line="24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240" w:line="24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240" w:line="24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240" w:line="24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40" w:lineRule="exact"/>
      <w:ind w:firstLine="0" w:left="720" w:right="720"/>
    </w:pPr>
  </w:style>
  <w:style w:type="paragraph" w:styleId="FootnoteText">
    <w:name w:val="Footnote Text"/>
    <w:basedOn w:val="Normal"/>
    <w:next w:val="FootnoteText"/>
    <w:uiPriority w:val="9"/>
    <w:unhideWhenUsed/>
    <w:qFormat/>
    <w:pPr>
      <w:keepLines/>
      <w:spacing w:before="0" w:after="140" w:line="240"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CandFooter"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