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cover.xml" ContentType="application/vnd.openxmlformats-officedocument.wordprocessingml.footer+xml"/>
  <Override PartName="/word/ftr-cip.xml" ContentType="application/vnd.openxmlformats-officedocument.wordprocessingml.footer+xml"/>
  <Override PartName="/word/ftr-front.xml" ContentType="application/vnd.openxmlformats-officedocument.wordprocessingml.footer+xml"/>
  <Override PartName="/word/ftr-body.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keepNext/>
        <w:keepLines/>
        <w:spacing w:before="0" w:after="120" w:line="399" w:lineRule="exact"/>
        <w:jc w:val="center"/>
      </w:pPr>
      <w:r>
        <w:rPr>
          <w:b/>
          <w:bCs/>
        </w:rPr>
        <w:t xml:space="preserve">No. </w:t>
      </w:r>
      <w:r>
        <w:rPr>
          <w:b/>
          <w:bCs/>
        </w:rPr>
        <w:t xml:space="preserve">25-12813</w:t>
      </w:r>
      <w:r>
        <w:rPr>
          <w:b/>
          <w:bCs/>
        </w:rPr>
        <w:t xml:space="preserve"> </w:t>
      </w:r>
      <w:r>
        <w:rPr>
          <w:b/>
          <w:bCs/>
        </w:rPr>
        <w:t xml:space="preserve">(consolidated</w:t>
      </w:r>
      <w:r>
        <w:rPr>
          <w:b/>
          <w:bCs/>
        </w:rPr>
        <w:t xml:space="preserve"> </w:t>
      </w:r>
      <w:r>
        <w:rPr>
          <w:b/>
          <w:bCs/>
        </w:rPr>
        <w:t xml:space="preserve">with</w:t>
      </w:r>
      <w:r>
        <w:rPr>
          <w:b/>
          <w:bCs/>
        </w:rPr>
        <w:t xml:space="preserve"> </w:t>
      </w:r>
      <w:r>
        <w:rPr>
          <w:b/>
          <w:bCs/>
        </w:rPr>
        <w:t xml:space="preserve">No. 24-11892)</w:t>
      </w:r>
    </w:p>
    <w:p>
      <w:pPr>
        <w:pBdr>
          <w:top w:val="single" w:sz="12" w:space="1" w:color="000000"/>
          <w:bottom w:val="double" w:sz="4" w:space="1" w:color="000000"/>
        </w:pBdr>
        <w:spacing w:before="0" w:after="40" w:line="399" w:lineRule="exact"/>
        <w:ind w:left="0" w:right="0"/>
      </w:pPr>
    </w:p>
    <w:p>
      <w:pPr>
        <w:spacing w:before="0" w:after="120" w:line="399" w:lineRule="exact"/>
        <w:jc w:val="center"/>
      </w:pPr>
      <w:r>
        <w:rPr>
          <w:b/>
          <w:bCs/>
        </w:rPr>
        <w:t xml:space="preserve">IN THE UNITED STATES COURT OF APPEALS</w:t>
      </w:r>
      <w:r>
        <w:rPr>
          <w:b/>
          <w:bCs/>
        </w:rPr>
        <w:br/>
      </w:r>
      <w:r>
        <w:rPr>
          <w:b/>
          <w:bCs/>
        </w:rPr>
        <w:t xml:space="preserve">FOR THE ELEVENTH CIRCUIT</w:t>
      </w:r>
    </w:p>
    <w:p>
      <w:pPr>
        <w:pBdr>
          <w:bottom w:val="single" w:sz="6" w:space="1" w:color="000000"/>
        </w:pBdr>
        <w:spacing w:before="0" w:after="40" w:line="399" w:lineRule="exact"/>
        <w:ind w:left="3240" w:right="3240"/>
        <w:jc w:val="center"/>
      </w:pPr>
    </w:p>
    <w:p>
      <w:pPr>
        <w:spacing w:before="0" w:after="40" w:line="399" w:lineRule="exact"/>
        <w:jc w:val="center"/>
      </w:pPr>
      <w:r>
        <w:t xml:space="preserve">FLORIDA</w:t>
      </w:r>
      <w:r>
        <w:t xml:space="preserve"> </w:t>
      </w:r>
      <w:r>
        <w:t xml:space="preserve">STATE</w:t>
      </w:r>
      <w:r>
        <w:t xml:space="preserve"> </w:t>
      </w:r>
      <w:r>
        <w:t xml:space="preserve">CONFERENCE</w:t>
      </w:r>
      <w:r>
        <w:t xml:space="preserve"> </w:t>
      </w:r>
      <w:r>
        <w:t xml:space="preserve">OF</w:t>
      </w:r>
      <w:r>
        <w:t xml:space="preserve"> </w:t>
      </w:r>
      <w:r>
        <w:t xml:space="preserve">BRANCHES</w:t>
      </w:r>
      <w:r>
        <w:t xml:space="preserve"> </w:t>
      </w:r>
      <w:r>
        <w:t xml:space="preserve">AND</w:t>
      </w:r>
      <w:r>
        <w:t xml:space="preserve"> </w:t>
      </w:r>
      <w:r>
        <w:t xml:space="preserve">YOUTH</w:t>
      </w:r>
      <w:r>
        <w:t xml:space="preserve"> </w:t>
      </w:r>
      <w:r>
        <w:t xml:space="preserve">UNITS</w:t>
      </w:r>
      <w:r>
        <w:t xml:space="preserve"> </w:t>
      </w:r>
      <w:r>
        <w:t xml:space="preserve">OF</w:t>
      </w:r>
      <w:r>
        <w:t xml:space="preserve"> </w:t>
      </w:r>
      <w:r>
        <w:t xml:space="preserve">THE</w:t>
      </w:r>
      <w:r>
        <w:t xml:space="preserve"> </w:t>
      </w:r>
      <w:r>
        <w:t xml:space="preserve">NAACP,</w:t>
      </w:r>
      <w:r>
        <w:t xml:space="preserve"> </w:t>
      </w:r>
      <w:r>
        <w:rPr>
          <w:i/>
          <w:iCs/>
        </w:rPr>
        <w:t xml:space="preserve">et</w:t>
      </w:r>
      <w:r>
        <w:rPr>
          <w:i/>
          <w:iCs/>
        </w:rPr>
        <w:t xml:space="preserve"> </w:t>
      </w:r>
      <w:r>
        <w:rPr>
          <w:i/>
          <w:iCs/>
        </w:rPr>
        <w:t xml:space="preserve">al.</w:t>
      </w:r>
      <w:r>
        <w:t xml:space="preserve">,</w:t>
      </w:r>
    </w:p>
    <w:p>
      <w:pPr>
        <w:spacing w:before="0" w:after="40" w:line="399" w:lineRule="exact"/>
        <w:ind w:left="4680"/>
      </w:pPr>
      <w:r>
        <w:t xml:space="preserve">Plaintiffs-Appellees,</w:t>
      </w:r>
    </w:p>
    <w:p>
      <w:pPr>
        <w:spacing w:before="60" w:after="60" w:line="399" w:lineRule="exact"/>
        <w:jc w:val="center"/>
      </w:pPr>
      <w:r>
        <w:t xml:space="preserve">v.</w:t>
      </w:r>
    </w:p>
    <w:p>
      <w:pPr>
        <w:spacing w:before="0" w:after="40" w:line="399" w:lineRule="exact"/>
        <w:jc w:val="center"/>
      </w:pPr>
      <w:r>
        <w:t xml:space="preserve">CORD</w:t>
      </w:r>
      <w:r>
        <w:t xml:space="preserve"> </w:t>
      </w:r>
      <w:r>
        <w:t xml:space="preserve">BYRD,</w:t>
      </w:r>
      <w:r>
        <w:t xml:space="preserve"> </w:t>
      </w:r>
      <w:r>
        <w:rPr>
          <w:i/>
          <w:iCs/>
        </w:rPr>
        <w:t xml:space="preserve">et</w:t>
      </w:r>
      <w:r>
        <w:rPr>
          <w:i/>
          <w:iCs/>
        </w:rPr>
        <w:t xml:space="preserve"> </w:t>
      </w:r>
      <w:r>
        <w:rPr>
          <w:i/>
          <w:iCs/>
        </w:rPr>
        <w:t xml:space="preserve">al.</w:t>
      </w:r>
      <w:r>
        <w:t xml:space="preserve">,</w:t>
      </w:r>
    </w:p>
    <w:p>
      <w:pPr>
        <w:spacing w:before="0" w:after="40" w:line="399" w:lineRule="exact"/>
        <w:ind w:left="4680"/>
      </w:pPr>
      <w:r>
        <w:t xml:space="preserve">Defendants-Appellants.</w:t>
      </w:r>
    </w:p>
    <w:p>
      <w:pPr>
        <w:pBdr>
          <w:bottom w:val="single" w:sz="6" w:space="1" w:color="000000"/>
        </w:pBdr>
        <w:spacing w:before="0" w:after="40" w:line="399" w:lineRule="exact"/>
        <w:ind w:left="3240" w:right="3240"/>
        <w:jc w:val="center"/>
      </w:pPr>
    </w:p>
    <w:p>
      <w:pPr>
        <w:spacing w:before="0" w:after="40" w:line="399" w:lineRule="exact"/>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Florida</w:t>
      </w:r>
    </w:p>
    <w:p>
      <w:pPr>
        <w:pBdr>
          <w:bottom w:val="single" w:sz="6" w:space="1" w:color="000000"/>
        </w:pBdr>
        <w:spacing w:before="0" w:after="40" w:line="399" w:lineRule="exact"/>
        <w:ind w:left="3240" w:right="3240"/>
        <w:jc w:val="center"/>
      </w:pPr>
    </w:p>
    <w:p>
      <w:pPr>
        <w:spacing w:before="0" w:after="120" w:line="399" w:lineRule="exact"/>
        <w:jc w:val="center"/>
      </w:pPr>
      <w:r>
        <w:rPr>
          <w:b/>
          <w:bCs/>
        </w:rPr>
        <w:t xml:space="preserve">Appellees’</w:t>
      </w:r>
      <w:r>
        <w:rPr>
          <w:b/>
          <w:bCs/>
        </w:rPr>
        <w:t xml:space="preserve"> </w:t>
      </w:r>
      <w:r>
        <w:rPr>
          <w:b/>
          <w:bCs/>
        </w:rPr>
        <w:t xml:space="preserve">Answer</w:t>
      </w:r>
      <w:r>
        <w:rPr>
          <w:b/>
          <w:bCs/>
        </w:rPr>
        <w:t xml:space="preserve"> </w:t>
      </w:r>
      <w:r>
        <w:rPr>
          <w:b/>
          <w:bCs/>
        </w:rPr>
        <w:t xml:space="preserve">Brief</w:t>
      </w:r>
    </w:p>
    <w:p>
      <w:pPr>
        <w:pBdr>
          <w:bottom w:val="single" w:sz="6" w:space="1" w:color="000000"/>
        </w:pBdr>
        <w:spacing w:before="0" w:after="40" w:line="399" w:lineRule="exact"/>
        <w:ind w:left="3240" w:right="3240"/>
        <w:jc w:val="center"/>
      </w:pPr>
    </w:p>
    <w:p>
      <w:pPr>
        <w:spacing w:before="0" w:after="0" w:line="399" w:lineRule="exact"/>
        <w:ind w:left="4680"/>
      </w:pPr>
      <w:r>
        <w:t xml:space="preserve">Abha</w:t>
      </w:r>
      <w:r>
        <w:t xml:space="preserve"> </w:t>
      </w:r>
      <w:r>
        <w:t xml:space="preserve">Khanna</w:t>
      </w:r>
    </w:p>
    <w:p>
      <w:pPr>
        <w:spacing w:before="0" w:after="0" w:line="399" w:lineRule="exact"/>
        <w:ind w:left="4680"/>
      </w:pPr>
      <w:r>
        <w:t xml:space="preserve">Julie</w:t>
      </w:r>
      <w:r>
        <w:t xml:space="preserve"> </w:t>
      </w:r>
      <w:r>
        <w:t xml:space="preserve">Zuckerbrod</w:t>
      </w:r>
    </w:p>
    <w:p>
      <w:pPr>
        <w:spacing w:before="0" w:after="0" w:line="399" w:lineRule="exact"/>
        <w:ind w:left="4680"/>
      </w:pPr>
      <w:r>
        <w:t xml:space="preserve">Julianna</w:t>
      </w:r>
      <w:r>
        <w:t xml:space="preserve"> </w:t>
      </w:r>
      <w:r>
        <w:t xml:space="preserve">Astarita</w:t>
      </w:r>
    </w:p>
    <w:p>
      <w:pPr>
        <w:spacing w:before="0" w:after="0" w:line="399" w:lineRule="exact"/>
        <w:ind w:left="4680"/>
      </w:pPr>
      <w:r>
        <w:rPr>
          <w:i/>
          <w:iCs/>
        </w:rPr>
        <w:t xml:space="preserve">ELIAS</w:t>
      </w:r>
      <w:r>
        <w:rPr>
          <w:i/>
          <w:iCs/>
        </w:rPr>
        <w:t xml:space="preserve"> </w:t>
      </w:r>
      <w:r>
        <w:rPr>
          <w:i/>
          <w:iCs/>
        </w:rPr>
        <w:t xml:space="preserve">LAW</w:t>
      </w:r>
      <w:r>
        <w:rPr>
          <w:i/>
          <w:iCs/>
        </w:rPr>
        <w:t xml:space="preserve"> </w:t>
      </w:r>
      <w:r>
        <w:rPr>
          <w:i/>
          <w:iCs/>
        </w:rPr>
        <w:t xml:space="preserve">GROUP</w:t>
      </w:r>
      <w:r>
        <w:rPr>
          <w:i/>
          <w:iCs/>
        </w:rPr>
        <w:t xml:space="preserve"> </w:t>
      </w:r>
      <w:r>
        <w:rPr>
          <w:i/>
          <w:iCs/>
        </w:rPr>
        <w:t xml:space="preserve">LLP</w:t>
      </w:r>
    </w:p>
    <w:p>
      <w:pPr>
        <w:spacing w:before="0" w:after="0" w:line="399" w:lineRule="exact"/>
        <w:ind w:left="4680"/>
      </w:pPr>
      <w:r>
        <w:rPr>
          <w:i/>
          <w:iCs/>
        </w:rPr>
        <w:t xml:space="preserve">250</w:t>
      </w:r>
      <w:r>
        <w:rPr>
          <w:i/>
          <w:iCs/>
        </w:rPr>
        <w:t xml:space="preserve"> </w:t>
      </w:r>
      <w:r>
        <w:rPr>
          <w:i/>
          <w:iCs/>
        </w:rPr>
        <w:t xml:space="preserve">Massachusetts</w:t>
      </w:r>
      <w:r>
        <w:rPr>
          <w:i/>
          <w:iCs/>
        </w:rPr>
        <w:t xml:space="preserve"> </w:t>
      </w:r>
      <w:r>
        <w:rPr>
          <w:i/>
          <w:iCs/>
        </w:rPr>
        <w:t xml:space="preserve">Ave</w:t>
      </w:r>
      <w:r>
        <w:rPr>
          <w:i/>
          <w:iCs/>
        </w:rPr>
        <w:t xml:space="preserve"> </w:t>
      </w:r>
      <w:r>
        <w:rPr>
          <w:i/>
          <w:iCs/>
        </w:rPr>
        <w:t xml:space="preserve">NW,</w:t>
      </w:r>
      <w:r>
        <w:rPr>
          <w:i/>
          <w:iCs/>
        </w:rPr>
        <w:t xml:space="preserve"> </w:t>
      </w:r>
      <w:r>
        <w:rPr>
          <w:i/>
          <w:iCs/>
        </w:rPr>
        <w:t xml:space="preserve">Suite</w:t>
      </w:r>
      <w:r>
        <w:rPr>
          <w:i/>
          <w:iCs/>
        </w:rPr>
        <w:t xml:space="preserve"> </w:t>
      </w:r>
      <w:r>
        <w:rPr>
          <w:i/>
          <w:iCs/>
        </w:rPr>
        <w:t xml:space="preserve">400</w:t>
      </w:r>
    </w:p>
    <w:p>
      <w:pPr>
        <w:spacing w:before="0" w:after="0" w:line="399" w:lineRule="exact"/>
        <w:ind w:left="4680"/>
      </w:pPr>
      <w:r>
        <w:rPr>
          <w:i/>
          <w:iCs/>
        </w:rPr>
        <w:t xml:space="preserve">Washington,</w:t>
      </w:r>
      <w:r>
        <w:rPr>
          <w:i/>
          <w:iCs/>
        </w:rPr>
        <w:t xml:space="preserve"> </w:t>
      </w:r>
      <w:r>
        <w:rPr>
          <w:i/>
          <w:iCs/>
        </w:rPr>
        <w:t xml:space="preserve">DC</w:t>
      </w:r>
      <w:r>
        <w:rPr>
          <w:i/>
          <w:iCs/>
        </w:rPr>
        <w:t xml:space="preserve"> </w:t>
      </w:r>
      <w:r>
        <w:rPr>
          <w:i/>
          <w:iCs/>
        </w:rPr>
        <w:t xml:space="preserve">20002</w:t>
      </w:r>
    </w:p>
    <w:p>
      <w:pPr>
        <w:spacing w:before="0" w:after="0" w:line="399" w:lineRule="exact"/>
        <w:ind w:left="4680"/>
      </w:pPr>
      <w:r>
        <w:t xml:space="preserve">Frederick</w:t>
      </w:r>
      <w:r>
        <w:t xml:space="preserve"> </w:t>
      </w:r>
      <w:r>
        <w:t xml:space="preserve">S.</w:t>
      </w:r>
      <w:r>
        <w:t xml:space="preserve"> </w:t>
      </w:r>
      <w:r>
        <w:t xml:space="preserve">Wermuth</w:t>
      </w:r>
    </w:p>
    <w:p>
      <w:pPr>
        <w:spacing w:before="0" w:after="0" w:line="399" w:lineRule="exact"/>
        <w:ind w:left="4680"/>
      </w:pPr>
      <w:r>
        <w:rPr>
          <w:i/>
          <w:iCs/>
        </w:rPr>
        <w:t xml:space="preserve">KING,</w:t>
      </w:r>
      <w:r>
        <w:rPr>
          <w:i/>
          <w:iCs/>
        </w:rPr>
        <w:t xml:space="preserve"> </w:t>
      </w:r>
      <w:r>
        <w:rPr>
          <w:i/>
          <w:iCs/>
        </w:rPr>
        <w:t xml:space="preserve">BLACKWELL,</w:t>
      </w:r>
      <w:r>
        <w:rPr>
          <w:i/>
          <w:iCs/>
        </w:rPr>
        <w:t xml:space="preserve"> </w:t>
      </w:r>
      <w:r>
        <w:rPr>
          <w:i/>
          <w:iCs/>
        </w:rPr>
        <w:t xml:space="preserve">ZEHNDER</w:t>
      </w:r>
      <w:r>
        <w:rPr>
          <w:i/>
          <w:iCs/>
        </w:rPr>
        <w:t xml:space="preserve"> </w:t>
      </w:r>
      <w:r>
        <w:rPr>
          <w:i/>
          <w:iCs/>
        </w:rPr>
        <w:t xml:space="preserve">&amp;</w:t>
      </w:r>
      <w:r>
        <w:rPr>
          <w:i/>
          <w:iCs/>
        </w:rPr>
        <w:t xml:space="preserve"> </w:t>
      </w:r>
      <w:r>
        <w:rPr>
          <w:i/>
          <w:iCs/>
        </w:rPr>
        <w:t xml:space="preserve">WERMUTH,</w:t>
      </w:r>
      <w:r>
        <w:rPr>
          <w:i/>
          <w:iCs/>
        </w:rPr>
        <w:t xml:space="preserve"> </w:t>
      </w:r>
      <w:r>
        <w:rPr>
          <w:i/>
          <w:iCs/>
        </w:rPr>
        <w:t xml:space="preserve">P.A.</w:t>
      </w:r>
    </w:p>
    <w:p>
      <w:pPr>
        <w:spacing w:before="0" w:after="0" w:line="399" w:lineRule="exact"/>
        <w:ind w:left="4680"/>
      </w:pPr>
      <w:r>
        <w:rPr>
          <w:i/>
          <w:iCs/>
        </w:rPr>
        <w:t xml:space="preserve">P.O.</w:t>
      </w:r>
      <w:r>
        <w:rPr>
          <w:i/>
          <w:iCs/>
        </w:rPr>
        <w:t xml:space="preserve"> </w:t>
      </w:r>
      <w:r>
        <w:rPr>
          <w:i/>
          <w:iCs/>
        </w:rPr>
        <w:t xml:space="preserve">Box</w:t>
      </w:r>
      <w:r>
        <w:rPr>
          <w:i/>
          <w:iCs/>
        </w:rPr>
        <w:t xml:space="preserve"> </w:t>
      </w:r>
      <w:r>
        <w:rPr>
          <w:i/>
          <w:iCs/>
        </w:rPr>
        <w:t xml:space="preserve">1631</w:t>
      </w:r>
    </w:p>
    <w:p>
      <w:pPr>
        <w:spacing w:before="0" w:after="0" w:line="399" w:lineRule="exact"/>
        <w:ind w:left="4680"/>
      </w:pPr>
      <w:r>
        <w:rPr>
          <w:i/>
          <w:iCs/>
        </w:rPr>
        <w:t xml:space="preserve">Orlando,</w:t>
      </w:r>
      <w:r>
        <w:rPr>
          <w:i/>
          <w:iCs/>
        </w:rPr>
        <w:t xml:space="preserve"> </w:t>
      </w:r>
      <w:r>
        <w:rPr>
          <w:i/>
          <w:iCs/>
        </w:rPr>
        <w:t xml:space="preserve">FL</w:t>
      </w:r>
      <w:r>
        <w:rPr>
          <w:i/>
          <w:iCs/>
        </w:rPr>
        <w:t xml:space="preserve"> </w:t>
      </w:r>
      <w:r>
        <w:rPr>
          <w:i/>
          <w:iCs/>
        </w:rPr>
        <w:t xml:space="preserve">32802-1631</w:t>
      </w:r>
    </w:p>
    <w:p>
      <w:pPr>
        <w:spacing w:before="0" w:after="0" w:line="399" w:lineRule="exact"/>
        <w:ind w:left="4680"/>
      </w:pPr>
      <w:r>
        <w:rPr>
          <w:i/>
          <w:iCs/>
        </w:rPr>
        <w:t xml:space="preserve">(407)</w:t>
      </w:r>
      <w:r>
        <w:rPr>
          <w:i/>
          <w:iCs/>
        </w:rPr>
        <w:t xml:space="preserve"> </w:t>
      </w:r>
      <w:r>
        <w:rPr>
          <w:i/>
          <w:iCs/>
        </w:rPr>
        <w:t xml:space="preserve">422-2472</w:t>
      </w:r>
    </w:p>
    <w:p>
      <w:pPr>
        <w:pBdr>
          <w:top w:val="single" w:sz="12" w:space="1" w:color="000000"/>
          <w:bottom w:val="double" w:sz="4" w:space="1" w:color="000000"/>
        </w:pBdr>
        <w:spacing w:before="0" w:after="40" w:line="399" w:lineRule="exact"/>
        <w:ind w:left="0" w:right="0"/>
      </w:pPr>
    </w:p>
    <w:p>
      <w:pPr>
        <w:spacing w:before="0" w:after="0" w:line="20" w:lineRule="exact"/>
        <w:sectPr>
          <w:footerReference w:type="default" r:id="rIdFtrCover"/>
          <w:pgSz w:w="12240" w:h="15840"/>
          <w:pgMar w:top="1440" w:right="1440" w:bottom="1440" w:left="1440" w:header="720" w:footer="432" w:gutter="0"/>
        </w:sectPr>
      </w:pPr>
    </w:p>
    <w:p>
      <w:pPr>
        <w:keepNext/>
        <w:keepLines/>
        <w:spacing w:before="0" w:after="240" w:line="399" w:lineRule="exact"/>
        <w:jc w:val="center"/>
      </w:pPr>
      <w:r>
        <w:rPr>
          <w:b/>
          <w:bCs/>
        </w:rPr>
        <w:t xml:space="preserve">STATEMENT REGARDING ORAL ARGUMENT</w:t>
      </w:r>
    </w:p>
    <w:p>
      <w:pPr>
        <w:spacing w:before="0" w:after="0" w:line="629" w:lineRule="exact"/>
        <w:ind w:left="720"/>
      </w:pPr>
      <w:r>
        <w:t xml:space="preserve">While</w:t>
      </w:r>
      <w:r>
        <w:t xml:space="preserve"> </w:t>
      </w:r>
      <w:r>
        <w:t xml:space="preserve">the</w:t>
      </w:r>
      <w:r>
        <w:t xml:space="preserve"> </w:t>
      </w:r>
      <w:r>
        <w:t xml:space="preserve">challenged</w:t>
      </w:r>
      <w:r>
        <w:t xml:space="preserve"> </w:t>
      </w:r>
      <w:r>
        <w:t xml:space="preserve">provision</w:t>
      </w:r>
      <w:r>
        <w:t xml:space="preserve"> </w:t>
      </w:r>
      <w:r>
        <w:t xml:space="preserve">in</w:t>
      </w:r>
      <w:r>
        <w:t xml:space="preserve"> </w:t>
      </w:r>
      <w:r>
        <w:t xml:space="preserve">this</w:t>
      </w:r>
      <w:r>
        <w:t xml:space="preserve"> </w:t>
      </w:r>
      <w:r>
        <w:t xml:space="preserve">case</w:t>
      </w:r>
      <w:r>
        <w:t xml:space="preserve"> </w:t>
      </w:r>
      <w:r>
        <w:t xml:space="preserve">implicates</w:t>
      </w:r>
      <w:r>
        <w:t xml:space="preserve"> </w:t>
      </w:r>
      <w:r>
        <w:t xml:space="preserve">significant</w:t>
      </w:r>
      <w:r>
        <w:t xml:space="preserve"> </w:t>
      </w:r>
      <w:r>
        <w:t xml:space="preserve">constitutional</w:t>
      </w:r>
      <w:r>
        <w:t xml:space="preserve"> </w:t>
      </w:r>
      <w:r>
        <w:t xml:space="preserve">rights,</w:t>
      </w:r>
      <w:r>
        <w:t xml:space="preserve"> </w:t>
      </w:r>
      <w:r>
        <w:t xml:space="preserve">the</w:t>
      </w:r>
      <w:r>
        <w:t xml:space="preserve"> </w:t>
      </w:r>
      <w:r>
        <w:t xml:space="preserve">issues</w:t>
      </w:r>
      <w:r>
        <w:t xml:space="preserve"> </w:t>
      </w:r>
      <w:r>
        <w:t xml:space="preserve">raised</w:t>
      </w:r>
      <w:r>
        <w:t xml:space="preserve"> </w:t>
      </w:r>
      <w:r>
        <w:t xml:space="preserve">on</w:t>
      </w:r>
      <w:r>
        <w:t xml:space="preserve"> </w:t>
      </w:r>
      <w:r>
        <w:t xml:space="preserve">appeal</w:t>
      </w:r>
      <w:r>
        <w:t xml:space="preserve"> </w:t>
      </w:r>
      <w:r>
        <w:t xml:space="preserve">are</w:t>
      </w:r>
      <w:r>
        <w:t xml:space="preserve"> </w:t>
      </w:r>
      <w:r>
        <w:t xml:space="preserve">straightforward.</w:t>
      </w:r>
      <w:r>
        <w:t xml:space="preserve"> </w:t>
      </w:r>
      <w:r>
        <w:t xml:space="preserve">Appellees</w:t>
      </w:r>
      <w:r>
        <w:t xml:space="preserve"> </w:t>
      </w:r>
      <w:r>
        <w:t xml:space="preserve">maintain</w:t>
      </w:r>
      <w:r>
        <w:t xml:space="preserve"> </w:t>
      </w:r>
      <w:r>
        <w:t xml:space="preserve">that</w:t>
      </w:r>
      <w:r>
        <w:t xml:space="preserve"> </w:t>
      </w:r>
      <w:r>
        <w:t xml:space="preserve">this</w:t>
      </w:r>
      <w:r>
        <w:t xml:space="preserve"> </w:t>
      </w:r>
      <w:r>
        <w:t xml:space="preserve">appeal</w:t>
      </w:r>
      <w:r>
        <w:t xml:space="preserve"> </w:t>
      </w:r>
      <w:r>
        <w:t xml:space="preserve">can</w:t>
      </w:r>
      <w:r>
        <w:t xml:space="preserve"> </w:t>
      </w:r>
      <w:r>
        <w:t xml:space="preserve">be</w:t>
      </w:r>
      <w:r>
        <w:t xml:space="preserve"> </w:t>
      </w:r>
      <w:r>
        <w:t xml:space="preserve">resolved</w:t>
      </w:r>
      <w:r>
        <w:t xml:space="preserve"> </w:t>
      </w:r>
      <w:r>
        <w:t xml:space="preserve">on</w:t>
      </w:r>
      <w:r>
        <w:t xml:space="preserve"> </w:t>
      </w:r>
      <w:r>
        <w:t xml:space="preserve">the</w:t>
      </w:r>
      <w:r>
        <w:t xml:space="preserve"> </w:t>
      </w:r>
      <w:r>
        <w:t xml:space="preserve">papers</w:t>
      </w:r>
      <w:r>
        <w:t xml:space="preserve"> </w:t>
      </w:r>
      <w:r>
        <w:t xml:space="preserve">based</w:t>
      </w:r>
      <w:r>
        <w:t xml:space="preserve"> </w:t>
      </w:r>
      <w:r>
        <w:t xml:space="preserve">on</w:t>
      </w:r>
      <w:r>
        <w:t xml:space="preserve"> </w:t>
      </w:r>
      <w:r>
        <w:t xml:space="preserve">the</w:t>
      </w:r>
      <w:r>
        <w:t xml:space="preserve"> </w:t>
      </w:r>
      <w:r>
        <w:t xml:space="preserve">statute’s</w:t>
      </w:r>
      <w:r>
        <w:t xml:space="preserve"> </w:t>
      </w:r>
      <w:r>
        <w:t xml:space="preserve">clear</w:t>
      </w:r>
      <w:r>
        <w:t xml:space="preserve"> </w:t>
      </w:r>
      <w:r>
        <w:t xml:space="preserve">violations</w:t>
      </w:r>
      <w:r>
        <w:t xml:space="preserve"> </w:t>
      </w:r>
      <w:r>
        <w:t xml:space="preserve">of</w:t>
      </w:r>
      <w:r>
        <w:t xml:space="preserve"> </w:t>
      </w:r>
      <w:r>
        <w:t xml:space="preserve">well-established</w:t>
      </w:r>
      <w:r>
        <w:t xml:space="preserve"> </w:t>
      </w:r>
      <w:r>
        <w:t xml:space="preserve">constitutional</w:t>
      </w:r>
      <w:r>
        <w:t xml:space="preserve"> </w:t>
      </w:r>
      <w:r>
        <w:t xml:space="preserve">law.</w:t>
      </w:r>
      <w:r>
        <w:t xml:space="preserve"> </w:t>
      </w:r>
      <w:r>
        <w:t xml:space="preserve">If</w:t>
      </w:r>
      <w:r>
        <w:t xml:space="preserve"> </w:t>
      </w:r>
      <w:r>
        <w:t xml:space="preserve">the</w:t>
      </w:r>
      <w:r>
        <w:t xml:space="preserve"> </w:t>
      </w:r>
      <w:r>
        <w:t xml:space="preserve">Court</w:t>
      </w:r>
      <w:r>
        <w:t xml:space="preserve"> </w:t>
      </w:r>
      <w:r>
        <w:t xml:space="preserve">determines</w:t>
      </w:r>
      <w:r>
        <w:t xml:space="preserve"> </w:t>
      </w:r>
      <w:r>
        <w:t xml:space="preserve">that</w:t>
      </w:r>
      <w:r>
        <w:t xml:space="preserve"> </w:t>
      </w:r>
      <w:r>
        <w:t xml:space="preserve">oral</w:t>
      </w:r>
      <w:r>
        <w:t xml:space="preserve"> </w:t>
      </w:r>
      <w:r>
        <w:t xml:space="preserve">argument</w:t>
      </w:r>
      <w:r>
        <w:t xml:space="preserve"> </w:t>
      </w:r>
      <w:r>
        <w:t xml:space="preserve">would</w:t>
      </w:r>
      <w:r>
        <w:t xml:space="preserve"> </w:t>
      </w:r>
      <w:r>
        <w:t xml:space="preserve">help</w:t>
      </w:r>
      <w:r>
        <w:t xml:space="preserve"> </w:t>
      </w:r>
      <w:r>
        <w:t xml:space="preserve">facilitate</w:t>
      </w:r>
      <w:r>
        <w:t xml:space="preserve"> </w:t>
      </w:r>
      <w:r>
        <w:t xml:space="preserve">resolution</w:t>
      </w:r>
      <w:r>
        <w:t xml:space="preserve"> </w:t>
      </w:r>
      <w:r>
        <w:t xml:space="preserve">of</w:t>
      </w:r>
      <w:r>
        <w:t xml:space="preserve"> </w:t>
      </w:r>
      <w:r>
        <w:t xml:space="preserve">the</w:t>
      </w:r>
      <w:r>
        <w:t xml:space="preserve"> </w:t>
      </w:r>
      <w:r>
        <w:t xml:space="preserve">appeal,</w:t>
      </w:r>
      <w:r>
        <w:t xml:space="preserve"> </w:t>
      </w:r>
      <w:r>
        <w:t xml:space="preserve">Appellees</w:t>
      </w:r>
      <w:r>
        <w:t xml:space="preserve"> </w:t>
      </w:r>
      <w:r>
        <w:t xml:space="preserve">welcome</w:t>
      </w:r>
      <w:r>
        <w:t xml:space="preserve"> </w:t>
      </w:r>
      <w:r>
        <w:t xml:space="preserve">the</w:t>
      </w:r>
      <w:r>
        <w:t xml:space="preserve"> </w:t>
      </w:r>
      <w:r>
        <w:t xml:space="preserve">opportunity</w:t>
      </w:r>
      <w:r>
        <w:t xml:space="preserve"> </w:t>
      </w:r>
      <w:r>
        <w:t xml:space="preserve">to</w:t>
      </w:r>
      <w:r>
        <w:t xml:space="preserve"> </w:t>
      </w:r>
      <w:r>
        <w:t xml:space="preserve">participate.</w:t>
      </w:r>
    </w:p>
    <w:p>
      <w:pPr>
        <w:keepNext/>
        <w:keepLines/>
        <w:pageBreakBefore/>
        <w:spacing w:before="0" w:after="240" w:line="399" w:lineRule="exact"/>
        <w:jc w:val="center"/>
      </w:pPr>
      <w:r>
        <w:rPr>
          <w:b/>
          <w:bCs/>
        </w:rPr>
        <w:t xml:space="preserve">TABLE OF CONTENTS</w:t>
      </w:r>
    </w:p>
    <w:p>
      <w:pPr>
        <w:tabs>
          <w:tab w:val="right" w:pos="9360"/>
        </w:tabs>
        <w:spacing w:before="0" w:after="120" w:line="399" w:lineRule="exact"/>
      </w:pPr>
      <w:r>
        <w:tab/>
      </w:r>
      <w:r>
        <w:rPr>
          <w:b/>
          <w:bCs/>
          <w:u w:val="single"/>
        </w:rPr>
        <w:t xml:space="preserve">Page</w:t>
      </w:r>
    </w:p>
    <w:p>
      <w:pPr>
        <w:tabs>
          <w:tab w:val="right" w:leader="dot" w:pos="9360"/>
        </w:tabs>
        <w:spacing w:before="120" w:after="0" w:line="629" w:lineRule="exact"/>
        <w:ind w:left="0"/>
      </w:pPr>
      <w:r>
        <w:t xml:space="preserve">INTRODUCTION </w:t>
      </w:r>
      <w:r>
        <w:tab/>
      </w:r>
      <w:r>
        <w:t xml:space="preserve">1</w:t>
      </w:r>
    </w:p>
    <w:p>
      <w:pPr>
        <w:tabs>
          <w:tab w:val="right" w:leader="dot" w:pos="9360"/>
        </w:tabs>
        <w:spacing w:before="120" w:after="0" w:line="629" w:lineRule="exact"/>
        <w:ind w:left="0"/>
      </w:pPr>
      <w:r>
        <w:t xml:space="preserve">STATEMENT OF THE CASE </w:t>
      </w:r>
      <w:r>
        <w:tab/>
      </w:r>
      <w:r>
        <w:t xml:space="preserve">2</w:t>
      </w:r>
    </w:p>
    <w:p>
      <w:pPr>
        <w:tabs>
          <w:tab w:val="right" w:leader="dot" w:pos="9360"/>
        </w:tabs>
        <w:spacing w:before="0" w:after="0" w:line="629" w:lineRule="exact"/>
        <w:ind w:left="720" w:hanging="720"/>
      </w:pPr>
      <w:r>
        <w:t xml:space="preserve">I.</w:t>
      </w:r>
      <w:r>
        <w:tab/>
      </w:r>
      <w:r>
        <w:t xml:space="preserve">Factual Background </w:t>
      </w:r>
      <w:r>
        <w:tab/>
      </w:r>
      <w:r>
        <w:t xml:space="preserve">2</w:t>
      </w:r>
    </w:p>
    <w:p>
      <w:pPr>
        <w:tabs>
          <w:tab w:val="right" w:leader="dot" w:pos="9360"/>
        </w:tabs>
        <w:spacing w:before="0" w:after="0" w:line="629" w:lineRule="exact"/>
        <w:ind w:left="720" w:hanging="720"/>
      </w:pPr>
      <w:r>
        <w:t xml:space="preserve">II.</w:t>
      </w:r>
      <w:r>
        <w:tab/>
      </w:r>
      <w:r>
        <w:t xml:space="preserve">Procedural Background </w:t>
      </w:r>
      <w:r>
        <w:tab/>
      </w:r>
      <w:r>
        <w:t xml:space="preserve">2</w:t>
      </w:r>
    </w:p>
    <w:p>
      <w:pPr>
        <w:tabs>
          <w:tab w:val="right" w:leader="dot" w:pos="9360"/>
        </w:tabs>
        <w:spacing w:before="0" w:after="0" w:line="629" w:lineRule="exact"/>
        <w:ind w:left="1440" w:hanging="720"/>
      </w:pPr>
      <w:r>
        <w:t xml:space="preserve">A.</w:t>
      </w:r>
      <w:r>
        <w:tab/>
      </w:r>
      <w:r>
        <w:t xml:space="preserve">The district court preliminarily enjoins the Citizenship Requirement. </w:t>
      </w:r>
      <w:r>
        <w:tab/>
      </w:r>
      <w:r>
        <w:t xml:space="preserve">2</w:t>
      </w:r>
    </w:p>
    <w:p>
      <w:pPr>
        <w:tabs>
          <w:tab w:val="right" w:leader="dot" w:pos="9360"/>
        </w:tabs>
        <w:spacing w:before="120" w:after="0" w:line="629" w:lineRule="exact"/>
        <w:ind w:left="0"/>
      </w:pPr>
      <w:r>
        <w:t xml:space="preserve">STANDARD OF REVIEW </w:t>
      </w:r>
      <w:r>
        <w:tab/>
      </w:r>
      <w:r>
        <w:t xml:space="preserve">3</w:t>
      </w:r>
    </w:p>
    <w:p>
      <w:pPr>
        <w:tabs>
          <w:tab w:val="right" w:leader="dot" w:pos="9360"/>
        </w:tabs>
        <w:spacing w:before="120" w:after="0" w:line="629" w:lineRule="exact"/>
        <w:ind w:left="0"/>
      </w:pPr>
      <w:r>
        <w:t xml:space="preserve">SUMMARY OF ARGUMENT </w:t>
      </w:r>
      <w:r>
        <w:tab/>
      </w:r>
      <w:r>
        <w:t xml:space="preserve">3</w:t>
      </w:r>
    </w:p>
    <w:p>
      <w:pPr>
        <w:tabs>
          <w:tab w:val="right" w:leader="dot" w:pos="9360"/>
        </w:tabs>
        <w:spacing w:before="120" w:after="0" w:line="629" w:lineRule="exact"/>
        <w:ind w:left="0"/>
      </w:pPr>
      <w:r>
        <w:t xml:space="preserve">ARGUMENT </w:t>
      </w:r>
      <w:r>
        <w:tab/>
      </w:r>
      <w:r>
        <w:t xml:space="preserve">3</w:t>
      </w:r>
    </w:p>
    <w:p>
      <w:pPr>
        <w:tabs>
          <w:tab w:val="right" w:leader="dot" w:pos="9360"/>
        </w:tabs>
        <w:spacing w:before="0" w:after="0" w:line="629" w:lineRule="exact"/>
        <w:ind w:left="720" w:hanging="720"/>
      </w:pPr>
      <w:r>
        <w:t xml:space="preserve">I.</w:t>
      </w:r>
      <w:r>
        <w:tab/>
      </w:r>
      <w:r>
        <w:t xml:space="preserve">The Citizenship Requirement is subject to strict scrutiny. </w:t>
      </w:r>
      <w:r>
        <w:tab/>
      </w:r>
      <w:r>
        <w:t xml:space="preserve">4</w:t>
      </w:r>
    </w:p>
    <w:p>
      <w:pPr>
        <w:tabs>
          <w:tab w:val="right" w:leader="dot" w:pos="9360"/>
        </w:tabs>
        <w:spacing w:before="0" w:after="0" w:line="629" w:lineRule="exact"/>
        <w:ind w:left="1440" w:hanging="720"/>
      </w:pPr>
      <w:r>
        <w:t xml:space="preserve">A.</w:t>
      </w:r>
      <w:r>
        <w:tab/>
      </w:r>
      <w:r>
        <w:t xml:space="preserve">Laws classifying individuals on the basis of citizenship are subject to strict scrutiny. </w:t>
      </w:r>
      <w:r>
        <w:tab/>
      </w:r>
      <w:r>
        <w:t xml:space="preserve">4</w:t>
      </w:r>
    </w:p>
    <w:p>
      <w:pPr>
        <w:tabs>
          <w:tab w:val="right" w:leader="dot" w:pos="9360"/>
        </w:tabs>
        <w:spacing w:before="120" w:after="0" w:line="629" w:lineRule="exact"/>
        <w:ind w:left="0"/>
      </w:pPr>
      <w:r>
        <w:t xml:space="preserve">CONCLUSION </w:t>
      </w:r>
      <w:r>
        <w:tab/>
      </w:r>
      <w:r>
        <w:t xml:space="preserve">7</w:t>
      </w:r>
    </w:p>
    <w:p>
      <w:pPr>
        <w:keepNext/>
        <w:keepLines/>
        <w:pageBreakBefore/>
        <w:spacing w:before="0" w:after="240" w:line="399" w:lineRule="exact"/>
        <w:jc w:val="center"/>
      </w:pPr>
      <w:r>
        <w:rPr>
          <w:b/>
          <w:bCs/>
        </w:rPr>
        <w:t xml:space="preserve">TABLE OF AUTHORITIES</w:t>
      </w:r>
    </w:p>
    <w:p>
      <w:pPr>
        <w:tabs>
          <w:tab w:val="right" w:pos="9360"/>
        </w:tabs>
        <w:keepNext/>
        <w:keepLines/>
        <w:spacing w:before="240" w:after="100" w:line="399" w:lineRule="exact"/>
      </w:pPr>
      <w:r>
        <w:rPr>
          <w:b/>
          <w:bCs/>
        </w:rPr>
        <w:t xml:space="preserve">Cases:</w:t>
      </w:r>
      <w:r>
        <w:tab/>
      </w:r>
      <w:r>
        <w:rPr>
          <w:b/>
          <w:bCs/>
          <w:u w:val="single"/>
        </w:rPr>
        <w:t xml:space="preserve">Page(s)</w:t>
      </w:r>
    </w:p>
    <w:p>
      <w:pPr>
        <w:tabs>
          <w:tab w:val="right" w:leader="dot" w:pos="9360"/>
        </w:tabs>
        <w:keepNext/>
        <w:keepLines/>
        <w:spacing w:before="140" w:after="0" w:line="399" w:lineRule="exact"/>
        <w:ind w:left="504" w:hanging="504"/>
      </w:pPr>
      <w:r>
        <w:rPr>
          <w:i/>
          <w:iCs/>
        </w:rPr>
        <w:t xml:space="preserve">Bernal</w:t>
      </w:r>
      <w:r>
        <w:rPr>
          <w:i/>
          <w:iCs/>
        </w:rPr>
        <w:t xml:space="preserve"> </w:t>
      </w:r>
      <w:r>
        <w:rPr>
          <w:i/>
          <w:iCs/>
        </w:rPr>
        <w:t xml:space="preserve">v.</w:t>
      </w:r>
      <w:r>
        <w:rPr>
          <w:i/>
          <w:iCs/>
        </w:rPr>
        <w:t xml:space="preserve"> </w:t>
      </w:r>
      <w:r>
        <w:rPr>
          <w:i/>
          <w:iCs/>
        </w:rPr>
        <w:t xml:space="preserve">Fainter</w:t>
      </w:r>
      <w:r>
        <w:t xml:space="preserve">,</w:t>
      </w:r>
      <w:r>
        <w:br/>
      </w:r>
      <w:r>
        <w:t xml:space="preserve">467</w:t>
      </w:r>
      <w:r>
        <w:t xml:space="preserve"> </w:t>
      </w:r>
      <w:r>
        <w:t xml:space="preserve">U.S.</w:t>
      </w:r>
      <w:r>
        <w:t xml:space="preserve"> </w:t>
      </w:r>
      <w:r>
        <w:t xml:space="preserve">216</w:t>
      </w:r>
      <w:r>
        <w:t xml:space="preserve"> </w:t>
      </w:r>
      <w:r>
        <w:t xml:space="preserve">(1984)</w:t>
      </w:r>
      <w:r>
        <w:t xml:space="preserve"> </w:t>
      </w:r>
      <w:r>
        <w:tab/>
      </w:r>
      <w:r>
        <w:t xml:space="preserve">4</w:t>
      </w:r>
    </w:p>
    <w:p>
      <w:pPr>
        <w:tabs>
          <w:tab w:val="right" w:leader="dot" w:pos="9360"/>
        </w:tabs>
        <w:keepNext/>
        <w:keepLines/>
        <w:spacing w:before="140" w:after="0" w:line="399" w:lineRule="exact"/>
        <w:ind w:left="504" w:hanging="504"/>
      </w:pPr>
      <w:r>
        <w:rPr>
          <w:i/>
          <w:iCs/>
        </w:rPr>
        <w:t xml:space="preserve">Estrada</w:t>
      </w:r>
      <w:r>
        <w:rPr>
          <w:i/>
          <w:iCs/>
        </w:rPr>
        <w:t xml:space="preserve"> </w:t>
      </w:r>
      <w:r>
        <w:rPr>
          <w:i/>
          <w:iCs/>
        </w:rPr>
        <w:t xml:space="preserve">v.</w:t>
      </w:r>
      <w:r>
        <w:rPr>
          <w:i/>
          <w:iCs/>
        </w:rPr>
        <w:t xml:space="preserve"> </w:t>
      </w:r>
      <w:r>
        <w:rPr>
          <w:i/>
          <w:iCs/>
        </w:rPr>
        <w:t xml:space="preserve">Becker</w:t>
      </w:r>
      <w:r>
        <w:t xml:space="preserve">,</w:t>
      </w:r>
      <w:r>
        <w:br/>
      </w:r>
      <w:r>
        <w:t xml:space="preserve">917</w:t>
      </w:r>
      <w:r>
        <w:t xml:space="preserve"> </w:t>
      </w:r>
      <w:r>
        <w:t xml:space="preserve">F.3d</w:t>
      </w:r>
      <w:r>
        <w:t xml:space="preserve"> </w:t>
      </w:r>
      <w:r>
        <w:t xml:space="preserve">1298</w:t>
      </w:r>
      <w:r>
        <w:t xml:space="preserve"> </w:t>
      </w:r>
      <w:r>
        <w:t xml:space="preserve">(11th</w:t>
      </w:r>
      <w:r>
        <w:t xml:space="preserve"> </w:t>
      </w:r>
      <w:r>
        <w:t xml:space="preserve">Cir.</w:t>
      </w:r>
      <w:r>
        <w:t xml:space="preserve"> </w:t>
      </w:r>
      <w:r>
        <w:t xml:space="preserve">2019)</w:t>
      </w:r>
      <w:r>
        <w:t xml:space="preserve"> </w:t>
      </w:r>
      <w:r>
        <w:tab/>
      </w:r>
      <w:r>
        <w:t xml:space="preserve">5</w:t>
      </w:r>
    </w:p>
    <w:p>
      <w:pPr>
        <w:tabs>
          <w:tab w:val="right" w:leader="dot" w:pos="9360"/>
        </w:tabs>
        <w:keepNext/>
        <w:keepLines/>
        <w:spacing w:before="140" w:after="0" w:line="399" w:lineRule="exact"/>
        <w:ind w:left="504" w:hanging="504"/>
      </w:pPr>
      <w:r>
        <w:rPr>
          <w:i/>
          <w:iCs/>
        </w:rPr>
        <w:t xml:space="preserve">Examining</w:t>
      </w:r>
      <w:r>
        <w:rPr>
          <w:i/>
          <w:iCs/>
        </w:rPr>
        <w:t xml:space="preserve"> </w:t>
      </w:r>
      <w:r>
        <w:rPr>
          <w:i/>
          <w:iCs/>
        </w:rPr>
        <w:t xml:space="preserve">Bd.</w:t>
      </w:r>
      <w:r>
        <w:rPr>
          <w:i/>
          <w:iCs/>
        </w:rPr>
        <w:t xml:space="preserve"> </w:t>
      </w:r>
      <w:r>
        <w:rPr>
          <w:i/>
          <w:iCs/>
        </w:rPr>
        <w:t xml:space="preserve">v.</w:t>
      </w:r>
      <w:r>
        <w:rPr>
          <w:i/>
          <w:iCs/>
        </w:rPr>
        <w:t xml:space="preserve"> </w:t>
      </w:r>
      <w:r>
        <w:rPr>
          <w:i/>
          <w:iCs/>
        </w:rPr>
        <w:t xml:space="preserve">Flores</w:t>
      </w:r>
      <w:r>
        <w:rPr>
          <w:i/>
          <w:iCs/>
        </w:rPr>
        <w:t xml:space="preserve"> </w:t>
      </w:r>
      <w:r>
        <w:rPr>
          <w:i/>
          <w:iCs/>
        </w:rPr>
        <w:t xml:space="preserve">de</w:t>
      </w:r>
      <w:r>
        <w:rPr>
          <w:i/>
          <w:iCs/>
        </w:rPr>
        <w:t xml:space="preserve"> </w:t>
      </w:r>
      <w:r>
        <w:rPr>
          <w:i/>
          <w:iCs/>
        </w:rPr>
        <w:t xml:space="preserve">Otero</w:t>
      </w:r>
      <w:r>
        <w:t xml:space="preserve">,</w:t>
      </w:r>
      <w:r>
        <w:br/>
      </w:r>
      <w:r>
        <w:t xml:space="preserve">426</w:t>
      </w:r>
      <w:r>
        <w:t xml:space="preserve"> </w:t>
      </w:r>
      <w:r>
        <w:t xml:space="preserve">U.S.</w:t>
      </w:r>
      <w:r>
        <w:t xml:space="preserve"> </w:t>
      </w:r>
      <w:r>
        <w:t xml:space="preserve">572</w:t>
      </w:r>
      <w:r>
        <w:t xml:space="preserve"> </w:t>
      </w:r>
      <w:r>
        <w:t xml:space="preserve">(1976)</w:t>
      </w:r>
      <w:r>
        <w:t xml:space="preserve"> </w:t>
      </w:r>
      <w:r>
        <w:tab/>
      </w:r>
      <w:r>
        <w:t xml:space="preserve">4</w:t>
      </w:r>
    </w:p>
    <w:p>
      <w:pPr>
        <w:tabs>
          <w:tab w:val="right" w:leader="dot" w:pos="9360"/>
        </w:tabs>
        <w:keepNext/>
        <w:keepLines/>
        <w:spacing w:before="140" w:after="0" w:line="399" w:lineRule="exact"/>
        <w:ind w:left="504" w:hanging="504"/>
      </w:pPr>
      <w:r>
        <w:rPr>
          <w:i/>
          <w:iCs/>
        </w:rPr>
        <w:t xml:space="preserve">Graham</w:t>
      </w:r>
      <w:r>
        <w:rPr>
          <w:i/>
          <w:iCs/>
        </w:rPr>
        <w:t xml:space="preserve"> </w:t>
      </w:r>
      <w:r>
        <w:rPr>
          <w:i/>
          <w:iCs/>
        </w:rPr>
        <w:t xml:space="preserve">v.</w:t>
      </w:r>
      <w:r>
        <w:rPr>
          <w:i/>
          <w:iCs/>
        </w:rPr>
        <w:t xml:space="preserve"> </w:t>
      </w:r>
      <w:r>
        <w:rPr>
          <w:i/>
          <w:iCs/>
        </w:rPr>
        <w:t xml:space="preserve">Richardson</w:t>
      </w:r>
      <w:r>
        <w:t xml:space="preserve">,</w:t>
      </w:r>
      <w:r>
        <w:br/>
      </w:r>
      <w:r>
        <w:t xml:space="preserve">403</w:t>
      </w:r>
      <w:r>
        <w:t xml:space="preserve"> </w:t>
      </w:r>
      <w:r>
        <w:t xml:space="preserve">U.S.</w:t>
      </w:r>
      <w:r>
        <w:t xml:space="preserve"> </w:t>
      </w:r>
      <w:r>
        <w:t xml:space="preserve">365</w:t>
      </w:r>
      <w:r>
        <w:t xml:space="preserve"> </w:t>
      </w:r>
      <w:r>
        <w:t xml:space="preserve">(1971)</w:t>
      </w:r>
      <w:r>
        <w:t xml:space="preserve"> </w:t>
      </w:r>
      <w:r>
        <w:tab/>
      </w:r>
      <w:r>
        <w:t xml:space="preserve">5, 6</w:t>
      </w:r>
    </w:p>
    <w:p>
      <w:pPr>
        <w:tabs>
          <w:tab w:val="right" w:leader="dot" w:pos="9360"/>
        </w:tabs>
        <w:keepNext/>
        <w:keepLines/>
        <w:spacing w:before="140" w:after="0" w:line="399" w:lineRule="exact"/>
        <w:ind w:left="504" w:hanging="504"/>
      </w:pPr>
      <w:r>
        <w:rPr>
          <w:i/>
          <w:iCs/>
        </w:rPr>
        <w:t xml:space="preserve">In</w:t>
      </w:r>
      <w:r>
        <w:rPr>
          <w:i/>
          <w:iCs/>
        </w:rPr>
        <w:t xml:space="preserve"> </w:t>
      </w:r>
      <w:r>
        <w:rPr>
          <w:i/>
          <w:iCs/>
        </w:rPr>
        <w:t xml:space="preserve">re</w:t>
      </w:r>
      <w:r>
        <w:rPr>
          <w:i/>
          <w:iCs/>
        </w:rPr>
        <w:t xml:space="preserve"> </w:t>
      </w:r>
      <w:r>
        <w:rPr>
          <w:i/>
          <w:iCs/>
        </w:rPr>
        <w:t xml:space="preserve">Griffiths</w:t>
      </w:r>
      <w:r>
        <w:t xml:space="preserve">,</w:t>
      </w:r>
      <w:r>
        <w:br/>
      </w:r>
      <w:r>
        <w:t xml:space="preserve">413</w:t>
      </w:r>
      <w:r>
        <w:t xml:space="preserve"> </w:t>
      </w:r>
      <w:r>
        <w:t xml:space="preserve">U.S.</w:t>
      </w:r>
      <w:r>
        <w:t xml:space="preserve"> </w:t>
      </w:r>
      <w:r>
        <w:t xml:space="preserve">717</w:t>
      </w:r>
      <w:r>
        <w:t xml:space="preserve"> </w:t>
      </w:r>
      <w:r>
        <w:t xml:space="preserve">(1973)</w:t>
      </w:r>
      <w:r>
        <w:t xml:space="preserve"> </w:t>
      </w:r>
      <w:r>
        <w:tab/>
      </w:r>
      <w:r>
        <w:t xml:space="preserve">5</w:t>
      </w:r>
    </w:p>
    <w:p>
      <w:pPr>
        <w:tabs>
          <w:tab w:val="right" w:leader="dot" w:pos="9360"/>
        </w:tabs>
        <w:keepNext/>
        <w:keepLines/>
        <w:spacing w:before="140" w:after="0" w:line="399" w:lineRule="exact"/>
        <w:ind w:left="504" w:hanging="504"/>
      </w:pPr>
      <w:r>
        <w:rPr>
          <w:i/>
          <w:iCs/>
        </w:rPr>
        <w:t xml:space="preserve">League</w:t>
      </w:r>
      <w:r>
        <w:rPr>
          <w:i/>
          <w:iCs/>
        </w:rPr>
        <w:t xml:space="preserve"> </w:t>
      </w:r>
      <w:r>
        <w:rPr>
          <w:i/>
          <w:iCs/>
        </w:rPr>
        <w:t xml:space="preserve">of</w:t>
      </w:r>
      <w:r>
        <w:rPr>
          <w:i/>
          <w:iCs/>
        </w:rPr>
        <w:t xml:space="preserve"> </w:t>
      </w:r>
      <w:r>
        <w:rPr>
          <w:i/>
          <w:iCs/>
        </w:rPr>
        <w:t xml:space="preserve">Women</w:t>
      </w:r>
      <w:r>
        <w:rPr>
          <w:i/>
          <w:iCs/>
        </w:rPr>
        <w:t xml:space="preserve"> </w:t>
      </w:r>
      <w:r>
        <w:rPr>
          <w:i/>
          <w:iCs/>
        </w:rPr>
        <w:t xml:space="preserve">Voters</w:t>
      </w:r>
      <w:r>
        <w:rPr>
          <w:i/>
          <w:iCs/>
        </w:rPr>
        <w:t xml:space="preserve"> </w:t>
      </w:r>
      <w:r>
        <w:rPr>
          <w:i/>
          <w:iCs/>
        </w:rPr>
        <w:t xml:space="preserve">v.</w:t>
      </w:r>
      <w:r>
        <w:rPr>
          <w:i/>
          <w:iCs/>
        </w:rPr>
        <w:t xml:space="preserve"> </w:t>
      </w:r>
      <w:r>
        <w:rPr>
          <w:i/>
          <w:iCs/>
        </w:rPr>
        <w:t xml:space="preserve">Fla.</w:t>
      </w:r>
      <w:r>
        <w:rPr>
          <w:i/>
          <w:iCs/>
        </w:rPr>
        <w:t xml:space="preserve"> </w:t>
      </w:r>
      <w:r>
        <w:rPr>
          <w:i/>
          <w:iCs/>
        </w:rPr>
        <w:t xml:space="preserve">Sec’y</w:t>
      </w:r>
      <w:r>
        <w:rPr>
          <w:i/>
          <w:iCs/>
        </w:rPr>
        <w:t xml:space="preserve"> </w:t>
      </w:r>
      <w:r>
        <w:rPr>
          <w:i/>
          <w:iCs/>
        </w:rPr>
        <w:t xml:space="preserve">of</w:t>
      </w:r>
      <w:r>
        <w:rPr>
          <w:i/>
          <w:iCs/>
        </w:rPr>
        <w:t xml:space="preserve"> </w:t>
      </w:r>
      <w:r>
        <w:rPr>
          <w:i/>
          <w:iCs/>
        </w:rPr>
        <w:t xml:space="preserve">State</w:t>
      </w:r>
      <w:r>
        <w:t xml:space="preserve">,</w:t>
      </w:r>
      <w:r>
        <w:br/>
      </w:r>
      <w:r>
        <w:t xml:space="preserve">66</w:t>
      </w:r>
      <w:r>
        <w:t xml:space="preserve"> </w:t>
      </w:r>
      <w:r>
        <w:t xml:space="preserve">F.4th</w:t>
      </w:r>
      <w:r>
        <w:t xml:space="preserve"> </w:t>
      </w:r>
      <w:r>
        <w:t xml:space="preserve">905</w:t>
      </w:r>
      <w:r>
        <w:t xml:space="preserve"> </w:t>
      </w:r>
      <w:r>
        <w:t xml:space="preserve">(11th</w:t>
      </w:r>
      <w:r>
        <w:t xml:space="preserve"> </w:t>
      </w:r>
      <w:r>
        <w:t xml:space="preserve">Cir.</w:t>
      </w:r>
      <w:r>
        <w:t xml:space="preserve"> </w:t>
      </w:r>
      <w:r>
        <w:t xml:space="preserve">2023)</w:t>
      </w:r>
      <w:r>
        <w:t xml:space="preserve"> </w:t>
      </w:r>
      <w:r>
        <w:tab/>
      </w:r>
      <w:r>
        <w:t xml:space="preserve">3</w:t>
      </w:r>
    </w:p>
    <w:p>
      <w:pPr>
        <w:tabs>
          <w:tab w:val="right" w:leader="dot" w:pos="9360"/>
        </w:tabs>
        <w:keepNext/>
        <w:keepLines/>
        <w:spacing w:before="140" w:after="0" w:line="399" w:lineRule="exact"/>
        <w:ind w:left="504" w:hanging="504"/>
      </w:pPr>
      <w:r>
        <w:rPr>
          <w:i/>
          <w:iCs/>
        </w:rPr>
        <w:t xml:space="preserve">LeClerc</w:t>
      </w:r>
      <w:r>
        <w:rPr>
          <w:i/>
          <w:iCs/>
        </w:rPr>
        <w:t xml:space="preserve"> </w:t>
      </w:r>
      <w:r>
        <w:rPr>
          <w:i/>
          <w:iCs/>
        </w:rPr>
        <w:t xml:space="preserve">v.</w:t>
      </w:r>
      <w:r>
        <w:rPr>
          <w:i/>
          <w:iCs/>
        </w:rPr>
        <w:t xml:space="preserve"> </w:t>
      </w:r>
      <w:r>
        <w:rPr>
          <w:i/>
          <w:iCs/>
        </w:rPr>
        <w:t xml:space="preserve">Webb</w:t>
      </w:r>
      <w:r>
        <w:t xml:space="preserve">,</w:t>
      </w:r>
      <w:r>
        <w:br/>
      </w:r>
      <w:r>
        <w:t xml:space="preserve">419</w:t>
      </w:r>
      <w:r>
        <w:t xml:space="preserve"> </w:t>
      </w:r>
      <w:r>
        <w:t xml:space="preserve">F.3d</w:t>
      </w:r>
      <w:r>
        <w:t xml:space="preserve"> </w:t>
      </w:r>
      <w:r>
        <w:t xml:space="preserve">405</w:t>
      </w:r>
      <w:r>
        <w:t xml:space="preserve"> </w:t>
      </w:r>
      <w:r>
        <w:t xml:space="preserve">(5th</w:t>
      </w:r>
      <w:r>
        <w:t xml:space="preserve"> </w:t>
      </w:r>
      <w:r>
        <w:t xml:space="preserve">Cir.</w:t>
      </w:r>
      <w:r>
        <w:t xml:space="preserve"> </w:t>
      </w:r>
      <w:r>
        <w:t xml:space="preserve">2005)</w:t>
      </w:r>
      <w:r>
        <w:t xml:space="preserve"> </w:t>
      </w:r>
      <w:r>
        <w:tab/>
      </w:r>
      <w:r>
        <w:t xml:space="preserve">6</w:t>
      </w:r>
    </w:p>
    <w:p>
      <w:pPr>
        <w:tabs>
          <w:tab w:val="right" w:leader="dot" w:pos="9360"/>
        </w:tabs>
        <w:keepNext/>
        <w:keepLines/>
        <w:spacing w:before="140" w:after="0" w:line="399" w:lineRule="exact"/>
        <w:ind w:left="504" w:hanging="504"/>
      </w:pPr>
      <w:r>
        <w:rPr>
          <w:i/>
          <w:iCs/>
        </w:rPr>
        <w:t xml:space="preserve">Nyquist</w:t>
      </w:r>
      <w:r>
        <w:rPr>
          <w:i/>
          <w:iCs/>
        </w:rPr>
        <w:t xml:space="preserve"> </w:t>
      </w:r>
      <w:r>
        <w:rPr>
          <w:i/>
          <w:iCs/>
        </w:rPr>
        <w:t xml:space="preserve">v.</w:t>
      </w:r>
      <w:r>
        <w:rPr>
          <w:i/>
          <w:iCs/>
        </w:rPr>
        <w:t xml:space="preserve"> </w:t>
      </w:r>
      <w:r>
        <w:rPr>
          <w:i/>
          <w:iCs/>
        </w:rPr>
        <w:t xml:space="preserve">Mauclet</w:t>
      </w:r>
      <w:r>
        <w:t xml:space="preserve">,</w:t>
      </w:r>
      <w:r>
        <w:br/>
      </w:r>
      <w:r>
        <w:t xml:space="preserve">432</w:t>
      </w:r>
      <w:r>
        <w:t xml:space="preserve"> </w:t>
      </w:r>
      <w:r>
        <w:t xml:space="preserve">U.S.</w:t>
      </w:r>
      <w:r>
        <w:t xml:space="preserve"> </w:t>
      </w:r>
      <w:r>
        <w:t xml:space="preserve">1</w:t>
      </w:r>
      <w:r>
        <w:t xml:space="preserve"> </w:t>
      </w:r>
      <w:r>
        <w:t xml:space="preserve">(1977)</w:t>
      </w:r>
      <w:r>
        <w:t xml:space="preserve"> </w:t>
      </w:r>
      <w:r>
        <w:tab/>
      </w:r>
      <w:r>
        <w:t xml:space="preserve">5</w:t>
      </w:r>
    </w:p>
    <w:p>
      <w:pPr>
        <w:tabs>
          <w:tab w:val="right" w:leader="dot" w:pos="9360"/>
        </w:tabs>
        <w:keepNext/>
        <w:keepLines/>
        <w:spacing w:before="140" w:after="0" w:line="399" w:lineRule="exact"/>
        <w:ind w:left="504" w:hanging="504"/>
      </w:pPr>
      <w:r>
        <w:rPr>
          <w:i/>
          <w:iCs/>
        </w:rPr>
        <w:t xml:space="preserve">Romer</w:t>
      </w:r>
      <w:r>
        <w:rPr>
          <w:i/>
          <w:iCs/>
        </w:rPr>
        <w:t xml:space="preserve"> </w:t>
      </w:r>
      <w:r>
        <w:rPr>
          <w:i/>
          <w:iCs/>
        </w:rPr>
        <w:t xml:space="preserve">v.</w:t>
      </w:r>
      <w:r>
        <w:rPr>
          <w:i/>
          <w:iCs/>
        </w:rPr>
        <w:t xml:space="preserve"> </w:t>
      </w:r>
      <w:r>
        <w:rPr>
          <w:i/>
          <w:iCs/>
        </w:rPr>
        <w:t xml:space="preserve">Evans</w:t>
      </w:r>
      <w:r>
        <w:t xml:space="preserve">,</w:t>
      </w:r>
      <w:r>
        <w:br/>
      </w:r>
      <w:r>
        <w:t xml:space="preserve">517</w:t>
      </w:r>
      <w:r>
        <w:t xml:space="preserve"> </w:t>
      </w:r>
      <w:r>
        <w:t xml:space="preserve">U.S.</w:t>
      </w:r>
      <w:r>
        <w:t xml:space="preserve"> </w:t>
      </w:r>
      <w:r>
        <w:t xml:space="preserve">620</w:t>
      </w:r>
      <w:r>
        <w:t xml:space="preserve"> </w:t>
      </w:r>
      <w:r>
        <w:t xml:space="preserve">(1996)</w:t>
      </w:r>
      <w:r>
        <w:t xml:space="preserve"> </w:t>
      </w:r>
      <w:r>
        <w:tab/>
      </w:r>
      <w:r>
        <w:t xml:space="preserve">7</w:t>
      </w:r>
    </w:p>
    <w:p>
      <w:pPr>
        <w:tabs>
          <w:tab w:val="right" w:leader="dot" w:pos="9360"/>
        </w:tabs>
        <w:keepNext/>
        <w:keepLines/>
        <w:spacing w:before="140" w:after="0" w:line="399" w:lineRule="exact"/>
        <w:ind w:left="504" w:hanging="504"/>
      </w:pPr>
      <w:r>
        <w:rPr>
          <w:i/>
          <w:iCs/>
        </w:rPr>
        <w:t xml:space="preserve">Shen</w:t>
      </w:r>
      <w:r>
        <w:rPr>
          <w:i/>
          <w:iCs/>
        </w:rPr>
        <w:t xml:space="preserve"> </w:t>
      </w:r>
      <w:r>
        <w:rPr>
          <w:i/>
          <w:iCs/>
        </w:rPr>
        <w:t xml:space="preserve">v.</w:t>
      </w:r>
      <w:r>
        <w:rPr>
          <w:i/>
          <w:iCs/>
        </w:rPr>
        <w:t xml:space="preserve"> </w:t>
      </w:r>
      <w:r>
        <w:rPr>
          <w:i/>
          <w:iCs/>
        </w:rPr>
        <w:t xml:space="preserve">Comm’r,</w:t>
      </w:r>
      <w:r>
        <w:rPr>
          <w:i/>
          <w:iCs/>
        </w:rPr>
        <w:t xml:space="preserve"> </w:t>
      </w:r>
      <w:r>
        <w:rPr>
          <w:i/>
          <w:iCs/>
        </w:rPr>
        <w:t xml:space="preserve">Fla.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Agric.</w:t>
      </w:r>
      <w:r>
        <w:rPr>
          <w:i/>
          <w:iCs/>
        </w:rPr>
        <w:t xml:space="preserve"> </w:t>
      </w:r>
      <w:r>
        <w:rPr>
          <w:i/>
          <w:iCs/>
        </w:rPr>
        <w:t xml:space="preserve">&amp;</w:t>
      </w:r>
      <w:r>
        <w:rPr>
          <w:i/>
          <w:iCs/>
        </w:rPr>
        <w:t xml:space="preserve"> </w:t>
      </w:r>
      <w:r>
        <w:rPr>
          <w:i/>
          <w:iCs/>
        </w:rPr>
        <w:t xml:space="preserve">Consumer</w:t>
      </w:r>
      <w:r>
        <w:rPr>
          <w:i/>
          <w:iCs/>
        </w:rPr>
        <w:t xml:space="preserve"> </w:t>
      </w:r>
      <w:r>
        <w:rPr>
          <w:i/>
          <w:iCs/>
        </w:rPr>
        <w:t xml:space="preserve">Servs.</w:t>
      </w:r>
      <w:r>
        <w:t xml:space="preserve">,</w:t>
      </w:r>
      <w:r>
        <w:br/>
      </w:r>
      <w:r>
        <w:t xml:space="preserve">158</w:t>
      </w:r>
      <w:r>
        <w:t xml:space="preserve"> </w:t>
      </w:r>
      <w:r>
        <w:t xml:space="preserve">F.4th</w:t>
      </w:r>
      <w:r>
        <w:t xml:space="preserve"> </w:t>
      </w:r>
      <w:r>
        <w:t xml:space="preserve">1227</w:t>
      </w:r>
      <w:r>
        <w:t xml:space="preserve"> </w:t>
      </w:r>
      <w:r>
        <w:t xml:space="preserve">(11th</w:t>
      </w:r>
      <w:r>
        <w:t xml:space="preserve"> </w:t>
      </w:r>
      <w:r>
        <w:t xml:space="preserve">Cir.</w:t>
      </w:r>
      <w:r>
        <w:t xml:space="preserve"> </w:t>
      </w:r>
      <w:r>
        <w:t xml:space="preserve">2025)</w:t>
      </w:r>
      <w:r>
        <w:t xml:space="preserve"> </w:t>
      </w:r>
      <w:r>
        <w:tab/>
      </w:r>
      <w:r>
        <w:t xml:space="preserve">5</w:t>
      </w:r>
    </w:p>
    <w:p>
      <w:pPr>
        <w:tabs>
          <w:tab w:val="right" w:leader="dot" w:pos="9360"/>
        </w:tabs>
        <w:keepNext/>
        <w:keepLines/>
        <w:spacing w:before="140" w:after="0" w:line="399" w:lineRule="exact"/>
        <w:ind w:left="504" w:hanging="504"/>
      </w:pPr>
      <w:r>
        <w:rPr>
          <w:i/>
          <w:iCs/>
        </w:rPr>
        <w:t xml:space="preserve">Sugarman</w:t>
      </w:r>
      <w:r>
        <w:rPr>
          <w:i/>
          <w:iCs/>
        </w:rPr>
        <w:t xml:space="preserve"> </w:t>
      </w:r>
      <w:r>
        <w:rPr>
          <w:i/>
          <w:iCs/>
        </w:rPr>
        <w:t xml:space="preserve">v.</w:t>
      </w:r>
      <w:r>
        <w:rPr>
          <w:i/>
          <w:iCs/>
        </w:rPr>
        <w:t xml:space="preserve"> </w:t>
      </w:r>
      <w:r>
        <w:rPr>
          <w:i/>
          <w:iCs/>
        </w:rPr>
        <w:t xml:space="preserve">Dougall</w:t>
      </w:r>
      <w:r>
        <w:t xml:space="preserve">,</w:t>
      </w:r>
      <w:r>
        <w:br/>
      </w:r>
      <w:r>
        <w:t xml:space="preserve">413</w:t>
      </w:r>
      <w:r>
        <w:t xml:space="preserve"> </w:t>
      </w:r>
      <w:r>
        <w:t xml:space="preserve">U.S.</w:t>
      </w:r>
      <w:r>
        <w:t xml:space="preserve"> </w:t>
      </w:r>
      <w:r>
        <w:t xml:space="preserve">634</w:t>
      </w:r>
      <w:r>
        <w:t xml:space="preserve"> </w:t>
      </w:r>
      <w:r>
        <w:t xml:space="preserve">(1973)</w:t>
      </w:r>
      <w:r>
        <w:t xml:space="preserve"> </w:t>
      </w:r>
      <w:r>
        <w:tab/>
      </w:r>
      <w:r>
        <w:t xml:space="preserve">5</w:t>
      </w:r>
    </w:p>
    <w:p>
      <w:pPr>
        <w:tabs>
          <w:tab w:val="right" w:leader="dot" w:pos="9360"/>
        </w:tabs>
        <w:keepNext/>
        <w:keepLines/>
        <w:spacing w:before="140" w:after="0" w:line="399" w:lineRule="exact"/>
        <w:ind w:left="504" w:hanging="504"/>
      </w:pPr>
      <w:r>
        <w:rPr>
          <w:i/>
          <w:iCs/>
        </w:rPr>
        <w:t xml:space="preserve">United</w:t>
      </w:r>
      <w:r>
        <w:rPr>
          <w:i/>
          <w:iCs/>
        </w:rPr>
        <w:t xml:space="preserve"> </w:t>
      </w:r>
      <w:r>
        <w:rPr>
          <w:i/>
          <w:iCs/>
        </w:rPr>
        <w:t xml:space="preserve">States</w:t>
      </w:r>
      <w:r>
        <w:rPr>
          <w:i/>
          <w:iCs/>
        </w:rPr>
        <w:t xml:space="preserve"> </w:t>
      </w:r>
      <w:r>
        <w:rPr>
          <w:i/>
          <w:iCs/>
        </w:rPr>
        <w:t xml:space="preserve">v.</w:t>
      </w:r>
      <w:r>
        <w:rPr>
          <w:i/>
          <w:iCs/>
        </w:rPr>
        <w:t xml:space="preserve"> </w:t>
      </w:r>
      <w:r>
        <w:rPr>
          <w:i/>
          <w:iCs/>
        </w:rPr>
        <w:t xml:space="preserve">Salerno</w:t>
      </w:r>
      <w:r>
        <w:t xml:space="preserve">,</w:t>
      </w:r>
      <w:r>
        <w:br/>
      </w:r>
      <w:r>
        <w:t xml:space="preserve">481</w:t>
      </w:r>
      <w:r>
        <w:t xml:space="preserve"> </w:t>
      </w:r>
      <w:r>
        <w:t xml:space="preserve">U.S.</w:t>
      </w:r>
      <w:r>
        <w:t xml:space="preserve"> </w:t>
      </w:r>
      <w:r>
        <w:t xml:space="preserve">739</w:t>
      </w:r>
      <w:r>
        <w:t xml:space="preserve"> </w:t>
      </w:r>
      <w:r>
        <w:t xml:space="preserve">(1987)</w:t>
      </w:r>
      <w:r>
        <w:t xml:space="preserve"> </w:t>
      </w:r>
      <w:r>
        <w:tab/>
      </w:r>
      <w:r>
        <w:t xml:space="preserve">4</w:t>
      </w:r>
    </w:p>
    <w:p>
      <w:pPr>
        <w:tabs>
          <w:tab w:val="right" w:pos="9360"/>
        </w:tabs>
        <w:keepNext/>
        <w:keepLines/>
        <w:spacing w:before="360" w:after="100" w:line="399" w:lineRule="exact"/>
      </w:pPr>
      <w:r>
        <w:rPr>
          <w:b/>
          <w:bCs/>
        </w:rPr>
        <w:t xml:space="preserve">Statutes:</w:t>
      </w:r>
    </w:p>
    <w:p>
      <w:pPr>
        <w:tabs>
          <w:tab w:val="right" w:leader="dot" w:pos="9360"/>
        </w:tabs>
        <w:keepNext/>
        <w:keepLines/>
        <w:spacing w:before="140" w:after="0" w:line="399" w:lineRule="exact"/>
        <w:ind w:left="504" w:hanging="504"/>
      </w:pPr>
      <w:r>
        <w:t xml:space="preserve">Fla.</w:t>
      </w:r>
      <w:r>
        <w:t xml:space="preserve"> </w:t>
      </w:r>
      <w:r>
        <w:t xml:space="preserve">Stat.</w:t>
      </w:r>
      <w:r>
        <w:t xml:space="preserve"> </w:t>
      </w:r>
      <w:r>
        <w:t xml:space="preserve">§</w:t>
      </w:r>
      <w:r>
        <w:t xml:space="preserve"> </w:t>
      </w:r>
      <w:r>
        <w:t xml:space="preserve">97.0575</w:t>
      </w:r>
      <w:r>
        <w:t xml:space="preserve"> </w:t>
      </w:r>
      <w:r>
        <w:tab/>
      </w:r>
      <w:r>
        <w:t xml:space="preserve">2, 5, 6</w:t>
      </w:r>
    </w:p>
    <w:p>
      <w:pPr>
        <w:tabs>
          <w:tab w:val="right" w:leader="dot" w:pos="9360"/>
        </w:tabs>
        <w:keepNext/>
        <w:keepLines/>
        <w:spacing w:before="140" w:after="0" w:line="399" w:lineRule="exact"/>
        <w:ind w:left="504" w:hanging="504"/>
      </w:pPr>
      <w:r>
        <w:t xml:space="preserve">O.C.G.A.</w:t>
      </w:r>
      <w:r>
        <w:t xml:space="preserve"> </w:t>
      </w:r>
      <w:r>
        <w:t xml:space="preserve">§</w:t>
      </w:r>
      <w:r>
        <w:t xml:space="preserve"> </w:t>
      </w:r>
      <w:r>
        <w:t xml:space="preserve">50-36-1</w:t>
      </w:r>
      <w:r>
        <w:t xml:space="preserve"> </w:t>
      </w:r>
      <w:r>
        <w:tab/>
      </w:r>
      <w:r>
        <w:t xml:space="preserve">6</w:t>
      </w:r>
    </w:p>
    <w:p>
      <w:pPr>
        <w:spacing w:before="0" w:after="0" w:line="20" w:lineRule="exact"/>
        <w:sectPr>
          <w:footerReference w:type="default" r:id="rIdFtrFront"/>
          <w:pgSz w:w="12240" w:h="15840"/>
          <w:pgMar w:top="1440" w:right="1440" w:bottom="1440" w:left="1440" w:header="720" w:footer="432" w:gutter="0"/>
          <w:pgNumType w:fmt="lowerRoman" w:start="1"/>
        </w:sectPr>
      </w:pPr>
    </w:p>
    <w:p>
      <w:pPr>
        <w:keepNext/>
        <w:keepLines/>
        <w:spacing w:before="420" w:after="300" w:line="240" w:lineRule="auto"/>
        <w:jc w:val="center"/>
      </w:pPr>
      <w:r>
        <w:rPr>
          <w:b/>
          <w:bCs/>
        </w:rPr>
        <w:t xml:space="preserve">INTRODUCTION</w:t>
      </w:r>
    </w:p>
    <w:p>
      <w:pPr>
        <w:pStyle w:val="FirstParagraph"/>
      </w:pPr>
      <w:r>
        <w:t xml:space="preserve">The Citizenship Requirement categorically bars all noncitizens from engaging in canvassing work on behalf of third-party voter registration organizations. It is a textbook example of facial discrimination on the basis of alienage—precisely the type of classification the Supreme Court has long held triggers strict scrutiny under the Equal Protection Clause.</w:t>
      </w:r>
    </w:p>
    <w:p>
      <w:pPr>
        <w:pStyle w:val="BodyText"/>
      </w:pPr>
      <w:r>
        <w:t xml:space="preserve">Rather than defend the statute as written, the State seeks to complicate this straightforward analysis by inventing distinctions that do not exist in the statutory text, invoking inapposite precedent, and proposing novel legal tests with no grounding in equal protection jurisprudence. This Court need not indulge the State’s tortured efforts to rewrite either the statute at issue or the governing precedent. The Supreme Court and Eleventh Circuit have consistently applied strict scrutiny to laws that classify on the basis of alienage, and the State offers neither a compelling interest nor a narrowly tailored means to justify the Citizenship Requirement’s sweeping exclusion. The district court correctly held that the Citizenship Requirement facially violates the Fourteenth Amendment and narrowly enjoined its enforcement. This Court should affirm.</w:t>
      </w:r>
    </w:p>
    <w:p>
      <w:pPr>
        <w:keepNext/>
        <w:keepLines/>
        <w:spacing w:before="420" w:after="300" w:line="240" w:lineRule="auto"/>
        <w:jc w:val="center"/>
      </w:pPr>
      <w:r>
        <w:rPr>
          <w:b/>
          <w:bCs/>
        </w:rPr>
        <w:t xml:space="preserve">STATEMENT OF THE CASE</w:t>
      </w:r>
    </w:p>
    <w:p>
      <w:pPr>
        <w:keepNext/>
        <w:keepLines/>
        <w:spacing w:before="240" w:after="180" w:line="240" w:lineRule="auto"/>
        <w:ind w:left="720" w:hanging="720"/>
      </w:pPr>
      <w:r>
        <w:rPr>
          <w:b/>
          <w:bCs/>
        </w:rPr>
        <w:t xml:space="preserve">I.</w:t>
      </w:r>
      <w:r>
        <w:rPr>
          <w:b/>
          <w:bCs/>
        </w:rPr>
        <w:tab/>
      </w:r>
      <w:r>
        <w:rPr>
          <w:b/>
          <w:bCs/>
        </w:rPr>
        <w:t xml:space="preserve">Factual</w:t>
      </w:r>
      <w:r>
        <w:rPr>
          <w:b/>
          <w:bCs/>
        </w:rPr>
        <w:t xml:space="preserve"> </w:t>
      </w:r>
      <w:r>
        <w:rPr>
          <w:b/>
          <w:bCs/>
        </w:rPr>
        <w:t xml:space="preserve">Background</w:t>
      </w:r>
    </w:p>
    <w:p>
      <w:pPr>
        <w:pStyle w:val="BodyText"/>
      </w:pPr>
      <w:r>
        <w:t xml:space="preserve">In May 2023, Florida enacted into law SB 7050, imposing new rules and restrictions governing third-party voter registration organizations (“3PVROs”). This appeal involves only one provision: SB 7050’s Citizenship Requirement, which requires all 3PVROs to affirm “that each person collecting or handling voter registration applications” on their behalf “is a citizen of the United States of America,” and subjects the 3PVROs to a $50,000 fine “for each such person who is not a citizen.” Fla. Stat. § 97.0575(1)(f).</w:t>
      </w:r>
    </w:p>
    <w:p>
      <w:pPr>
        <w:keepNext/>
        <w:keepLines/>
        <w:spacing w:before="240" w:after="180" w:line="240" w:lineRule="auto"/>
        <w:ind w:left="720" w:hanging="720"/>
      </w:pPr>
      <w:r>
        <w:rPr>
          <w:b/>
          <w:bCs/>
        </w:rPr>
        <w:t xml:space="preserve">II.</w:t>
      </w:r>
      <w:r>
        <w:rPr>
          <w:b/>
          <w:bCs/>
        </w:rPr>
        <w:tab/>
      </w:r>
      <w:r>
        <w:rPr>
          <w:b/>
          <w:bCs/>
        </w:rPr>
        <w:t xml:space="preserve">Procedural</w:t>
      </w:r>
      <w:r>
        <w:rPr>
          <w:b/>
          <w:bCs/>
        </w:rPr>
        <w:t xml:space="preserve"> </w:t>
      </w:r>
      <w:r>
        <w:rPr>
          <w:b/>
          <w:bCs/>
        </w:rPr>
        <w:t xml:space="preserve">Background</w:t>
      </w:r>
    </w:p>
    <w:p>
      <w:pPr>
        <w:keepNext/>
        <w:keepLines/>
        <w:spacing w:before="240" w:after="180" w:line="240" w:lineRule="auto"/>
        <w:ind w:left="1440" w:hanging="720"/>
      </w:pPr>
      <w:r>
        <w:rPr>
          <w:b/>
          <w:bCs/>
        </w:rPr>
        <w:t xml:space="preserve">A.</w:t>
      </w:r>
      <w:r>
        <w:rPr>
          <w:b/>
          <w:bCs/>
        </w:rPr>
        <w:tab/>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preliminarily</w:t>
      </w:r>
      <w:r>
        <w:rPr>
          <w:b/>
          <w:bCs/>
        </w:rPr>
        <w:t xml:space="preserve"> </w:t>
      </w:r>
      <w:r>
        <w:rPr>
          <w:b/>
          <w:bCs/>
        </w:rPr>
        <w:t xml:space="preserve">enjoins</w:t>
      </w:r>
      <w:r>
        <w:rPr>
          <w:b/>
          <w:bCs/>
        </w:rPr>
        <w:t xml:space="preserve"> </w:t>
      </w:r>
      <w:r>
        <w:rPr>
          <w:b/>
          <w:bCs/>
        </w:rPr>
        <w:t xml:space="preserve">the</w:t>
      </w:r>
      <w:r>
        <w:rPr>
          <w:b/>
          <w:bCs/>
        </w:rPr>
        <w:t xml:space="preserve"> </w:t>
      </w:r>
      <w:r>
        <w:rPr>
          <w:b/>
          <w:bCs/>
        </w:rPr>
        <w:t xml:space="preserve">Citizenship</w:t>
      </w:r>
      <w:r>
        <w:rPr>
          <w:b/>
          <w:bCs/>
        </w:rPr>
        <w:t xml:space="preserve"> </w:t>
      </w:r>
      <w:r>
        <w:rPr>
          <w:b/>
          <w:bCs/>
        </w:rPr>
        <w:t xml:space="preserve">Requirement.</w:t>
      </w:r>
    </w:p>
    <w:p>
      <w:pPr>
        <w:pStyle w:val="BodyText"/>
      </w:pPr>
      <w:r>
        <w:t xml:space="preserve">Shortly after Governor DeSantis signed SB 7050, three sets of plaintiffs brought constitutional challenges to several of its provisions, including the Citizenship Requirement. All three sets of plaintiffs moved for a preliminary injunction of the Citizenship Requirement, and the district court held a consolidated preliminary injunction hearing. On July 3, 2023, the district court granted Plaintiffs’ motion for a preliminary injunction barring the State from enforcing the Citizenship Requirement. The district court determined that Plaintiffs had established standing to challenge the Citizenship Requirement and that Plaintiffs had shown a substantial likelihood of success on the merits. The district court concluded that the statute’s facial classification based on alienage triggered strict scrutiny, rejected the State’s request to parse the Citizenship Requirement into separate standards for undocumented and lawfully present noncitizens, and rejected the State’s argument that the classification was subject to the political function exception.</w:t>
      </w:r>
    </w:p>
    <w:p>
      <w:pPr>
        <w:keepNext/>
        <w:keepLines/>
        <w:spacing w:before="420" w:after="300" w:line="240" w:lineRule="auto"/>
        <w:jc w:val="center"/>
      </w:pPr>
      <w:r>
        <w:rPr>
          <w:b/>
          <w:bCs/>
        </w:rPr>
        <w:t xml:space="preserve">STANDARD OF REVIEW</w:t>
      </w:r>
    </w:p>
    <w:p>
      <w:pPr>
        <w:pStyle w:val="BodyText"/>
      </w:pPr>
      <w:r>
        <w:t xml:space="preserve">In an appeal from a bench trial, the Court of Appeals “review[s] de novo conclusions of law and the application of the law to the facts,” but reviews findings of fact for clear error.</w:t>
      </w:r>
      <w:r>
        <w:t xml:space="preserve"> </w:t>
      </w:r>
      <w:r>
        <w:rPr>
          <w:i/>
          <w:iCs/>
        </w:rPr>
        <w:t xml:space="preserve">League of Women Voters v. Fla. Sec’y of State</w:t>
      </w:r>
      <w:r>
        <w:t xml:space="preserve">, 66 F.4th 905, 921 (11th Cir. 2023). Courts of appeal will not find clear error “unless our review of the record leaves us with the definite and firm conviction that a mistake has been committed.”</w:t>
      </w:r>
      <w:r>
        <w:t xml:space="preserve"> </w:t>
      </w:r>
      <w:r>
        <w:rPr>
          <w:i/>
          <w:iCs/>
        </w:rPr>
        <w:t xml:space="preserve">Id.</w:t>
      </w:r>
      <w:r>
        <w:t xml:space="preserve"> </w:t>
      </w:r>
      <w:r>
        <w:t xml:space="preserve">(quotation omitted).</w:t>
      </w:r>
    </w:p>
    <w:p>
      <w:pPr>
        <w:keepNext/>
        <w:keepLines/>
        <w:spacing w:before="420" w:after="300" w:line="240" w:lineRule="auto"/>
        <w:jc w:val="center"/>
      </w:pPr>
      <w:r>
        <w:rPr>
          <w:b/>
          <w:bCs/>
        </w:rPr>
        <w:t xml:space="preserve">SUMMARY OF ARGUMENT</w:t>
      </w:r>
    </w:p>
    <w:p>
      <w:pPr>
        <w:pStyle w:val="BodyText"/>
      </w:pPr>
      <w:r>
        <w:t xml:space="preserve">The Citizenship Requirement facially prohibits all noncitizens from engaging in canvassing work on behalf of 3PVROs. Because the statute expressly classifies individuals based on citizenship status, it discriminates on the basis of alienage and is therefore subject to strict scrutiny under the Equal Protection Clause. An unwavering line of Supreme Court precedent has held that laws imposing categorical restrictions on noncitizens—without distinction among different classes of lawful or unlawful status—trigger strict scrutiny. Rather than defending the Citizenship Requirement under that settled standard, the State urges the Court to adopt a novel, fragmented approach by reading into the statute distinctions among noncitizens that the text does not contain. But courts assess facial equal protection challenges based on the classifications the legislature actually enacted, not those it might have drawn.</w:t>
      </w:r>
    </w:p>
    <w:p>
      <w:pPr>
        <w:pStyle w:val="BodyText"/>
      </w:pPr>
      <w:r>
        <w:t xml:space="preserve">Because the Citizenship Requirement imposes a sweeping ban on all noncitizens, binding precedent forecloses the State’s attempt to apply different levels of scrutiny to hypothetical subcategories. The State’s reliance on</w:t>
      </w:r>
      <w:r>
        <w:t xml:space="preserve"> </w:t>
      </w:r>
      <w:r>
        <w:rPr>
          <w:i/>
          <w:iCs/>
        </w:rPr>
        <w:t xml:space="preserve">United States v. Salerno</w:t>
      </w:r>
      <w:r>
        <w:t xml:space="preserve"> </w:t>
      </w:r>
      <w:r>
        <w:t xml:space="preserve">is misplaced; Circuit precedent dictates that, rather than imposing a separate threshold test for facial challenges,</w:t>
      </w:r>
      <w:r>
        <w:t xml:space="preserve"> </w:t>
      </w:r>
      <w:r>
        <w:rPr>
          <w:i/>
          <w:iCs/>
        </w:rPr>
        <w:t xml:space="preserve">Salerno</w:t>
      </w:r>
      <w:r>
        <w:t xml:space="preserve"> </w:t>
      </w:r>
      <w:r>
        <w:t xml:space="preserve">merely describes the result when a statute fails the applicable constitutional standard. And even if</w:t>
      </w:r>
      <w:r>
        <w:t xml:space="preserve"> </w:t>
      </w:r>
      <w:r>
        <w:rPr>
          <w:i/>
          <w:iCs/>
        </w:rPr>
        <w:t xml:space="preserve">Salerno</w:t>
      </w:r>
      <w:r>
        <w:t xml:space="preserve"> </w:t>
      </w:r>
      <w:r>
        <w:t xml:space="preserve">applied, it would be irrelevant here because the district court limited the scope of the injunction to the plaintiffs before it.</w:t>
      </w:r>
    </w:p>
    <w:p>
      <w:pPr>
        <w:keepNext/>
        <w:keepLines/>
        <w:spacing w:before="420" w:after="300" w:line="240" w:lineRule="auto"/>
        <w:jc w:val="center"/>
      </w:pPr>
      <w:r>
        <w:rPr>
          <w:b/>
          <w:bCs/>
        </w:rPr>
        <w:t xml:space="preserve">ARGUMENT</w:t>
      </w:r>
    </w:p>
    <w:p>
      <w:pPr>
        <w:keepNext/>
        <w:keepLines/>
        <w:spacing w:before="240" w:after="180" w:line="240" w:lineRule="auto"/>
        <w:ind w:left="720" w:hanging="720"/>
      </w:pPr>
      <w:r>
        <w:rPr>
          <w:b/>
          <w:bCs/>
        </w:rPr>
        <w:t xml:space="preserve">I.</w:t>
      </w:r>
      <w:r>
        <w:rPr>
          <w:b/>
          <w:bCs/>
        </w:rPr>
        <w:tab/>
      </w:r>
      <w:r>
        <w:rPr>
          <w:b/>
          <w:bCs/>
        </w:rPr>
        <w:t xml:space="preserve">The</w:t>
      </w:r>
      <w:r>
        <w:rPr>
          <w:b/>
          <w:bCs/>
        </w:rPr>
        <w:t xml:space="preserve"> </w:t>
      </w:r>
      <w:r>
        <w:rPr>
          <w:b/>
          <w:bCs/>
        </w:rPr>
        <w:t xml:space="preserve">Citizenship</w:t>
      </w:r>
      <w:r>
        <w:rPr>
          <w:b/>
          <w:bCs/>
        </w:rPr>
        <w:t xml:space="preserve"> </w:t>
      </w:r>
      <w:r>
        <w:rPr>
          <w:b/>
          <w:bCs/>
        </w:rPr>
        <w:t xml:space="preserve">Requirement</w:t>
      </w:r>
      <w:r>
        <w:rPr>
          <w:b/>
          <w:bCs/>
        </w:rPr>
        <w:t xml:space="preserve"> </w:t>
      </w:r>
      <w:r>
        <w:rPr>
          <w:b/>
          <w:bCs/>
        </w:rPr>
        <w:t xml:space="preserve">is</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strict</w:t>
      </w:r>
      <w:r>
        <w:rPr>
          <w:b/>
          <w:bCs/>
        </w:rPr>
        <w:t xml:space="preserve"> </w:t>
      </w:r>
      <w:r>
        <w:rPr>
          <w:b/>
          <w:bCs/>
        </w:rPr>
        <w:t xml:space="preserve">scrutiny.</w:t>
      </w:r>
    </w:p>
    <w:p>
      <w:pPr>
        <w:keepNext/>
        <w:keepLines/>
        <w:spacing w:before="240" w:after="180" w:line="240" w:lineRule="auto"/>
        <w:ind w:left="1440" w:hanging="720"/>
      </w:pPr>
      <w:r>
        <w:rPr>
          <w:b/>
          <w:bCs/>
        </w:rPr>
        <w:t xml:space="preserve">A.</w:t>
      </w:r>
      <w:r>
        <w:rPr>
          <w:b/>
          <w:bCs/>
        </w:rPr>
        <w:tab/>
      </w:r>
      <w:r>
        <w:rPr>
          <w:b/>
          <w:bCs/>
        </w:rPr>
        <w:t xml:space="preserve">Laws</w:t>
      </w:r>
      <w:r>
        <w:rPr>
          <w:b/>
          <w:bCs/>
        </w:rPr>
        <w:t xml:space="preserve"> </w:t>
      </w:r>
      <w:r>
        <w:rPr>
          <w:b/>
          <w:bCs/>
        </w:rPr>
        <w:t xml:space="preserve">classifying</w:t>
      </w:r>
      <w:r>
        <w:rPr>
          <w:b/>
          <w:bCs/>
        </w:rPr>
        <w:t xml:space="preserve"> </w:t>
      </w:r>
      <w:r>
        <w:rPr>
          <w:b/>
          <w:bCs/>
        </w:rPr>
        <w:t xml:space="preserve">individuals</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basis</w:t>
      </w:r>
      <w:r>
        <w:rPr>
          <w:b/>
          <w:bCs/>
        </w:rPr>
        <w:t xml:space="preserve"> </w:t>
      </w:r>
      <w:r>
        <w:rPr>
          <w:b/>
          <w:bCs/>
        </w:rPr>
        <w:t xml:space="preserve">of</w:t>
      </w:r>
      <w:r>
        <w:rPr>
          <w:b/>
          <w:bCs/>
        </w:rPr>
        <w:t xml:space="preserve"> </w:t>
      </w:r>
      <w:r>
        <w:rPr>
          <w:b/>
          <w:bCs/>
        </w:rPr>
        <w:t xml:space="preserve">citizenship</w:t>
      </w:r>
      <w:r>
        <w:rPr>
          <w:b/>
          <w:bCs/>
        </w:rPr>
        <w:t xml:space="preserve"> </w:t>
      </w:r>
      <w:r>
        <w:rPr>
          <w:b/>
          <w:bCs/>
        </w:rPr>
        <w:t xml:space="preserve">are</w:t>
      </w:r>
      <w:r>
        <w:rPr>
          <w:b/>
          <w:bCs/>
        </w:rPr>
        <w:t xml:space="preserve"> </w:t>
      </w:r>
      <w:r>
        <w:rPr>
          <w:b/>
          <w:bCs/>
        </w:rPr>
        <w:t xml:space="preserve">subject</w:t>
      </w:r>
      <w:r>
        <w:rPr>
          <w:b/>
          <w:bCs/>
        </w:rPr>
        <w:t xml:space="preserve"> </w:t>
      </w:r>
      <w:r>
        <w:rPr>
          <w:b/>
          <w:bCs/>
        </w:rPr>
        <w:t xml:space="preserve">to</w:t>
      </w:r>
      <w:r>
        <w:rPr>
          <w:b/>
          <w:bCs/>
        </w:rPr>
        <w:t xml:space="preserve"> </w:t>
      </w:r>
      <w:r>
        <w:rPr>
          <w:b/>
          <w:bCs/>
        </w:rPr>
        <w:t xml:space="preserve">strict</w:t>
      </w:r>
      <w:r>
        <w:rPr>
          <w:b/>
          <w:bCs/>
        </w:rPr>
        <w:t xml:space="preserve"> </w:t>
      </w:r>
      <w:r>
        <w:rPr>
          <w:b/>
          <w:bCs/>
        </w:rPr>
        <w:t xml:space="preserve">scrutiny.</w:t>
      </w:r>
    </w:p>
    <w:p>
      <w:pPr>
        <w:pStyle w:val="BodyText"/>
      </w:pPr>
      <w:r>
        <w:t xml:space="preserve">“As a general matter, a state law that discriminates on the basis of alienage can be sustained only if it can withstand strict judicial scrutiny.”</w:t>
      </w:r>
      <w:r>
        <w:t xml:space="preserve"> </w:t>
      </w:r>
      <w:r>
        <w:rPr>
          <w:i/>
          <w:iCs/>
        </w:rPr>
        <w:t xml:space="preserve">Bernal v. Fainter</w:t>
      </w:r>
      <w:r>
        <w:t xml:space="preserve">, 467 U.S. 216, 219 (1984);</w:t>
      </w:r>
      <w:r>
        <w:t xml:space="preserve"> </w:t>
      </w:r>
      <w:r>
        <w:rPr>
          <w:i/>
          <w:iCs/>
        </w:rPr>
        <w:t xml:space="preserve">see also</w:t>
      </w:r>
      <w:r>
        <w:t xml:space="preserve"> </w:t>
      </w:r>
      <w:r>
        <w:rPr>
          <w:i/>
          <w:iCs/>
        </w:rPr>
        <w:t xml:space="preserve">Examining Bd. v. Flores de Otero</w:t>
      </w:r>
      <w:r>
        <w:t xml:space="preserve">, 426 U.S. 572, 601–02 (1976) (applying “strict judicial scrutiny” for limitations on state civil engineering licenses based on alienage (quotation omitted));</w:t>
      </w:r>
      <w:r>
        <w:t xml:space="preserve"> </w:t>
      </w:r>
      <w:r>
        <w:rPr>
          <w:i/>
          <w:iCs/>
        </w:rPr>
        <w:t xml:space="preserve">Sugarman v. Dougall</w:t>
      </w:r>
      <w:r>
        <w:t xml:space="preserve">, 413 U.S. 634, 642 (1973) (applying “close scrutiny” to statute “which denies all aliens the right to hold positions in New York’s classified competitive civil service”);</w:t>
      </w:r>
      <w:r>
        <w:t xml:space="preserve"> </w:t>
      </w:r>
      <w:r>
        <w:rPr>
          <w:i/>
          <w:iCs/>
        </w:rPr>
        <w:t xml:space="preserve">In re Griffiths</w:t>
      </w:r>
      <w:r>
        <w:t xml:space="preserve">, 413 U.S. 717, 721 (1973) (applying strict scrutiny to a state law that excluded all noncitizens from being licensed as attorneys);</w:t>
      </w:r>
      <w:r>
        <w:t xml:space="preserve"> </w:t>
      </w:r>
      <w:r>
        <w:rPr>
          <w:i/>
          <w:iCs/>
        </w:rPr>
        <w:t xml:space="preserve">Nyquist v. Mauclet</w:t>
      </w:r>
      <w:r>
        <w:t xml:space="preserve">, 432 U.S. 1, 12 (1977) (applying “close judicial scrutiny” to strike down law banning certain classes of noncitizens from college loan assistance program). In so holding, the Supreme Court has recognized that “aliens as a class are a prime example of a ‘discrete and insular’ minority for whom such heightened judicial solicitude is appropriate.”</w:t>
      </w:r>
      <w:r>
        <w:t xml:space="preserve"> </w:t>
      </w:r>
      <w:r>
        <w:rPr>
          <w:i/>
          <w:iCs/>
        </w:rPr>
        <w:t xml:space="preserve">Graham v. Richardson</w:t>
      </w:r>
      <w:r>
        <w:t xml:space="preserve">, 403 U.S. 365, 376 (1971) (applying “strict judicial scrutiny” to strike down state laws denying welfare benefits to noncitizens).</w:t>
      </w:r>
    </w:p>
    <w:p>
      <w:pPr>
        <w:pStyle w:val="BodyText"/>
      </w:pPr>
      <w:r>
        <w:t xml:space="preserve">Because the Citizenship Requirement expressly classifies Florida residents on the basis of alienage, it is subject to strict scrutiny.</w:t>
      </w:r>
      <w:r>
        <w:t xml:space="preserve"> </w:t>
      </w:r>
      <w:r>
        <w:rPr>
          <w:i/>
          <w:iCs/>
        </w:rPr>
        <w:t xml:space="preserve">See</w:t>
      </w:r>
      <w:r>
        <w:t xml:space="preserve"> </w:t>
      </w:r>
      <w:r>
        <w:rPr>
          <w:i/>
          <w:iCs/>
        </w:rPr>
        <w:t xml:space="preserve">Shen v. Comm’r, Fla. Dep’t of Agric. &amp; Consumer Servs.</w:t>
      </w:r>
      <w:r>
        <w:t xml:space="preserve">, 158 F.4th 1227, 1251 (11th Cir. 2025) (“Alienage generally refers to whether a person is a United States citizen.”). Florida’s Citizenship Requirement distinguishes between two categories of Florida residents: citizens and noncitizens. Fla. Stat. § 97.0575(1)(f). While the Eleventh Circuit has applied lower levels of scrutiny to laws that regulate only undocumented noncitizens,</w:t>
      </w:r>
      <w:r>
        <w:t xml:space="preserve"> </w:t>
      </w:r>
      <w:r>
        <w:rPr>
          <w:i/>
          <w:iCs/>
        </w:rPr>
        <w:t xml:space="preserve">see, e.g.</w:t>
      </w:r>
      <w:r>
        <w:t xml:space="preserve">,</w:t>
      </w:r>
      <w:r>
        <w:t xml:space="preserve"> </w:t>
      </w:r>
      <w:r>
        <w:rPr>
          <w:i/>
          <w:iCs/>
        </w:rPr>
        <w:t xml:space="preserve">Estrada v. Becker</w:t>
      </w:r>
      <w:r>
        <w:t xml:space="preserve">, 917 F.3d 1298, 1301 (11th Cir. 2019) (applying rational basis review to statute prohibiting individuals “not lawfully in the United States” from attending certain Georgia universities (quoting O.C.G.A. § 50-36-1(d)(7)));</w:t>
      </w:r>
      <w:r>
        <w:t xml:space="preserve"> </w:t>
      </w:r>
      <w:r>
        <w:rPr>
          <w:i/>
          <w:iCs/>
        </w:rPr>
        <w:t xml:space="preserve">LeClerc v. Webb</w:t>
      </w:r>
      <w:r>
        <w:t xml:space="preserve">, 419 F.3d 405, 410 (5th Cir. 2005) (applying rational basis review to requirement that individuals be “a citizen of the United States or a resident alien thereof” to be admitted to the bar), the Citizenship Requirement bars all noncitizens from engaging in voter registration, without exception,</w:t>
      </w:r>
      <w:r>
        <w:t xml:space="preserve"> </w:t>
      </w:r>
      <w:r>
        <w:rPr>
          <w:i/>
          <w:iCs/>
        </w:rPr>
        <w:t xml:space="preserve">see</w:t>
      </w:r>
      <w:r>
        <w:t xml:space="preserve"> </w:t>
      </w:r>
      <w:r>
        <w:t xml:space="preserve">Fla. Stat. § 97.0575(1)(f) (requiring “affirmation that each person collecting or handling voter registration applications on behalf of the third-party voter registration organization is a citizen of the United States of America”). Its categorical restriction on all noncitizens is thus the emblematic “classification[] based on alienage” that triggers strict scrutiny.</w:t>
      </w:r>
      <w:r>
        <w:t xml:space="preserve"> </w:t>
      </w:r>
      <w:r>
        <w:rPr>
          <w:i/>
          <w:iCs/>
        </w:rPr>
        <w:t xml:space="preserve">Graham</w:t>
      </w:r>
      <w:r>
        <w:t xml:space="preserve">, 403 U.S. at 372.</w:t>
      </w:r>
    </w:p>
    <w:p>
      <w:pPr>
        <w:pStyle w:val="BodyText"/>
      </w:pPr>
      <w:r>
        <w:t xml:space="preserve">The State admits—consistent with the statutory text—that “[a]ll noncitizens are excluded from collecting or handling applications regardless of their alienage status.” But in an effort to salvage the facially unconstitutional statute, the State urges the Court to read into the statute distinctions among different noncitizen subgroups that the text of the law plainly does not make and then apply different levels of scrutiny to each of them. The State concedes that strict scrutiny applies to claims brought by lawful permanent residents but insists rational basis review applies as to “all other aliens.” That contention misses the point. Because the statute draws a single, undifferentiated alienage-based classification, the relevant inquiry is whether the classification itself can survive strict scrutiny—not whether the State can imagine distinct constitutional results for groups the law does not distinguish.</w:t>
      </w:r>
    </w:p>
    <w:p>
      <w:pPr>
        <w:pStyle w:val="BodyText"/>
      </w:pPr>
      <w:r>
        <w:t xml:space="preserve">For all of these reasons, the Citizenship Requirement violates the Equal Protection Clause; it is a blunt instrument that broadly discriminates against all noncitizens and therefore triggers—and fails—strict scrutiny.</w:t>
      </w:r>
      <w:r>
        <w:rPr>
          <w:rStyle w:val="FootnoteReference"/>
        </w:rPr>
        <w:footnoteReference w:id="9"/>
      </w:r>
    </w:p>
    <w:p>
      <w:pPr>
        <w:keepNext/>
        <w:keepLines/>
        <w:spacing w:before="420" w:after="300" w:line="240" w:lineRule="auto"/>
        <w:jc w:val="center"/>
      </w:pPr>
      <w:r>
        <w:rPr>
          <w:b/>
          <w:bCs/>
        </w:rPr>
        <w:t xml:space="preserve">CONCLUSION</w:t>
      </w:r>
    </w:p>
    <w:p>
      <w:pPr>
        <w:keepNext/>
        <w:keepLines/>
        <w:spacing w:before="0" w:after="0" w:line="629" w:lineRule="exact"/>
        <w:ind w:left="0" w:firstLine="720"/>
      </w:pPr>
      <w:r>
        <w:t xml:space="preserve">The</w:t>
      </w:r>
      <w:r>
        <w:t xml:space="preserve"> </w:t>
      </w:r>
      <w:r>
        <w:t xml:space="preserve">Court</w:t>
      </w:r>
      <w:r>
        <w:t xml:space="preserve"> </w:t>
      </w:r>
      <w:r>
        <w:t xml:space="preserve">should</w:t>
      </w:r>
      <w:r>
        <w:t xml:space="preserve"> </w:t>
      </w:r>
      <w:r>
        <w:t xml:space="preserve">affirm</w:t>
      </w:r>
      <w:r>
        <w:t xml:space="preserve"> </w:t>
      </w:r>
      <w:r>
        <w:t xml:space="preserve">the</w:t>
      </w:r>
      <w:r>
        <w:t xml:space="preserve"> </w:t>
      </w:r>
      <w:r>
        <w:t xml:space="preserve">district</w:t>
      </w:r>
      <w:r>
        <w:t xml:space="preserve"> </w:t>
      </w:r>
      <w:r>
        <w:t xml:space="preserve">court’s</w:t>
      </w:r>
      <w:r>
        <w:t xml:space="preserve"> </w:t>
      </w:r>
      <w:r>
        <w:t xml:space="preserve">order</w:t>
      </w:r>
      <w:r>
        <w:t xml:space="preserve"> </w:t>
      </w:r>
      <w:r>
        <w:t xml:space="preserve">permanently</w:t>
      </w:r>
      <w:r>
        <w:t xml:space="preserve"> </w:t>
      </w:r>
      <w:r>
        <w:t xml:space="preserve">enjoining</w:t>
      </w:r>
      <w:r>
        <w:t xml:space="preserve"> </w:t>
      </w:r>
      <w:r>
        <w:t xml:space="preserve">enforcement</w:t>
      </w:r>
      <w:r>
        <w:t xml:space="preserve"> </w:t>
      </w:r>
      <w:r>
        <w:t xml:space="preserve">of</w:t>
      </w:r>
      <w:r>
        <w:t xml:space="preserve"> </w:t>
      </w:r>
      <w:r>
        <w:t xml:space="preserve">the</w:t>
      </w:r>
      <w:r>
        <w:t xml:space="preserve"> </w:t>
      </w:r>
      <w:r>
        <w:t xml:space="preserve">Citizenship</w:t>
      </w:r>
      <w:r>
        <w:t xml:space="preserve"> </w:t>
      </w:r>
      <w:r>
        <w:t xml:space="preserve">Requirement</w:t>
      </w:r>
      <w:r>
        <w:t xml:space="preserve"> </w:t>
      </w:r>
      <w:r>
        <w:t xml:space="preserve">against</w:t>
      </w:r>
      <w:r>
        <w:t xml:space="preserve"> </w:t>
      </w:r>
      <w:r>
        <w:t xml:space="preserve">Plaintiffs.</w:t>
      </w:r>
    </w:p>
    <w:p>
      <w:pPr>
        <w:keepNext/>
        <w:keepLines/>
        <w:spacing w:before="280" w:after="240" w:line="399" w:lineRule="exact"/>
        <w:ind w:left="0"/>
      </w:pPr>
      <w:r>
        <w:t xml:space="preserve">Respectfully submitted,</w:t>
      </w:r>
    </w:p>
    <w:p>
      <w:pPr>
        <w:keepNext/>
        <w:keepLines/>
        <w:spacing w:before="240" w:after="0" w:line="399" w:lineRule="exact"/>
        <w:ind w:left="4680"/>
      </w:pPr>
      <w:r>
        <w:t xml:space="preserve">s/ Frederick S. Wermuth</w:t>
      </w:r>
    </w:p>
    <w:p>
      <w:pPr>
        <w:keepNext/>
        <w:keepLines/>
        <w:spacing w:before="0" w:after="0" w:line="399" w:lineRule="exact"/>
        <w:ind w:left="4680"/>
      </w:pPr>
      <w:r>
        <w:t xml:space="preserve">FREDERICK S. WERMUTH</w:t>
      </w:r>
    </w:p>
    <w:p>
      <w:pPr>
        <w:keepNext/>
        <w:keepLines/>
        <w:spacing w:before="0" w:after="0" w:line="399" w:lineRule="exact"/>
        <w:ind w:left="4920"/>
      </w:pPr>
      <w:r>
        <w:rPr>
          <w:i/>
          <w:iCs/>
        </w:rPr>
        <w:t xml:space="preserve">King,</w:t>
      </w:r>
      <w:r>
        <w:rPr>
          <w:i/>
          <w:iCs/>
        </w:rPr>
        <w:t xml:space="preserve"> </w:t>
      </w:r>
      <w:r>
        <w:rPr>
          <w:i/>
          <w:iCs/>
        </w:rPr>
        <w:t xml:space="preserve">Blackwell,</w:t>
      </w:r>
      <w:r>
        <w:rPr>
          <w:i/>
          <w:iCs/>
        </w:rPr>
        <w:t xml:space="preserve"> </w:t>
      </w:r>
      <w:r>
        <w:rPr>
          <w:i/>
          <w:iCs/>
        </w:rPr>
        <w:t xml:space="preserve">Zehnder</w:t>
      </w:r>
      <w:r>
        <w:rPr>
          <w:i/>
          <w:iCs/>
        </w:rPr>
        <w:t xml:space="preserve"> </w:t>
      </w:r>
      <w:r>
        <w:rPr>
          <w:i/>
          <w:iCs/>
        </w:rPr>
        <w:t xml:space="preserve">&amp;</w:t>
      </w:r>
      <w:r>
        <w:rPr>
          <w:i/>
          <w:iCs/>
        </w:rPr>
        <w:t xml:space="preserve"> </w:t>
      </w:r>
      <w:r>
        <w:rPr>
          <w:i/>
          <w:iCs/>
        </w:rPr>
        <w:t xml:space="preserve">Wermuth,</w:t>
      </w:r>
      <w:r>
        <w:rPr>
          <w:i/>
          <w:iCs/>
        </w:rPr>
        <w:t xml:space="preserve"> </w:t>
      </w:r>
      <w:r>
        <w:rPr>
          <w:i/>
          <w:iCs/>
        </w:rPr>
        <w:t xml:space="preserve">P.A.</w:t>
      </w:r>
    </w:p>
    <w:p>
      <w:pPr>
        <w:keepNext/>
        <w:keepLines/>
        <w:spacing w:before="0" w:after="0" w:line="399" w:lineRule="exact"/>
        <w:ind w:left="4920"/>
      </w:pPr>
      <w:r>
        <w:rPr>
          <w:i/>
          <w:iCs/>
        </w:rPr>
        <w:t xml:space="preserve">P.O.</w:t>
      </w:r>
      <w:r>
        <w:rPr>
          <w:i/>
          <w:iCs/>
        </w:rPr>
        <w:t xml:space="preserve"> </w:t>
      </w:r>
      <w:r>
        <w:rPr>
          <w:i/>
          <w:iCs/>
        </w:rPr>
        <w:t xml:space="preserve">Box</w:t>
      </w:r>
      <w:r>
        <w:rPr>
          <w:i/>
          <w:iCs/>
        </w:rPr>
        <w:t xml:space="preserve"> </w:t>
      </w:r>
      <w:r>
        <w:rPr>
          <w:i/>
          <w:iCs/>
        </w:rPr>
        <w:t xml:space="preserve">1631,</w:t>
      </w:r>
      <w:r>
        <w:rPr>
          <w:i/>
          <w:iCs/>
        </w:rPr>
        <w:t xml:space="preserve"> </w:t>
      </w:r>
      <w:r>
        <w:rPr>
          <w:i/>
          <w:iCs/>
        </w:rPr>
        <w:t xml:space="preserve">Orlando,</w:t>
      </w:r>
      <w:r>
        <w:rPr>
          <w:i/>
          <w:iCs/>
        </w:rPr>
        <w:t xml:space="preserve"> </w:t>
      </w:r>
      <w:r>
        <w:rPr>
          <w:i/>
          <w:iCs/>
        </w:rPr>
        <w:t xml:space="preserve">FL</w:t>
      </w:r>
      <w:r>
        <w:rPr>
          <w:i/>
          <w:iCs/>
        </w:rPr>
        <w:t xml:space="preserve"> </w:t>
      </w:r>
      <w:r>
        <w:rPr>
          <w:i/>
          <w:iCs/>
        </w:rPr>
        <w:t xml:space="preserve">32802-1631</w:t>
      </w:r>
    </w:p>
    <w:p>
      <w:pPr>
        <w:keepNext/>
        <w:keepLines/>
        <w:spacing w:before="0" w:after="0" w:line="399" w:lineRule="exact"/>
        <w:ind w:left="4920"/>
      </w:pPr>
      <w:r>
        <w:rPr>
          <w:i/>
          <w:iCs/>
        </w:rPr>
        <w:t xml:space="preserve">Telephone:</w:t>
      </w:r>
      <w:r>
        <w:rPr>
          <w:i/>
          <w:iCs/>
        </w:rPr>
        <w:t xml:space="preserve"> </w:t>
      </w:r>
      <w:r>
        <w:rPr>
          <w:i/>
          <w:iCs/>
        </w:rPr>
        <w:t xml:space="preserve">(407)</w:t>
      </w:r>
      <w:r>
        <w:rPr>
          <w:i/>
          <w:iCs/>
        </w:rPr>
        <w:t xml:space="preserve"> </w:t>
      </w:r>
      <w:r>
        <w:rPr>
          <w:i/>
          <w:iCs/>
        </w:rPr>
        <w:t xml:space="preserve">422-2472</w:t>
      </w:r>
    </w:p>
    <w:p>
      <w:pPr>
        <w:keepNext/>
        <w:keepLines/>
        <w:spacing w:before="0" w:after="0" w:line="399" w:lineRule="exact"/>
        <w:ind w:left="4920"/>
      </w:pPr>
      <w:r>
        <w:rPr>
          <w:i/>
          <w:iCs/>
        </w:rPr>
        <w:t xml:space="preserve">fwermuth@kbzwlaw.com</w:t>
      </w:r>
    </w:p>
    <w:p>
      <w:pPr>
        <w:keepNext/>
        <w:keepLines/>
        <w:spacing w:before="240" w:after="0" w:line="399" w:lineRule="exact"/>
        <w:ind w:left="0"/>
      </w:pPr>
      <w:r>
        <w:t xml:space="preserve">Dated: December 31, 2025</w:t>
      </w:r>
    </w:p>
    <w:p>
      <w:pPr>
        <w:spacing w:before="0" w:after="0" w:line="20" w:lineRule="exact"/>
        <w:sectPr>
          <w:footerReference w:type="default" r:id="rIdFtrBody"/>
          <w:pgSz w:w="12240" w:h="15840"/>
          <w:pgMar w:top="1440" w:right="1440" w:bottom="1440" w:left="1440" w:header="720" w:footer="432" w:gutter="0"/>
          <w:pgNumType w:fmt="decimal" w:start="1"/>
        </w:sectPr>
      </w:pPr>
    </w:p>
    <w:p>
      <w:pPr>
        <w:keepNext/>
        <w:keepLines/>
        <w:pageBreakBefore/>
        <w:spacing w:before="0" w:after="240" w:line="399" w:lineRule="exact"/>
        <w:jc w:val="center"/>
      </w:pPr>
      <w:r>
        <w:rPr>
          <w:b/>
          <w:bCs/>
        </w:rPr>
        <w:t xml:space="preserve">CERTIFICATE OF COMPLIANCE</w:t>
      </w:r>
    </w:p>
    <w:p>
      <w:pPr>
        <w:spacing w:before="0" w:after="0" w:line="629" w:lineRule="exact"/>
        <w:ind w:left="720"/>
      </w:pPr>
      <w:r>
        <w:t xml:space="preserve">This brief complies with the type-volume limit of Fed. R. App. P. 32(a)(7)(B) because, excluding the parts of the brief exempted by Fed. R. App. P. 32(f) and 11th Cir. R. 32-4, it contains 1,428 words.</w:t>
      </w:r>
    </w:p>
    <w:p>
      <w:pPr>
        <w:spacing w:before="0" w:after="0" w:line="629" w:lineRule="exact"/>
        <w:ind w:left="720"/>
      </w:pPr>
      <w:r>
        <w:t xml:space="preserve">This brief complies with the typeface requirements of Fed. R. App. P. 32(a)(5) and the type-style requirements of Fed. R. App. P. 32(a)(6) because it has been prepared in a proportionally spaced typeface, EB Garamond, 14-point.</w:t>
      </w:r>
    </w:p>
    <w:p>
      <w:pPr>
        <w:keepNext/>
        <w:keepLines/>
        <w:tabs>
          <w:tab w:val="right" w:pos="9360"/>
        </w:tabs>
        <w:spacing w:before="320" w:after="0" w:line="399" w:lineRule="exact"/>
        <w:ind w:left="0"/>
      </w:pPr>
      <w:r>
        <w:t xml:space="preserve">s/ Frederick S. Wermuth</w:t>
      </w:r>
      <w:r>
        <w:tab/>
      </w:r>
      <w:r>
        <w:t xml:space="preserve">Dated: December 31, 2025</w:t>
      </w:r>
    </w:p>
    <w:p>
      <w:pPr>
        <w:keepNext/>
        <w:keepLines/>
        <w:spacing w:before="0" w:after="0" w:line="399" w:lineRule="exact"/>
        <w:ind w:left="0"/>
      </w:pPr>
      <w:r>
        <w:t xml:space="preserve">Attorney for Plaintiffs-Appellees</w:t>
      </w:r>
    </w:p>
    <w:p>
      <w:pPr>
        <w:keepNext/>
        <w:keepLines/>
        <w:pageBreakBefore/>
        <w:spacing w:before="0" w:after="240" w:line="399" w:lineRule="exact"/>
        <w:jc w:val="center"/>
      </w:pPr>
      <w:r>
        <w:rPr>
          <w:b/>
          <w:bCs/>
        </w:rPr>
        <w:t xml:space="preserve">CERTIFICATE OF SERVICE</w:t>
      </w:r>
    </w:p>
    <w:p>
      <w:pPr>
        <w:spacing w:before="0" w:after="240" w:line="399" w:lineRule="exact"/>
        <w:ind w:left="720"/>
      </w:pPr>
      <w:r>
        <w:t xml:space="preserve">I certify that on December 31, 2025, I filed the foregoing document with the Clerk of the Court for the United States Court of Appeals for the Eleventh Circuit through the CM/ECF system, which serves notice of the filing on all registered counsel of record.</w:t>
      </w:r>
    </w:p>
    <w:p>
      <w:pPr>
        <w:keepNext/>
        <w:keepLines/>
        <w:tabs>
          <w:tab w:val="right" w:pos="9360"/>
        </w:tabs>
        <w:spacing w:before="320" w:after="0" w:line="399" w:lineRule="exact"/>
        <w:ind w:left="0"/>
      </w:pPr>
      <w:r>
        <w:t xml:space="preserve">s/ Frederick S. Wermuth</w:t>
      </w:r>
      <w:r>
        <w:tab/>
      </w:r>
      <w:r>
        <w:t xml:space="preserve">Dated: December 31, 2025</w:t>
      </w:r>
    </w:p>
    <w:p>
      <w:pPr>
        <w:keepNext/>
        <w:keepLines/>
        <w:spacing w:before="0" w:after="0" w:line="399" w:lineRule="exact"/>
        <w:ind w:left="0"/>
      </w:pPr>
      <w:r>
        <w:t xml:space="preserve">Attorney for Plaintiffs-Appellees</w:t>
      </w:r>
    </w:p>
    <w:sectPr>
      <w:footerReference w:type="default" r:id="rIdFooter1"/>
      <w:footnotePr>
        <w:numRestart w:val="eachSect"/>
      </w:footnotePr>
      <w:pgSz w:w="12240" w:h="15840"/>
      <w:pgMar w:top="1440" w:right="1440" w:bottom="1440" w:left="1440" w:header="720" w:footer="43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citizenship requirement would fail even under rational basis review. First, the record shows it was motivated by animus against noncitizens, which cannot constitute a legitimate government interest.</w:t>
      </w:r>
      <w:r>
        <w:t xml:space="preserve"> </w:t>
      </w:r>
      <w:r>
        <w:rPr>
          <w:i/>
          <w:iCs/>
        </w:rPr>
        <w:t xml:space="preserve">Romer v. Evans</w:t>
      </w:r>
      <w:r>
        <w:t xml:space="preserve">, 517 U.S. 620, 634 (1996). Second, as the district court found, there is no “link between classification and objective.”</w:t>
      </w:r>
      <w:r>
        <w:t xml:space="preserve"> </w:t>
      </w:r>
      <w:r>
        <w:rPr>
          <w:i/>
          <w:iCs/>
        </w:rPr>
        <w:t xml:space="preserve">Romer</w:t>
      </w:r>
      <w:r>
        <w:t xml:space="preserve">, 517 U.S. at 632. Despite multiple opportunities, Defendants have produced no evidence that a noncitizen has engaged in any bad act related to voter registration, rendering the citizenship requirement entirely disconnected from the State’s claimed interest.</w:t>
      </w:r>
      <w:r>
        <w:t xml:space="preserve"> </w:t>
      </w:r>
      <w:r>
        <w:rPr>
          <w:i/>
          <w:iCs/>
        </w:rPr>
        <w:t xml:space="preserve">See supra</w:t>
      </w:r>
      <w:r>
        <w:t xml:space="preserve"> </w:t>
      </w:r>
      <w:r>
        <w:t xml:space="preserve">Statement of the Case.</w:t>
      </w:r>
    </w:p>
  </w:footnote>
</w:footnotes>
</file>

<file path=word/ftr-body.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tr-cip.xml><?xml version="1.0" encoding="utf-8"?>
<w:ftr xmlns:w="http://schemas.openxmlformats.org/wordprocessingml/2006/main" xmlns:r="http://schemas.openxmlformats.org/officeDocument/2006/relationships">
  <w:p>
    <w:pPr>
      <w:jc w:val="center"/>
    </w:pPr>
    <w:r>
      <w:t xml:space="preserve">C-</w:t>
    </w:r>
    <w:r>
      <w:fldChar w:fldCharType="begin"/>
    </w:r>
    <w:r>
      <w:instrText xml:space="preserve"> PAGE </w:instrText>
    </w:r>
    <w:r>
      <w:fldChar w:fldCharType="separate"/>
    </w:r>
    <w:r>
      <w:t>1</w:t>
    </w:r>
    <w:r>
      <w:fldChar w:fldCharType="end"/>
    </w:r>
  </w:p>
</w:ftr>
</file>

<file path=word/ftr-cover.xml><?xml version="1.0" encoding="utf-8"?>
<w:ftr xmlns:w="http://schemas.openxmlformats.org/wordprocessingml/2006/main" xmlns:r="http://schemas.openxmlformats.org/officeDocument/2006/relationships">
  <w:p>
    <w:pPr>
      <w:jc w:val="center"/>
    </w:pPr>
  </w:p>
</w:ftr>
</file>

<file path=word/ftr-front.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8"/>
        <w:szCs w:val="28"/>
        <w:lang w:val="en-US" w:eastAsia="zh-CN" w:bidi="ar-SA"/>
      </w:rPr>
    </w:rPrDefault>
    <w:pPrDefault>
      <w:pPr>
        <w:spacing w:after="200"/>
      </w:pPr>
    </w:pPrDefault>
  </w:docDefaults>
  <w:latentStyles w:defLockedState="0" w:defUIPriority="0" w:defSemiHidden="0" w:defUnhideWhenUsed="0" w:defQFormat="0" w:count="276"/>
  <w:style w:type="paragraph" w:styleId="Normal">
    <w:name w:val="Normal"/>
    <w:basedOn w:val="Normal"/>
    <w:qFormat/>
    <w:pPr>
      <w:spacing w:before="0" w:after="0" w:line="240" w:lineRule="auto"/>
    </w:pPr>
  </w:style>
  <w:style w:type="paragraph" w:styleId="BodyText">
    <w:name w:val="BodyText"/>
    <w:basedOn w:val="Normal"/>
    <w:qFormat/>
    <w:pPr>
      <w:spacing w:before="0" w:after="0" w:line="629" w:lineRule="exact"/>
      <w:ind w:firstLine="720"/>
    </w:pPr>
  </w:style>
  <w:style w:type="paragraph" w:styleId="FirstParagraph">
    <w:name w:val="FirstParagraph"/>
    <w:basedOn w:val="Normal"/>
    <w:qFormat/>
    <w:pPr>
      <w:spacing w:before="0" w:after="0" w:line="629" w:lineRule="exact"/>
      <w:ind w:firstLine="720"/>
    </w:p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240" w:after="120" w:line="399" w:lineRule="exact"/>
      <w:ind w:firstLine="0"/>
      <w:jc w:val="center"/>
      <w:outlineLvl w:val="0"/>
    </w:pPr>
    <w:rPr>
      <w:b/>
      <w:bCs/>
      <w:color w:val="000000"/>
      <w:sz w:val="28"/>
      <w:szCs w:val="28"/>
    </w:rPr>
  </w:style>
  <w:style w:type="paragraph" w:styleId="Heading2">
    <w:name w:val="heading 2"/>
    <w:basedOn w:val="Normal"/>
    <w:next w:val="BodyText"/>
    <w:uiPriority w:val="9"/>
    <w:qFormat/>
    <w:pPr>
      <w:keepNext/>
      <w:keepLines/>
      <w:spacing w:before="240" w:after="120" w:line="399" w:lineRule="exact"/>
      <w:ind w:firstLine="0"/>
      <w:outlineLvl w:val="1"/>
    </w:pPr>
    <w:rPr>
      <w:b/>
      <w:bCs/>
      <w:color w:val="000000"/>
      <w:sz w:val="28"/>
      <w:szCs w:val="28"/>
    </w:rPr>
  </w:style>
  <w:style w:type="paragraph" w:styleId="Heading3">
    <w:name w:val="heading 3"/>
    <w:basedOn w:val="Normal"/>
    <w:next w:val="BodyText"/>
    <w:uiPriority w:val="9"/>
    <w:qFormat/>
    <w:pPr>
      <w:keepNext/>
      <w:keepLines/>
      <w:spacing w:before="240" w:after="120" w:line="399" w:lineRule="exact"/>
      <w:ind w:firstLine="0"/>
      <w:outlineLvl w:val="2"/>
    </w:pPr>
    <w:rPr>
      <w:b/>
      <w:bCs/>
      <w:color w:val="000000"/>
      <w:sz w:val="28"/>
      <w:szCs w:val="28"/>
    </w:rPr>
  </w:style>
  <w:style w:type="paragraph" w:styleId="Heading4">
    <w:name w:val="heading 4"/>
    <w:basedOn w:val="Normal"/>
    <w:next w:val="BodyText"/>
    <w:uiPriority w:val="9"/>
    <w:qFormat/>
    <w:pPr>
      <w:keepNext/>
      <w:keepLines/>
      <w:spacing w:before="240" w:after="120" w:line="399" w:lineRule="exact"/>
      <w:ind w:firstLine="0"/>
      <w:outlineLvl w:val="3"/>
    </w:pPr>
    <w:rPr>
      <w:b/>
      <w:bCs/>
      <w:i/>
      <w:color w:val="000000"/>
      <w:sz w:val="28"/>
      <w:szCs w:val="28"/>
    </w:rPr>
  </w:style>
  <w:style w:type="paragraph" w:styleId="Heading5">
    <w:name w:val="heading 5"/>
    <w:basedOn w:val="Normal"/>
    <w:next w:val="BodyText"/>
    <w:uiPriority w:val="9"/>
    <w:qFormat/>
    <w:pPr>
      <w:keepNext/>
      <w:keepLines/>
      <w:spacing w:before="240" w:after="120" w:line="399" w:lineRule="exact"/>
      <w:ind w:firstLine="0"/>
      <w:outlineLvl w:val="4"/>
    </w:pPr>
    <w:rPr>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Text"/>
    <w:basedOn w:val="Normal"/>
    <w:qFormat/>
    <w:pPr>
      <w:spacing w:before="280" w:after="280" w:line="399" w:lineRule="exact"/>
      <w:ind w:left="720" w:right="720" w:firstLine="0"/>
    </w:pPr>
  </w:style>
  <w:style w:type="paragraph" w:styleId="FootnoteText">
    <w:name w:val="FootnoteText"/>
    <w:basedOn w:val="Normal"/>
    <w:qFormat/>
    <w:pPr>
      <w:spacing w:before="0" w:after="100" w:line="399" w:lineRule="exact"/>
    </w:pPr>
    <w:rPr>
      <w:sz w:val="28"/>
      <w:szCs w:val="2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Cover" Target="ftr-cover.xml" /><Relationship Type="http://schemas.openxmlformats.org/officeDocument/2006/relationships/footer" Id="rIdFtrCip" Target="ftr-cip.xml" /><Relationship Type="http://schemas.openxmlformats.org/officeDocument/2006/relationships/footer" Id="rIdFtrFront" Target="ftr-front.xml" /><Relationship Type="http://schemas.openxmlformats.org/officeDocument/2006/relationships/footer" Id="rIdFtrBody" Target="ftr-body.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2026-10-15T07:00:55Z</dcterms:created>
  <dcterms:modified xsi:type="dcterms:W3CDTF">2026-10-15T07:00:55Z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rief_title">
    <vt:lpwstr>Appellees’ Answer Brief</vt:lpwstr>
  </property>
  <property fmtid="{D5CDD505-2E9C-101B-9397-08002B2CF9AE}" pid="4" name="caption">
    <vt:lpwstr/>
  </property>
  <property fmtid="{D5CDD505-2E9C-101B-9397-08002B2CF9AE}" pid="5" name="case_number">
    <vt:lpwstr>25-12813 (consolidated with No. 24-11892)</vt:lpwstr>
  </property>
  <property fmtid="{D5CDD505-2E9C-101B-9397-08002B2CF9AE}" pid="6" name="counsel">
    <vt:lpwstr/>
  </property>
  <property fmtid="{D5CDD505-2E9C-101B-9397-08002B2CF9AE}" pid="7" name="oral_argument">
    <vt:lpwstr>While the challenged provision in this case implicates significant constitutional rights, the issues raised on appeal are straightforward. Appellees maintain that this appeal can be resolved on the papers based on the statute’s clear violations of well-established constitutional law. If the Court determines that oral argument would help facilitate resolution of the appeal, Appellees welcome the opportunity to participate.</vt:lpwstr>
  </property>
  <property fmtid="{D5CDD505-2E9C-101B-9397-08002B2CF9AE}" pid="8" name="phone">
    <vt:lpwstr>(407) 422-2472</vt:lpwstr>
  </property>
  <property fmtid="{D5CDD505-2E9C-101B-9397-08002B2CF9AE}" pid="9" name="proceeding">
    <vt:lpwstr>On Appeal from the United States District Court for the Northern District of Florida</vt:lpwstr>
  </property>
  <property fmtid="{D5CDD505-2E9C-101B-9397-08002B2CF9AE}" pid="10" name="service">
    <vt:lpwstr/>
  </property>
  <property fmtid="{D5CDD505-2E9C-101B-9397-08002B2CF9AE}" pid="11" name="signature">
    <vt:lpwstr/>
  </property>
  <property fmtid="{D5CDD505-2E9C-101B-9397-08002B2CF9AE}" pid="12" name="word_limit_basis">
    <vt:lpwstr>standard</vt:lpwstr>
  </property>
</Properties>
</file>