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COURT OF MILITARY COMMISSION REVIEW</w:t>
      </w:r>
    </w:p>
    <w:p>
      <w:pPr>
        <w:spacing w:before="0" w:after="0" w:line="480" w:lineRule="exact"/>
      </w:pPr>
    </w:p>
    <w:tbl>
      <w:tblPr>
        <w:tblStyle w:val="Table"/>
        <w:tblW w:type="pct" w:w="5000"/>
        <w:tblLayout w:type="fixed"/>
        <w:tblLook w:firstRow="0" w:lastRow="0" w:firstColumn="0" w:lastColumn="0" w:noHBand="0" w:noVBand="0" w:val="0000"/>
      </w:tblPr>
      <w:tblGrid>
        <w:gridCol w:w="3777"/>
        <w:gridCol w:w="365"/>
        <w:gridCol w:w="3777"/>
      </w:tblGrid>
      <w:tr>
        <w:tc>
          <w:tcPr/>
          <w:p>
            <w:pPr>
              <w:pStyle w:val="CaptionCell"/>
            </w:pPr>
            <w:r>
              <w:t xml:space="preserve">DAVID M. HICKS,</w:t>
            </w:r>
          </w:p>
        </w:tc>
        <w:tc>
          <w:tcPr/>
          <w:p>
            <w:pPr>
              <w:pStyle w:val="CaptionCell"/>
            </w:pPr>
            <w:r>
              <w:t xml:space="preserve">)</w:t>
            </w:r>
          </w:p>
        </w:tc>
        <w:tc>
          <w:tcPr/>
          <w:p>
            <w:pPr>
              <w:pStyle w:val="CaptionCell"/>
            </w:pPr>
            <w:r>
              <w:rPr>
                <w:b/>
                <w:bCs/>
              </w:rPr>
              <w:t xml:space="preserve">BRIEF OF THE UNITED STATES ON THE COURT’S LACK OF AUTHORITY TO HEAR THIS CASE</w:t>
            </w:r>
          </w:p>
        </w:tc>
      </w:tr>
      <w:tr>
        <w:tc>
          <w:tcPr/>
          <w:p/>
        </w:tc>
        <w:tc>
          <w:tcPr/>
          <w:p>
            <w:pPr>
              <w:pStyle w:val="CaptionCell"/>
            </w:pPr>
            <w:r>
              <w:t xml:space="preserve">)</w:t>
            </w:r>
          </w:p>
        </w:tc>
        <w:tc>
          <w:tcPr/>
          <w:p>
            <w:pPr>
              <w:pStyle w:val="CaptionCell"/>
            </w:pPr>
            <w:r>
              <w:t xml:space="preserve">CMCR Case No. 13-004</w:t>
            </w:r>
          </w:p>
        </w:tc>
      </w:tr>
      <w:tr>
        <w:tc>
          <w:tcPr/>
          <w:p>
            <w:pPr>
              <w:pStyle w:val="CaptionCell"/>
            </w:pPr>
            <w:r>
              <w:t xml:space="preserve">Appellant,</w:t>
            </w:r>
          </w:p>
        </w:tc>
        <w:tc>
          <w:tcPr/>
          <w:p>
            <w:pPr>
              <w:pStyle w:val="CaptionCell"/>
            </w:pPr>
            <w:r>
              <w:t xml:space="preserve">)</w:t>
            </w:r>
          </w:p>
        </w:tc>
        <w:tc>
          <w:tcPr/>
          <w:p>
            <w:pPr>
              <w:pStyle w:val="CaptionCell"/>
            </w:pPr>
            <w:r>
              <w:t xml:space="preserve">Tried at Guantanamo Bay, Cuba on 26 &amp; 30 March 2007 before a Military Commission convened by Hon. Susan J. Crawford, Presiding Military Judge Colonel Ralph H. Kohlmann, USMC</w:t>
            </w:r>
          </w:p>
        </w:tc>
      </w:tr>
      <w:tr>
        <w:tc>
          <w:tcPr/>
          <w:p/>
        </w:tc>
        <w:tc>
          <w:tcPr/>
          <w:p>
            <w:pPr>
              <w:pStyle w:val="CaptionCell"/>
            </w:pPr>
            <w:r>
              <w:t xml:space="preserve">)</w:t>
            </w:r>
          </w:p>
        </w:tc>
        <w:tc>
          <w:tcPr/>
          <w:p/>
        </w:tc>
      </w:tr>
      <w:tr>
        <w:tc>
          <w:tcPr/>
          <w:p>
            <w:pPr>
              <w:pStyle w:val="CaptionCell"/>
            </w:pPr>
            <w:r>
              <w:t xml:space="preserve">v.</w:t>
            </w:r>
          </w:p>
        </w:tc>
        <w:tc>
          <w:tcPr/>
          <w:p>
            <w:pPr>
              <w:pStyle w:val="CaptionCell"/>
            </w:pPr>
            <w:r>
              <w:t xml:space="preserve">)</w:t>
            </w:r>
          </w:p>
        </w:tc>
        <w:tc>
          <w:tcPr/>
          <w:p/>
        </w:tc>
      </w:tr>
      <w:tr>
        <w:tc>
          <w:tcPr/>
          <w:p/>
        </w:tc>
        <w:tc>
          <w:tcPr/>
          <w:p>
            <w:pPr>
              <w:pStyle w:val="CaptionCell"/>
            </w:pPr>
            <w:r>
              <w:t xml:space="preserve">)</w:t>
            </w:r>
          </w:p>
        </w:tc>
        <w:tc>
          <w:tcPr/>
          <w:p/>
        </w:tc>
      </w:tr>
      <w:tr>
        <w:tc>
          <w:tcPr/>
          <w:p>
            <w:pPr>
              <w:pStyle w:val="CaptionCell"/>
            </w:pPr>
            <w:r>
              <w:t xml:space="preserve">UNITED STATES OF AMERICA,</w:t>
            </w:r>
          </w:p>
        </w:tc>
        <w:tc>
          <w:tcPr/>
          <w:p>
            <w:pPr>
              <w:pStyle w:val="CaptionCell"/>
            </w:pPr>
            <w:r>
              <w:t xml:space="preserve">)</w:t>
            </w:r>
          </w:p>
        </w:tc>
        <w:tc>
          <w:tcPr/>
          <w:p/>
        </w:tc>
      </w:tr>
      <w:tr>
        <w:tc>
          <w:tcPr/>
          <w:p/>
        </w:tc>
        <w:tc>
          <w:tcPr/>
          <w:p>
            <w:pPr>
              <w:pStyle w:val="CaptionCell"/>
            </w:pPr>
            <w:r>
              <w:t xml:space="preserve">)</w:t>
            </w:r>
          </w:p>
        </w:tc>
        <w:tc>
          <w:tcPr/>
          <w:p/>
        </w:tc>
      </w:tr>
      <w:tr>
        <w:tc>
          <w:tcPr/>
          <w:p>
            <w:pPr>
              <w:pStyle w:val="CaptionCell"/>
            </w:pPr>
            <w:r>
              <w:t xml:space="preserve">Appellee.</w:t>
            </w:r>
          </w:p>
        </w:tc>
        <w:tc>
          <w:tcPr/>
          <w:p>
            <w:pPr>
              <w:pStyle w:val="CaptionCell"/>
            </w:pPr>
            <w:r>
              <w:t xml:space="preserve">)</w:t>
            </w:r>
          </w:p>
        </w:tc>
        <w:tc>
          <w:tcPr/>
          <w:p/>
        </w:tc>
      </w:tr>
    </w:tbl>
    <w:p>
      <w:pPr>
        <w:spacing w:before="0" w:after="0" w:line="480" w:lineRule="exact"/>
      </w:pPr>
    </w:p>
    <w:p>
      <w:pPr>
        <w:pStyle w:val="Centered"/>
      </w:pPr>
      <w:r>
        <w:rPr>
          <w:b/>
          <w:bCs/>
        </w:rPr>
        <w:t xml:space="preserve">TO THE HONORABLE, THE JUDGES OF THE COURT OF MILITARY COMMISSION REVIEW</w:t>
      </w:r>
    </w:p>
    <w:p>
      <w:pPr>
        <w:spacing w:before="0" w:after="0" w:line="480" w:lineRule="exact"/>
      </w:pPr>
    </w:p>
    <w:p>
      <w:pPr>
        <w:pStyle w:val="Counsel"/>
      </w:pPr>
      <w:r>
        <w:t xml:space="preserve">Mark S. Martins</w:t>
      </w:r>
    </w:p>
    <w:p>
      <w:pPr>
        <w:pStyle w:val="Counsel"/>
      </w:pPr>
      <w:r>
        <w:t xml:space="preserve">Brigadier General, U.S. Army</w:t>
      </w:r>
    </w:p>
    <w:p>
      <w:pPr>
        <w:pStyle w:val="Counsel"/>
      </w:pPr>
      <w:r>
        <w:t xml:space="preserve">Chief Prosecutor</w:t>
      </w:r>
    </w:p>
    <w:p>
      <w:pPr>
        <w:pStyle w:val="Counsel"/>
      </w:pPr>
      <w:r>
        <w:t xml:space="preserve">Edward S. White</w:t>
      </w:r>
    </w:p>
    <w:p>
      <w:pPr>
        <w:pStyle w:val="Counsel"/>
      </w:pPr>
      <w:r>
        <w:t xml:space="preserve">Captain, JAGC, U.S. Navy</w:t>
      </w:r>
    </w:p>
    <w:p>
      <w:pPr>
        <w:pStyle w:val="Counsel"/>
      </w:pPr>
      <w:r>
        <w:t xml:space="preserve">Marc A. Wallenstein</w:t>
      </w:r>
    </w:p>
    <w:p>
      <w:pPr>
        <w:pStyle w:val="Counsel"/>
      </w:pPr>
      <w:r>
        <w:t xml:space="preserve">Danielle S. Tarin</w:t>
      </w:r>
    </w:p>
    <w:p>
      <w:pPr>
        <w:pStyle w:val="Counsel"/>
      </w:pPr>
      <w:r>
        <w:t xml:space="preserve">Appellate Counsel</w:t>
      </w:r>
    </w:p>
    <w:p>
      <w:pPr>
        <w:pStyle w:val="Counsel"/>
      </w:pPr>
      <w:r>
        <w:rPr>
          <w:i/>
          <w:iCs/>
        </w:rPr>
        <w:t xml:space="preserve">Office of the Chief Prosecutor</w:t>
      </w:r>
    </w:p>
    <w:p>
      <w:pPr>
        <w:pStyle w:val="Counsel"/>
      </w:pPr>
      <w:r>
        <w:rPr>
          <w:i/>
          <w:iCs/>
        </w:rPr>
        <w:t xml:space="preserve">Office of Military Commissions</w:t>
      </w:r>
    </w:p>
    <w:p>
      <w:pPr>
        <w:pStyle w:val="Counsel"/>
      </w:pPr>
      <w:r>
        <w:rPr>
          <w:i/>
          <w:iCs/>
        </w:rPr>
        <w:t xml:space="preserve">1610 Defense Pentagon</w:t>
      </w:r>
    </w:p>
    <w:p>
      <w:pPr>
        <w:pStyle w:val="Counsel"/>
      </w:pPr>
      <w:r>
        <w:rPr>
          <w:i/>
          <w:iCs/>
        </w:rPr>
        <w:t xml:space="preserve">Washington, D.C. 20301-1610</w:t>
      </w:r>
    </w:p>
    <w:p>
      <w:pPr>
        <w:spacing w:before="0" w:after="0" w:line="240" w:lineRule="exact"/>
      </w:pPr>
    </w:p>
    <w:p>
      <w:pPr>
        <w:pStyle w:val="Centered"/>
        <w:pageBreakBefore/>
      </w:pPr>
      <w:r>
        <w:rPr>
          <w:b/>
        </w:rPr>
        <w:t>TABLE OF CONTENTS</w:t>
      </w:r>
    </w:p>
    <w:p>
      <w:pPr>
        <w:spacing w:before="0" w:after="0" w:line="240" w:lineRule="exact"/>
      </w:pPr>
    </w:p>
    <w:p>
      <w:pPr>
        <w:pStyle w:val="TOCLevel1"/>
      </w:pPr>
      <w:r>
        <w:fldChar w:fldCharType="begin"/>
      </w:r>
      <w:r>
        <w:instrText xml:space="preserve"> TOC \o "1-2" \h \z </w:instrText>
      </w:r>
      <w:r>
        <w:fldChar w:fldCharType="separate"/>
      </w:r>
      <w:r>
        <w:t xml:space="preserve">ISSUES PRESENTED AND BRIEF ANSWERS</w:t>
      </w:r>
    </w:p>
    <w:p>
      <w:pPr>
        <w:pStyle w:val="TOCLevel1"/>
      </w:pPr>
      <w:r>
        <w:t xml:space="preserve">STATEMENT OF STATUTORY JURISDICTION</w:t>
      </w:r>
    </w:p>
    <w:p>
      <w:pPr>
        <w:pStyle w:val="TOCLevel1"/>
      </w:pPr>
      <w:r>
        <w:t xml:space="preserve">STATEMENT OF FACTS</w:t>
      </w:r>
    </w:p>
    <w:p>
      <w:pPr>
        <w:pStyle w:val="TOCLevel1"/>
      </w:pPr>
      <w:r>
        <w:t xml:space="preserve">ARGUMENT</w:t>
      </w:r>
    </w:p>
    <w:p>
      <w:pPr>
        <w:pStyle w:val="TOCLevel2"/>
      </w:pPr>
      <w:r>
        <w:t xml:space="preserve">I. THE COURT SHOULD DISMISS THIS ACTION FOR LACK OF JURISDICTION</w:t>
      </w:r>
    </w:p>
    <w:p>
      <w:pPr>
        <w:pStyle w:val="TOCLevel1"/>
      </w:pPr>
      <w:r>
        <w:t xml:space="preserve">CONCLUSION</w:t>
      </w:r>
    </w:p>
    <w:p>
      <w:pPr>
        <w:pStyle w:val="TOCLevel1"/>
      </w:pPr>
      <w:r>
        <w:t xml:space="preserve">CERTIFICATE OF COMPLIANCE</w:t>
      </w:r>
    </w:p>
    <w:p>
      <w:pPr>
        <w:pStyle w:val="TOCLevel1"/>
      </w:pPr>
      <w:r>
        <w:t xml:space="preserve">CERTIFICATE OF SERVICE</w:t>
      </w:r>
      <w:r>
        <w:fldChar w:fldCharType="end"/>
      </w:r>
    </w:p>
    <w:p>
      <w:pPr>
        <w:spacing w:before="0" w:after="0" w:line="240" w:lineRule="auto"/>
        <w:sectPr>
          <w:pgSz w:w="12240" w:h="15840"/>
          <w:pgMar w:top="1440" w:right="1440" w:bottom="1440" w:left="1440" w:header="720" w:footer="720" w:gutter="0"/>
        </w:sectPr>
      </w:pPr>
    </w:p>
    <w:p>
      <w:pPr>
        <w:pStyle w:val="Heading1"/>
      </w:pPr>
      <w:bookmarkStart w:id="909" w:name="_9c653b30dfb7e3173223bb5f103e5296d923488"/>
      <w:r>
        <w:t xml:space="preserve">ISSUES PRESENTED AND BRIEF ANSWERS</w:t>
      </w:r>
      <w:bookmarkEnd w:id="909"/>
    </w:p>
    <w:p>
      <w:pPr>
        <w:pStyle w:val="FirstParagraph"/>
      </w:pPr>
      <w:r>
        <w:t xml:space="preserve">The Court has directed the parties to:</w:t>
      </w:r>
    </w:p>
    <w:p>
      <w:pPr>
        <w:pStyle w:val="Compact"/>
        <w:numPr>
          <w:ilvl w:val="0"/>
          <w:numId w:val="1001"/>
        </w:numPr>
      </w:pPr>
      <w:r>
        <w:t xml:space="preserve">file briefs with supporting documentation which address only matters relevant to this Court’s authority to hear this case including, but not limited to:</w:t>
      </w:r>
    </w:p>
    <w:p>
      <w:pPr>
        <w:pStyle w:val="Compact"/>
        <w:numPr>
          <w:ilvl w:val="0"/>
          <w:numId w:val="1002"/>
        </w:numPr>
      </w:pPr>
      <w:r>
        <w:t xml:space="preserve">Statutory and other authority relevant to determining “whether the case [is] properly before [this Court].”</w:t>
      </w:r>
      <w:r>
        <w:t xml:space="preserve"> </w:t>
      </w:r>
      <w:r>
        <w:rPr>
          <w:i/>
          <w:iCs/>
        </w:rPr>
        <w:t xml:space="preserve">United States v. Shipp</w:t>
      </w:r>
      <w:r>
        <w:t xml:space="preserve">, 203 U.S. 563, 573 (1906).</w:t>
      </w:r>
    </w:p>
    <w:p>
      <w:pPr>
        <w:pStyle w:val="FirstParagraph"/>
      </w:pPr>
      <w:r>
        <w:t xml:space="preserve">This case is not properly before the Court because (1) Hicks knowingly, intelligently, and voluntarily waived appeal,</w:t>
      </w:r>
      <w:r>
        <w:t xml:space="preserve"> </w:t>
      </w:r>
      <w:r>
        <w:rPr>
          <w:i/>
          <w:iCs/>
        </w:rPr>
        <w:t xml:space="preserve">see</w:t>
      </w:r>
      <w:r>
        <w:t xml:space="preserve"> </w:t>
      </w:r>
      <w:r>
        <w:t xml:space="preserve">Part I.A; Part II, and (2) the Convening Authority has not referred the case for appeal or forwarded the record for review,</w:t>
      </w:r>
      <w:r>
        <w:t xml:space="preserve"> </w:t>
      </w:r>
      <w:r>
        <w:rPr>
          <w:i/>
          <w:iCs/>
        </w:rPr>
        <w:t xml:space="preserve">see</w:t>
      </w:r>
      <w:r>
        <w:t xml:space="preserve"> </w:t>
      </w:r>
      <w:r>
        <w:t xml:space="preserve">Part I.B.</w:t>
      </w:r>
    </w:p>
    <w:p>
      <w:pPr>
        <w:pStyle w:val="Compact"/>
        <w:numPr>
          <w:ilvl w:val="0"/>
          <w:numId w:val="1003"/>
        </w:numPr>
      </w:pPr>
      <w:r>
        <w:t xml:space="preserve">Whether the convening authority complied with the “automatic referral for appellate review” requirements of 10 U.S.C. § 950c(a) and R.M.C. 1111?</w:t>
      </w:r>
    </w:p>
    <w:p>
      <w:pPr>
        <w:pStyle w:val="FirstParagraph"/>
      </w:pPr>
      <w:r>
        <w:t xml:space="preserve">Yes, the Convening Authority complied with 10 U.S.C. § 950c(a) and R.M.C. 1111. By their plain text, they apply only where an accused has not waived appellate review. Where, as here, an accused has waived appeal, that waiver “bars review” under 10 U.S.C. § 950c(d).</w:t>
      </w:r>
      <w:r>
        <w:t xml:space="preserve"> </w:t>
      </w:r>
      <w:r>
        <w:rPr>
          <w:i/>
          <w:iCs/>
        </w:rPr>
        <w:t xml:space="preserve">See</w:t>
      </w:r>
      <w:r>
        <w:t xml:space="preserve"> </w:t>
      </w:r>
      <w:r>
        <w:t xml:space="preserve">Part I.</w:t>
      </w:r>
    </w:p>
    <w:p>
      <w:pPr>
        <w:pStyle w:val="Compact"/>
        <w:numPr>
          <w:ilvl w:val="0"/>
          <w:numId w:val="1004"/>
        </w:numPr>
      </w:pPr>
      <w:r>
        <w:t xml:space="preserve">When were the accused and defense counsel served with the convening authority’s action?</w:t>
      </w:r>
    </w:p>
    <w:p>
      <w:pPr>
        <w:pStyle w:val="FirstParagraph"/>
      </w:pPr>
      <w:r>
        <w:t xml:space="preserve">The accused was served with the Convening Authority’s Action on May 2, 2007.</w:t>
      </w:r>
      <w:r>
        <w:t xml:space="preserve"> </w:t>
      </w:r>
      <w:r>
        <w:rPr>
          <w:i/>
          <w:iCs/>
        </w:rPr>
        <w:t xml:space="preserve">See</w:t>
      </w:r>
      <w:r>
        <w:t xml:space="preserve"> </w:t>
      </w:r>
      <w:r>
        <w:t xml:space="preserve">A302.</w:t>
      </w:r>
      <w:r>
        <w:rPr>
          <w:rStyle w:val="FootnoteReference"/>
        </w:rPr>
        <w:footnoteReference w:id="910"/>
      </w:r>
    </w:p>
    <w:p>
      <w:pPr>
        <w:pStyle w:val="Compact"/>
        <w:numPr>
          <w:ilvl w:val="0"/>
          <w:numId w:val="1005"/>
        </w:numPr>
      </w:pPr>
      <w:r>
        <w:t xml:space="preserve">Whether the accused filed with the convening authority a statement expressly waiving [his] right to review by this Court? 10 U.S.C. § 950c.</w:t>
      </w:r>
    </w:p>
    <w:p>
      <w:pPr>
        <w:pStyle w:val="FirstParagraph"/>
      </w:pPr>
      <w:r>
        <w:t xml:space="preserve">Although Hicks did not file a waiver of appeal directly with the Convening Authority, he did submit a waiver to the Military Judge just before trial proceedings adjourned on March 30, 2007. That waiver was marked AE 33 and filed in the record, putting the parties and the Convening Authority on notice that Hicks had waived appeal.</w:t>
      </w:r>
      <w:r>
        <w:t xml:space="preserve"> </w:t>
      </w:r>
      <w:r>
        <w:rPr>
          <w:i/>
          <w:iCs/>
        </w:rPr>
        <w:t xml:space="preserve">See</w:t>
      </w:r>
      <w:r>
        <w:t xml:space="preserve"> </w:t>
      </w:r>
      <w:r>
        <w:t xml:space="preserve">App. 1; A296-A297 (Tr. 248:21-249:21).</w:t>
      </w:r>
    </w:p>
    <w:p>
      <w:pPr>
        <w:pStyle w:val="BodyText"/>
      </w:pPr>
      <w:r>
        <w:t xml:space="preserve">Hicks’ premature filing of the waiver with the Convening Authority does not render his waiver invalid.</w:t>
      </w:r>
      <w:r>
        <w:t xml:space="preserve"> </w:t>
      </w:r>
      <w:r>
        <w:rPr>
          <w:i/>
          <w:iCs/>
        </w:rPr>
        <w:t xml:space="preserve">See</w:t>
      </w:r>
      <w:r>
        <w:t xml:space="preserve"> </w:t>
      </w:r>
      <w:r>
        <w:t xml:space="preserve">Part III.</w:t>
      </w:r>
    </w:p>
    <w:p>
      <w:pPr>
        <w:pStyle w:val="Compact"/>
        <w:numPr>
          <w:ilvl w:val="0"/>
          <w:numId w:val="1006"/>
        </w:numPr>
      </w:pPr>
      <w:r>
        <w:t xml:space="preserve">Whether “[t]he Legal Advisor to the Convening Authority . . . review[ed] any waivers [of] review by this Court submitted to the Convening Authority for completeness” and the result of any such review? RTMC, paragraph 24-2.b.5 (2011).</w:t>
      </w:r>
    </w:p>
    <w:p>
      <w:pPr>
        <w:pStyle w:val="FirstParagraph"/>
      </w:pPr>
      <w:r>
        <w:t xml:space="preserve">Although the current Regulation for Trial by Military Commission requires the Legal Advisor to review a waiver of appeal for completeness, there was no Regulation for Trial by Military Commission in effect when the Legal Advisor made his Recommendation in this case, so he had no obligation to conduct such a review.</w:t>
      </w:r>
      <w:r>
        <w:t xml:space="preserve"> </w:t>
      </w:r>
      <w:r>
        <w:rPr>
          <w:i/>
          <w:iCs/>
        </w:rPr>
        <w:t xml:space="preserve">See infra</w:t>
      </w:r>
      <w:r>
        <w:t xml:space="preserve"> </w:t>
      </w:r>
      <w:r>
        <w:t xml:space="preserve">10 n.6.</w:t>
      </w:r>
    </w:p>
    <w:p>
      <w:pPr>
        <w:pStyle w:val="Compact"/>
        <w:numPr>
          <w:ilvl w:val="0"/>
          <w:numId w:val="1007"/>
        </w:numPr>
      </w:pPr>
      <w:r>
        <w:t xml:space="preserve">What effect, if any, does the statement in the RTMC that “[t]he U.S.C.M.C.R. should decide the legal sufficiency of waivers” have upon our authority to hear this case?</w:t>
      </w:r>
    </w:p>
    <w:p>
      <w:pPr>
        <w:pStyle w:val="FirstParagraph"/>
      </w:pPr>
      <w:r>
        <w:t xml:space="preserve">None. This Court lacks subject matter jurisdiction over this action because Hicks’ waiver “bars review” and because the Convening Authority has not referred the case for review or forwarded the record. 10 U.S.C. §§ 950c(d), 950f(c). The R.T.M.C. cannot expand the Court’s jurisdiction beyond the scope set by Congress in the Military Commissions Act (“M.C.A.”).</w:t>
      </w:r>
      <w:r>
        <w:t xml:space="preserve"> </w:t>
      </w:r>
      <w:r>
        <w:rPr>
          <w:i/>
          <w:iCs/>
        </w:rPr>
        <w:t xml:space="preserve">See</w:t>
      </w:r>
      <w:r>
        <w:t xml:space="preserve"> </w:t>
      </w:r>
      <w:r>
        <w:t xml:space="preserve">Part I.</w:t>
      </w:r>
    </w:p>
    <w:p>
      <w:pPr>
        <w:pStyle w:val="Heading1"/>
      </w:pPr>
      <w:bookmarkStart w:id="911" w:name="_741d897e32e3c0ced7ea194d4e877e61814138a"/>
      <w:r>
        <w:t xml:space="preserve">STATEMENT OF STATUTORY JURISDICTION</w:t>
      </w:r>
      <w:bookmarkEnd w:id="911"/>
    </w:p>
    <w:p>
      <w:pPr>
        <w:pStyle w:val="FirstParagraph"/>
      </w:pPr>
      <w:r>
        <w:t xml:space="preserve">For all the reasons discussed herein, the Court lacks jurisdiction over this action.</w:t>
      </w:r>
    </w:p>
    <w:p>
      <w:pPr>
        <w:pStyle w:val="Heading1"/>
      </w:pPr>
      <w:bookmarkStart w:id="912" w:name="_c782d4980352688b0148305281d62652acab74d"/>
      <w:r>
        <w:t xml:space="preserve">STATEMENT OF FACTS</w:t>
      </w:r>
      <w:bookmarkEnd w:id="912"/>
    </w:p>
    <w:p>
      <w:pPr>
        <w:pStyle w:val="Heading3"/>
      </w:pPr>
      <w:bookmarkStart w:id="913" w:name="_3b276e078a55c56a6d5961b347b45e2e0d040de"/>
      <w:r>
        <w:t xml:space="preserve">A. Hicks and His Defense Counsel Knowingly and Voluntarily Offered and Agreed to Waive Appellate Review</w:t>
      </w:r>
      <w:bookmarkEnd w:id="913"/>
    </w:p>
    <w:p>
      <w:pPr>
        <w:pStyle w:val="FirstParagraph"/>
      </w:pPr>
      <w:r>
        <w:t xml:space="preserve">On March 26, 2007, David M. Hicks, his defense counsel, and the Convening Authority each signed the Pretrial Agreement (“PTA”). A29-A30. In the PTA Hicks “freely and voluntarily” offered to plead guilty “because I am guilty.”</w:t>
      </w:r>
      <w:r>
        <w:rPr>
          <w:rStyle w:val="FootnoteReference"/>
        </w:rPr>
        <w:footnoteReference w:id="914"/>
      </w:r>
      <w:r>
        <w:t xml:space="preserve"> </w:t>
      </w:r>
      <w:r>
        <w:t xml:space="preserve">A26. Hicks offered, among other things, to plead guilty to the charge and specification and not to “make, participate in, or support any claim . . . in any forum against the United States . . . with regard to my capture, treatment, detention, or prosecution.” A29; A188-189 (Tr. 140:22-141:5).</w:t>
      </w:r>
    </w:p>
    <w:p>
      <w:pPr>
        <w:pStyle w:val="BodyText"/>
      </w:pPr>
      <w:r>
        <w:t xml:space="preserve">Hicks’ offer to plead guilty and waive appeal was “a free and voluntary decision on [his] part made with full knowledge of its meaning and effect,” and he stated that “[n]o person or persons have made any attempt to force or coerce me into making this offer or to plead guilty.” A28;</w:t>
      </w:r>
      <w:r>
        <w:t xml:space="preserve"> </w:t>
      </w:r>
      <w:r>
        <w:rPr>
          <w:i/>
          <w:iCs/>
        </w:rPr>
        <w:t xml:space="preserve">see</w:t>
      </w:r>
      <w:r>
        <w:t xml:space="preserve"> </w:t>
      </w:r>
      <w:r>
        <w:t xml:space="preserve">A182 (Tr. 134:15-20). Hicks agreed to enter into a “reasonable stipulation of fact with the United States to support the elements of the offenses to which I am pleading guilty.” A26.</w:t>
      </w:r>
    </w:p>
    <w:p>
      <w:pPr>
        <w:pStyle w:val="BodyText"/>
      </w:pPr>
      <w:r>
        <w:t xml:space="preserve">Hicks stated in the PTA that he was “satisfied” with his counsel, Major Mori and Mr. Joshua L. Dratel, “who have advised me with respect to this offer,” stated he “consider[ed] them competent to represent me in this military commission,” and “agree[d] that they ha[d] provided me effective assistance of counsel.” A27;</w:t>
      </w:r>
      <w:r>
        <w:t xml:space="preserve"> </w:t>
      </w:r>
      <w:r>
        <w:rPr>
          <w:i/>
          <w:iCs/>
        </w:rPr>
        <w:t xml:space="preserve">see</w:t>
      </w:r>
      <w:r>
        <w:t xml:space="preserve"> </w:t>
      </w:r>
      <w:r>
        <w:t xml:space="preserve">A182 (Tr. 134:7-14). Hicks stated that his counsel had “fully advised me of the nature of the charge and specifications against me,” and stated: “I fully understand the advice of my defense counsel and the meaning, effect, and consequences of this plea.” A28;</w:t>
      </w:r>
      <w:r>
        <w:t xml:space="preserve"> </w:t>
      </w:r>
      <w:r>
        <w:rPr>
          <w:i/>
          <w:iCs/>
        </w:rPr>
        <w:t xml:space="preserve">see</w:t>
      </w:r>
      <w:r>
        <w:t xml:space="preserve"> </w:t>
      </w:r>
      <w:r>
        <w:t xml:space="preserve">A182-A183 (Tr. 134:21-135:8).</w:t>
      </w:r>
    </w:p>
    <w:p>
      <w:pPr>
        <w:pStyle w:val="BodyText"/>
      </w:pPr>
      <w:r>
        <w:t xml:space="preserve">Hicks’ defense counsel certified in writing that they “explained to [Hicks] the elements of the offenses to which he is pleading guilty, and that he has voluntarily signed this offer for pretrial agreement.” A30. Hicks further agreed in the PTA that “I have never been illegally treated by any person or person while in the custody and control of the United States.” A28;</w:t>
      </w:r>
      <w:r>
        <w:t xml:space="preserve"> </w:t>
      </w:r>
      <w:r>
        <w:rPr>
          <w:i/>
          <w:iCs/>
        </w:rPr>
        <w:t xml:space="preserve">see</w:t>
      </w:r>
      <w:r>
        <w:t xml:space="preserve"> </w:t>
      </w:r>
      <w:r>
        <w:t xml:space="preserve">A186-A187 (Tr. 138:21-139:14). Aware that he was entering into a binding agreement, Hicks stated “I understand that the signature of the Convening Authority to this offer and to Appendix A . . . which I also sign, will transform this offer into an agreement binding upon me and the United States.” A28;</w:t>
      </w:r>
      <w:r>
        <w:t xml:space="preserve"> </w:t>
      </w:r>
      <w:r>
        <w:rPr>
          <w:i/>
          <w:iCs/>
        </w:rPr>
        <w:t xml:space="preserve">see</w:t>
      </w:r>
      <w:r>
        <w:t xml:space="preserve"> </w:t>
      </w:r>
      <w:r>
        <w:t xml:space="preserve">A183 (Tr. 135:9-19).</w:t>
      </w:r>
    </w:p>
    <w:p>
      <w:pPr>
        <w:pStyle w:val="BodyText"/>
      </w:pPr>
      <w:r>
        <w:t xml:space="preserve">In exchange for Hicks waiving his appellate and other rights and pleading guilty, the Convening Authority agreed, among other things, (1) that she would approve a sentence of no greater than seven years, (2) “to suspend any portion of a sentence to confinement in excess of nine months,” and (3) to “transfer custody and control of the Accused to the Government of Australia by not later than sixty (60) days from the date upon which the sentence is announced.” A31.</w:t>
      </w:r>
      <w:r>
        <w:rPr>
          <w:rStyle w:val="FootnoteReference"/>
        </w:rPr>
        <w:footnoteReference w:id="915"/>
      </w:r>
      <w:r>
        <w:t xml:space="preserve"> </w:t>
      </w:r>
      <w:r>
        <w:t xml:space="preserve">Hicks acknowledged in the PTA that “it will be in my best interest that the Convening Authority grant me the relief” described in this paragraph. A26;</w:t>
      </w:r>
      <w:r>
        <w:t xml:space="preserve"> </w:t>
      </w:r>
      <w:r>
        <w:rPr>
          <w:i/>
          <w:iCs/>
        </w:rPr>
        <w:t xml:space="preserve">see</w:t>
      </w:r>
      <w:r>
        <w:t xml:space="preserve"> </w:t>
      </w:r>
      <w:r>
        <w:t xml:space="preserve">A31. Each of these was done.</w:t>
      </w:r>
    </w:p>
    <w:p>
      <w:pPr>
        <w:pStyle w:val="Heading3"/>
      </w:pPr>
      <w:bookmarkStart w:id="916" w:name="_7350ffafdf14c88c5b949abf0e7e667f589841e"/>
      <w:r>
        <w:t xml:space="preserve">B. Hicks Knowingly and Voluntarily Entered Into a Stipulation of Fact</w:t>
      </w:r>
      <w:bookmarkEnd w:id="916"/>
    </w:p>
    <w:p>
      <w:pPr>
        <w:pStyle w:val="FirstParagraph"/>
      </w:pPr>
      <w:r>
        <w:t xml:space="preserve">On March 29, 2007, Hicks and his defense counsel Major Mori both signed a Stipulation of Fact, previously signed by the prosecution. Hicks stated that the “stipulation of fact is entered into by the Prosecution and Defense knowingly and voluntarily” and that “the following facts are true.” A1. Hicks admitted that he “joined a terrorist organization known as Lashkar-e Tayyiba (LET)” in November 1999, A1, trained at an LET training camp in “weapons familiarization and firing, map reading, land navigation, and troop movement,” A2, and then traveled to Afghanistan and participated in al Qaeda’s “eight week basic training course” at the al Farouq camp. A3.</w:t>
      </w:r>
    </w:p>
    <w:p>
      <w:pPr>
        <w:pStyle w:val="BodyText"/>
      </w:pPr>
      <w:r>
        <w:t xml:space="preserve">Hicks was later “summoned and interviewed” by Muhammad Atef, then Al Qaeda’s military commander, about “his knowledge of Usama bin Laden; al Qaeda; [and] his ability to travel around the world,” among other things. A4. Hicks attended al Qaeda’s urban tactics course at Tarnak Farm, followed by a four-week course on “information collection and surveillance” in Kabul. A4.</w:t>
      </w:r>
    </w:p>
    <w:p>
      <w:pPr>
        <w:pStyle w:val="BodyText"/>
      </w:pPr>
      <w:r>
        <w:t xml:space="preserve">On or about September 9, 2001, Hicks traveled to Pakistan to visit a friend. While at this friend’s house, Hicks “watched television footage of the September 11, 2001 attacks on the United States,” and the friend “interpreted [Hicks’] gestures as approval of the attacks.” A4. On or about September 12, 2001, Hicks returned to Afghanistan to join with al Qaeda. A4. He chose to join a group of al Qaeda and Taliban fighters near the Kandahar Airport. A5. He was issued an AK-47 automatic rifle, and also “on his own . . . armed himself with six (6) ammunition magazines, approximately 300 rounds of ammunition, and three (3) grenades to use in fighting the United States, Northern Alliance, and other Coalition forces.” A5.</w:t>
      </w:r>
    </w:p>
    <w:p>
      <w:pPr>
        <w:pStyle w:val="BodyText"/>
      </w:pPr>
      <w:r>
        <w:t xml:space="preserve">The Military Judge asked Hicks, with respect to the Stipulation of Fact, “Is there anything in here that you disagree with or feel is untrue?” A137 (Tr. 89:14-15). Hicks responded, “No.” A137 (Tr. 89:16);</w:t>
      </w:r>
      <w:r>
        <w:t xml:space="preserve"> </w:t>
      </w:r>
      <w:r>
        <w:rPr>
          <w:i/>
          <w:iCs/>
        </w:rPr>
        <w:t xml:space="preserve">see</w:t>
      </w:r>
      <w:r>
        <w:t xml:space="preserve"> </w:t>
      </w:r>
      <w:r>
        <w:t xml:space="preserve">A133 (Tr. 85:17-22).</w:t>
      </w:r>
      <w:r>
        <w:rPr>
          <w:rStyle w:val="FootnoteReference"/>
        </w:rPr>
        <w:footnoteReference w:id="917"/>
      </w:r>
    </w:p>
    <w:p>
      <w:pPr>
        <w:pStyle w:val="Heading1"/>
      </w:pPr>
      <w:bookmarkStart w:id="918" w:name="_argument"/>
      <w:r>
        <w:t xml:space="preserve">ARGUMENT</w:t>
      </w:r>
      <w:bookmarkEnd w:id="918"/>
    </w:p>
    <w:p>
      <w:pPr>
        <w:pStyle w:val="Heading2"/>
      </w:pPr>
      <w:bookmarkStart w:id="919" w:name="_5ca4e2a0e962977a3be2d61422457682dda6c5a"/>
      <w:r>
        <w:t xml:space="preserve">I. THE COURT SHOULD DISMISS THIS ACTION FOR LACK OF JURISDICTION</w:t>
      </w:r>
      <w:bookmarkEnd w:id="919"/>
    </w:p>
    <w:p>
      <w:pPr>
        <w:pStyle w:val="FirstParagraph"/>
      </w:pPr>
      <w:r>
        <w:t xml:space="preserve">As a court created by statute, U.S.C.M.C.R. is a court of limited jurisdiction.</w:t>
      </w:r>
      <w:r>
        <w:t xml:space="preserve"> </w:t>
      </w:r>
      <w:r>
        <w:rPr>
          <w:i/>
          <w:iCs/>
        </w:rPr>
        <w:t xml:space="preserve">Christianson v. Colt Indus. Operating Corp.</w:t>
      </w:r>
      <w:r>
        <w:t xml:space="preserve">, 486 U.S. 800, 818 (1988). The Court has the power to hear a case only if that power has been granted to it by Congress.</w:t>
      </w:r>
      <w:r>
        <w:t xml:space="preserve"> </w:t>
      </w:r>
      <w:r>
        <w:rPr>
          <w:i/>
          <w:iCs/>
        </w:rPr>
        <w:t xml:space="preserve">Id.</w:t>
      </w:r>
      <w:r>
        <w:t xml:space="preserve"> </w:t>
      </w:r>
      <w:r>
        <w:t xml:space="preserve">(“Courts created by statute can have no jurisdiction but such as the statute confers.”) (quoting</w:t>
      </w:r>
      <w:r>
        <w:t xml:space="preserve"> </w:t>
      </w:r>
      <w:r>
        <w:rPr>
          <w:i/>
          <w:iCs/>
        </w:rPr>
        <w:t xml:space="preserve">Sheldon v. Sill</w:t>
      </w:r>
      <w:r>
        <w:t xml:space="preserve">, 49 U.S. (8 How.) 441, 449 (1850)). If the Court lacks jurisdiction, then it may go no further; the Court must dismiss the case.</w:t>
      </w:r>
      <w:r>
        <w:t xml:space="preserve"> </w:t>
      </w:r>
      <w:r>
        <w:rPr>
          <w:i/>
          <w:iCs/>
        </w:rPr>
        <w:t xml:space="preserve">Ex parte McCardle</w:t>
      </w:r>
      <w:r>
        <w:t xml:space="preserve">, 74 U.S. (7 Wall.) 506, 514 (1868). As the party claiming subject-matter jurisdiction over this action, Hicks “has the burden to demonstrate that it exists.”</w:t>
      </w:r>
      <w:r>
        <w:t xml:space="preserve"> </w:t>
      </w:r>
      <w:r>
        <w:rPr>
          <w:i/>
          <w:iCs/>
        </w:rPr>
        <w:t xml:space="preserve">Khadr v. United States</w:t>
      </w:r>
      <w:r>
        <w:t xml:space="preserve">, 529 F.3d 1112, 1115 (D.C. Cir. 2008).</w:t>
      </w:r>
    </w:p>
    <w:p>
      <w:pPr>
        <w:pStyle w:val="Heading3"/>
      </w:pPr>
      <w:bookmarkStart w:id="920" w:name="_ea053ebafb2739a2010495ebc42cd954279e6b4"/>
      <w:r>
        <w:t xml:space="preserve">A. The Court Lacks Jurisdiction Because Hicks Has Waived Appeal</w:t>
      </w:r>
      <w:bookmarkEnd w:id="920"/>
    </w:p>
    <w:p>
      <w:pPr>
        <w:pStyle w:val="FirstParagraph"/>
      </w:pPr>
      <w:r>
        <w:t xml:space="preserve">The United States acknowledges that an accused does not waive challenges to a trial court’s subject-matter jurisdiction even if he pleads guilty and promises to waive appeal.</w:t>
      </w:r>
      <w:r>
        <w:rPr>
          <w:rStyle w:val="FootnoteReference"/>
        </w:rPr>
        <w:footnoteReference w:id="921"/>
      </w:r>
      <w:r>
        <w:t xml:space="preserve"> </w:t>
      </w:r>
      <w:r>
        <w:t xml:space="preserve">Subject-matter jurisdiction is non-waivable. But that does not mean Hicks may raise his jurisdictional claim in whatever forum he chooses. Although the argument that a court lacks subject-matter jurisdiction is not waivable, the procedural right to lodge that argument in a direct appeal is waivable. If an accused waives the procedural right to appeal, his waiver bars the Court from reviewing his case in its entirety, including the argument that the military commission lacked subject-matter jurisdiction. Here, Hicks’ waiver “bars review” by the Court of Military Commission Review. 10 U.S.C. § 950c(d). The natural reading of this language is that the waiver is itself jurisdictional. Waiver, once executed in legally sufficient form in compliance with the M.C.A. and R.M.C., deprives the Court of jurisdiction to hear this action in its entirety, regardless of the content of Hicks’ claims.</w:t>
      </w:r>
    </w:p>
    <w:p>
      <w:pPr>
        <w:pStyle w:val="BodyText"/>
      </w:pPr>
      <w:r>
        <w:t xml:space="preserve">Hicks’ central argument is a challenge to the jurisdiction of the military commission based on</w:t>
      </w:r>
      <w:r>
        <w:t xml:space="preserve"> </w:t>
      </w:r>
      <w:r>
        <w:rPr>
          <w:i/>
          <w:iCs/>
        </w:rPr>
        <w:t xml:space="preserve">Hamdan II</w:t>
      </w:r>
      <w:r>
        <w:t xml:space="preserve">. Before any appellate court could consider that argument, however, it must first satisfy itself that it has jurisdiction over the appeal. Only then can the appellate court consider whether the trial court had jurisdiction.</w:t>
      </w:r>
      <w:r>
        <w:t xml:space="preserve"> </w:t>
      </w:r>
      <w:r>
        <w:rPr>
          <w:i/>
          <w:iCs/>
        </w:rPr>
        <w:t xml:space="preserve">See Steel Co. v. Citizens for Better Env’t</w:t>
      </w:r>
      <w:r>
        <w:t xml:space="preserve">, 523 U.S. 83 (1998).</w:t>
      </w:r>
    </w:p>
    <w:p>
      <w:pPr>
        <w:pStyle w:val="Heading1"/>
      </w:pPr>
      <w:bookmarkStart w:id="922" w:name="_conclusion"/>
      <w:r>
        <w:t xml:space="preserve">CONCLUSION</w:t>
      </w:r>
      <w:bookmarkEnd w:id="922"/>
    </w:p>
    <w:p>
      <w:pPr>
        <w:pStyle w:val="FirstParagraph"/>
      </w:pPr>
      <w:r>
        <w:t xml:space="preserve">For the foregoing reasons, the Court lacks subject matter jurisdiction, and in the alternative, it should enforce the Pretrial Agreement and dismiss this action.</w:t>
      </w:r>
    </w:p>
    <w:p>
      <w:pPr>
        <w:keepNext/>
        <w:spacing w:before="0" w:after="0" w:line="360" w:lineRule="exact"/>
      </w:pPr>
    </w:p>
    <w:p>
      <w:pPr>
        <w:pStyle w:val="Signature"/>
      </w:pPr>
      <w:r>
        <w:t xml:space="preserve">Dated: December 19, 2013</w:t>
      </w:r>
    </w:p>
    <w:p>
      <w:pPr>
        <w:keepNext/>
        <w:spacing w:before="0" w:after="0" w:line="360" w:lineRule="exact"/>
      </w:pPr>
    </w:p>
    <w:p>
      <w:pPr>
        <w:pStyle w:val="Signature"/>
      </w:pPr>
      <w:r>
        <w:t xml:space="preserve">Respectfully submitted,</w:t>
      </w:r>
    </w:p>
    <w:p>
      <w:pPr>
        <w:keepNext/>
        <w:spacing w:before="0" w:after="0" w:line="240" w:lineRule="exact"/>
      </w:pPr>
    </w:p>
    <w:p>
      <w:pPr>
        <w:pStyle w:val="Signature"/>
      </w:pPr>
      <w:r>
        <w:t xml:space="preserve">//s// Marc A. Wallenstein</w:t>
      </w:r>
    </w:p>
    <w:p>
      <w:pPr>
        <w:pStyle w:val="Signature"/>
      </w:pPr>
      <w:r>
        <w:rPr>
          <w:i/>
          <w:iCs/>
        </w:rPr>
        <w:t xml:space="preserve">Office of Military Commissions</w:t>
      </w:r>
    </w:p>
    <w:p>
      <w:pPr>
        <w:pStyle w:val="Signature"/>
      </w:pPr>
      <w:r>
        <w:rPr>
          <w:i/>
          <w:iCs/>
        </w:rPr>
        <w:t xml:space="preserve">1610 Defense Pentagon</w:t>
      </w:r>
    </w:p>
    <w:p>
      <w:pPr>
        <w:pStyle w:val="Signature"/>
      </w:pPr>
      <w:r>
        <w:rPr>
          <w:i/>
          <w:iCs/>
        </w:rPr>
        <w:t xml:space="preserve">Washington, D.C. 20301</w:t>
      </w:r>
    </w:p>
    <w:p>
      <w:pPr>
        <w:pStyle w:val="SignatureEnd"/>
      </w:pPr>
      <w:r>
        <w:rPr>
          <w:i/>
          <w:iCs/>
        </w:rPr>
        <w:t xml:space="preserve">Counsel for the United States</w:t>
      </w:r>
    </w:p>
    <w:p>
      <w:pPr>
        <w:pStyle w:val="Heading1"/>
        <w:pageBreakBefore/>
      </w:pPr>
      <w:r>
        <w:t>CERTIFICATE OF COMPLIANCE</w:t>
      </w:r>
    </w:p>
    <w:p>
      <w:pPr>
        <w:pStyle w:val="CertPara"/>
      </w:pPr>
      <w:r>
        <w:t xml:space="preserve">1. This brief complies with the type-volume limitation of Rule 14(i) because it contains 13,879 words; and</w:t>
      </w:r>
    </w:p>
    <w:p>
      <w:pPr>
        <w:pStyle w:val="CertPara"/>
      </w:pPr>
      <w:r>
        <w:t xml:space="preserve">2. This brief complies with the typeface and style requirements of Rule 14(e) because it has been prepared using Microsoft Word 2010, monospaced typeface with 12 characters per inch, Times New Roman font.</w:t>
      </w:r>
    </w:p>
    <w:p>
      <w:pPr>
        <w:spacing w:before="0" w:after="0" w:line="240" w:lineRule="exact"/>
      </w:pPr>
    </w:p>
    <w:p>
      <w:pPr>
        <w:pStyle w:val="CertPara"/>
      </w:pPr>
      <w:r>
        <w:t xml:space="preserve">Dated: December 19, 2013</w:t>
      </w:r>
    </w:p>
    <w:p>
      <w:pPr>
        <w:pStyle w:val="Signature"/>
      </w:pPr>
      <w:r>
        <w:t xml:space="preserve">//s// Marc A. Wallenstein</w:t>
      </w:r>
    </w:p>
    <w:p>
      <w:pPr>
        <w:pStyle w:val="Signature"/>
      </w:pPr>
      <w:r>
        <w:rPr>
          <w:i/>
          <w:iCs/>
        </w:rPr>
        <w:t xml:space="preserve">Office of Military Commissions</w:t>
      </w:r>
    </w:p>
    <w:p>
      <w:pPr>
        <w:pStyle w:val="Signature"/>
      </w:pPr>
      <w:r>
        <w:rPr>
          <w:i/>
          <w:iCs/>
        </w:rPr>
        <w:t xml:space="preserve">1610 Defense Pentagon</w:t>
      </w:r>
    </w:p>
    <w:p>
      <w:pPr>
        <w:pStyle w:val="Signature"/>
      </w:pPr>
      <w:r>
        <w:rPr>
          <w:i/>
          <w:iCs/>
        </w:rPr>
        <w:t xml:space="preserve">Washington, D.C. 20301</w:t>
      </w:r>
    </w:p>
    <w:p>
      <w:pPr>
        <w:pStyle w:val="SignatureEnd"/>
      </w:pPr>
      <w:r>
        <w:rPr>
          <w:i/>
          <w:iCs/>
        </w:rPr>
        <w:t xml:space="preserve">Counsel for the United States</w:t>
      </w:r>
    </w:p>
    <w:p>
      <w:pPr>
        <w:pStyle w:val="Heading1"/>
        <w:pageBreakBefore/>
      </w:pPr>
      <w:r>
        <w:t>CERTIFICATE OF SERVICE</w:t>
      </w:r>
    </w:p>
    <w:p>
      <w:pPr>
        <w:pStyle w:val="CertPara"/>
      </w:pPr>
      <w:r>
        <w:t xml:space="preserve">I certify that a copy of the foregoing was sent by electronic mail to Baher Azmy, J. Wells Dixon, Shayana D. Kadidal, Susan Hu, and Joseph Margulies, civilian appellate defense counsel, and Samuel T. Morison and Capt Justin Swick, detailed appellate defense counsel, on December 19, 2013.</w:t>
      </w:r>
    </w:p>
    <w:p>
      <w:pPr>
        <w:pStyle w:val="Signature"/>
      </w:pPr>
      <w:r>
        <w:t xml:space="preserve">//s// Marc A. Wallenstein</w:t>
      </w:r>
    </w:p>
    <w:p>
      <w:pPr>
        <w:pStyle w:val="Signature"/>
      </w:pPr>
      <w:r>
        <w:rPr>
          <w:i/>
          <w:iCs/>
        </w:rPr>
        <w:t xml:space="preserve">Office of Military Commissions</w:t>
      </w:r>
    </w:p>
    <w:p>
      <w:pPr>
        <w:pStyle w:val="Signature"/>
      </w:pPr>
      <w:r>
        <w:rPr>
          <w:i/>
          <w:iCs/>
        </w:rPr>
        <w:t xml:space="preserve">1610 Defense Pentagon</w:t>
      </w:r>
    </w:p>
    <w:p>
      <w:pPr>
        <w:pStyle w:val="Signature"/>
      </w:pPr>
      <w:r>
        <w:rPr>
          <w:i/>
          <w:iCs/>
        </w:rPr>
        <w:t xml:space="preserve">Washington, D.C. 20301</w:t>
      </w:r>
    </w:p>
    <w:p>
      <w:pPr>
        <w:pStyle w:val="SignatureEnd"/>
      </w:pPr>
      <w:r>
        <w:rPr>
          <w:i/>
          <w:iCs/>
        </w:rPr>
        <w:t xml:space="preserve">Counsel for the United States</w:t>
      </w:r>
    </w:p>
    <w:sectPr>
      <w:footerReference w:type="default" r:id="rId900"/>
      <w:footnotePr>
        <w:numRestart w:val="eachSect"/>
      </w:footnotePr>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10">
    <w:p>
      <w:pPr>
        <w:pStyle w:val="FootnoteText"/>
      </w:pPr>
      <w:r>
        <w:rPr>
          <w:rStyle w:val="FootnoteReference"/>
        </w:rPr>
        <w:footnoteRef/>
      </w:r>
      <w:r>
        <w:t xml:space="preserve"> </w:t>
      </w:r>
      <w:r>
        <w:t xml:space="preserve">All references to “A___” refer to the Appendix to Brief of Appellant David M. Hicks, filed on November 5, 2013.</w:t>
      </w:r>
    </w:p>
  </w:footnote>
  <w:footnote w:id="914">
    <w:p>
      <w:pPr>
        <w:pStyle w:val="FootnoteText"/>
      </w:pPr>
      <w:r>
        <w:rPr>
          <w:rStyle w:val="FootnoteReference"/>
        </w:rPr>
        <w:footnoteRef/>
      </w:r>
      <w:r>
        <w:t xml:space="preserve"> </w:t>
      </w:r>
      <w:r>
        <w:t xml:space="preserve">Hicks argues that he was willing to plead guilty “especially since he did not have to admit to having committed a crime.” Hicks Br. 11;</w:t>
      </w:r>
      <w:r>
        <w:t xml:space="preserve"> </w:t>
      </w:r>
      <w:r>
        <w:rPr>
          <w:i/>
          <w:iCs/>
        </w:rPr>
        <w:t xml:space="preserve">see id.</w:t>
      </w:r>
      <w:r>
        <w:t xml:space="preserve"> </w:t>
      </w:r>
      <w:r>
        <w:t xml:space="preserve">5 &amp; n.5. Hicks and his attorney Joshua Dratel both assert in affidavits that Hicks entered “an Alford plea,” which “involved pleading guilty but without admitting that I was in fact guilty.” Hicks Aff. ¶ 270. While not central to this appeal, Hicks and his attorneys are wrong.</w:t>
      </w:r>
    </w:p>
  </w:footnote>
  <w:footnote w:id="915">
    <w:p>
      <w:pPr>
        <w:pStyle w:val="FootnoteText"/>
      </w:pPr>
      <w:r>
        <w:rPr>
          <w:rStyle w:val="FootnoteReference"/>
        </w:rPr>
        <w:footnoteRef/>
      </w:r>
      <w:r>
        <w:t xml:space="preserve"> </w:t>
      </w:r>
      <w:r>
        <w:t xml:space="preserve">The Convening Authority further agreed to (and did) dismiss Specification 2 of the Charge with prejudice; that the Military Judge would instruct the commission members regarding the limits on their discretion; and that the prosecution would not present evidence in aggravation during sentencing. A31.</w:t>
      </w:r>
    </w:p>
  </w:footnote>
  <w:footnote w:id="917">
    <w:p>
      <w:pPr>
        <w:pStyle w:val="FootnoteText"/>
      </w:pPr>
      <w:r>
        <w:rPr>
          <w:rStyle w:val="FootnoteReference"/>
        </w:rPr>
        <w:footnoteRef/>
      </w:r>
      <w:r>
        <w:t xml:space="preserve"> </w:t>
      </w:r>
      <w:r>
        <w:t xml:space="preserve">Hicks further acknowledged in the Stipulation that “he has never been the victim of any illegal treatment at the hands of any personnel while in the custody or control of the United States.” A6.</w:t>
      </w:r>
    </w:p>
  </w:footnote>
  <w:footnote w:id="921">
    <w:p>
      <w:pPr>
        <w:pStyle w:val="FootnoteText"/>
      </w:pPr>
      <w:r>
        <w:rPr>
          <w:rStyle w:val="FootnoteReference"/>
        </w:rPr>
        <w:footnoteRef/>
      </w:r>
      <w:r>
        <w:t xml:space="preserve"> </w:t>
      </w:r>
      <w:r>
        <w:t xml:space="preserve">Hicks (at 7) cites</w:t>
      </w:r>
      <w:r>
        <w:t xml:space="preserve"> </w:t>
      </w:r>
      <w:r>
        <w:rPr>
          <w:i/>
          <w:iCs/>
        </w:rPr>
        <w:t xml:space="preserve">United States v. Corrick</w:t>
      </w:r>
      <w:r>
        <w:t xml:space="preserve">, 298 U.S. 435, 440 (1936),</w:t>
      </w:r>
      <w:r>
        <w:t xml:space="preserve"> </w:t>
      </w:r>
      <w:r>
        <w:rPr>
          <w:i/>
          <w:iCs/>
        </w:rPr>
        <w:t xml:space="preserve">United States v. Cotton</w:t>
      </w:r>
      <w:r>
        <w:t xml:space="preserve">, 535 U.S. 625, 630 (2002), and</w:t>
      </w:r>
      <w:r>
        <w:t xml:space="preserve"> </w:t>
      </w:r>
      <w:r>
        <w:rPr>
          <w:i/>
          <w:iCs/>
        </w:rPr>
        <w:t xml:space="preserve">United States v. Alexander</w:t>
      </w:r>
      <w:r>
        <w:t xml:space="preserve">, 61 M.J. 266, 269 (C.A.A.F. 2005) in support of this proposition, but in those cases, unlike here, there was no challenge to the appellate court’s jurisdiction over the case; only the trial court’s jurisdiction was at issue.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240" w:lineRule="auto"/>
      <w:ind w:firstLine="0"/>
    </w:pPr>
    <w:rPr>
      <w:rFonts w:ascii="Liberation Serif" w:hAnsi="Liberation Serif" w:eastAsia="Liberation Serif" w:cs="Liberation Serif"/>
      <w:sz w:val="24"/>
      <w:szCs w:val="24"/>
    </w:rPr>
  </w:style>
  <w:style w:type="paragraph" w:styleId="BodyText">
    <w:name w:val="Body Text"/>
    <w:basedOn w:val="Normal"/>
    <w:qFormat/>
    <w:pPr>
      <w:widowControl/>
      <w:spacing w:before="0" w:after="228" w:line="385" w:lineRule="exact"/>
      <w:ind w:firstLine="720"/>
      <w:jc w:val="left"/>
    </w:pPr>
  </w:style>
  <w:style w:type="paragraph" w:styleId="FirstParagraph">
    <w:name w:val="First Paragraph"/>
    <w:basedOn w:val="BodyText"/>
    <w:next w:val="BodyText"/>
    <w:qFormat/>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widowControl/>
      <w:spacing w:before="192" w:after="192" w:line="240" w:lineRule="auto"/>
      <w:ind w:firstLine="0"/>
      <w:jc w:val="center"/>
      <w:outlineLvl w:val="0"/>
    </w:pPr>
    <w:rPr>
      <w:b/>
      <w:bCs/>
      <w:sz w:val="34"/>
      <w:szCs w:val="34"/>
    </w:rPr>
  </w:style>
  <w:style w:type="paragraph" w:styleId="Heading2">
    <w:name w:val="heading 2"/>
    <w:basedOn w:val="Normal"/>
    <w:next w:val="BodyText"/>
    <w:uiPriority w:val="9"/>
    <w:unhideWhenUsed/>
    <w:qFormat/>
    <w:pPr>
      <w:keepNext/>
      <w:keepLines/>
      <w:widowControl/>
      <w:spacing w:before="192" w:after="192" w:line="240" w:lineRule="auto"/>
      <w:ind w:left="720" w:hanging="720" w:firstLine="0"/>
      <w:jc w:val="left"/>
      <w:outlineLvl w:val="1"/>
    </w:pPr>
    <w:rPr>
      <w:b/>
      <w:bCs/>
    </w:rPr>
  </w:style>
  <w:style w:type="paragraph" w:styleId="Heading3">
    <w:name w:val="heading 3"/>
    <w:basedOn w:val="Normal"/>
    <w:next w:val="BodyText"/>
    <w:uiPriority w:val="9"/>
    <w:unhideWhenUsed/>
    <w:qFormat/>
    <w:pPr>
      <w:keepNext/>
      <w:keepLines/>
      <w:widowControl/>
      <w:spacing w:before="144" w:after="144" w:line="240" w:lineRule="auto"/>
      <w:ind w:left="720" w:hanging="720" w:firstLine="0"/>
      <w:jc w:val="left"/>
      <w:outlineLvl w:val="2"/>
    </w:pPr>
    <w:rPr>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keepLines/>
      <w:spacing w:before="0" w:after="240" w:line="240" w:lineRule="auto"/>
      <w:ind w:left="720" w:right="720" w:firstLine="0"/>
      <w:jc w:val="left"/>
    </w:pPr>
  </w:style>
  <w:style w:type="paragraph" w:styleId="FootnoteText">
    <w:name w:val="footnote text"/>
    <w:basedOn w:val="Normal"/>
    <w:uiPriority w:val="99"/>
    <w:unhideWhenUsed/>
    <w:pPr>
      <w:spacing w:before="0" w:after="12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uiPriority w:val="59"/>
    <w:pPr>
      <w:spacing w:after="0" w:line="240" w:lineRule="auto"/>
    </w:pPr>
    <w:tblPr>
      <w:tblBorders>
        <w:top w:val="nil"/>
        <w:left w:val="nil"/>
        <w:bottom w:val="nil"/>
        <w:right w:val="nil"/>
        <w:insideH w:val="nil"/>
        <w:insideV w:val="nil"/>
      </w:tblBorders>
      <w:tblCellMar>
        <w:left w:w="0" w:type="dxa"/>
        <w:right w:w="115"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ptionCell">
    <w:name w:val="CaptionCell"/>
    <w:basedOn w:val="Single"/>
    <w:qFormat/>
    <w:pPr>
      <w:spacing w:before="0" w:after="0" w:line="240" w:lineRule="auto"/>
    </w:pPr>
  </w:style>
  <w:style w:type="paragraph" w:customStyle="1" w:styleId="Centered">
    <w:name w:val="Centered"/>
    <w:basedOn w:val="Single"/>
    <w:qFormat/>
    <w:pPr>
      <w:jc w:val="center"/>
    </w:pPr>
  </w:style>
  <w:style w:type="paragraph" w:customStyle="1" w:styleId="CertPara">
    <w:name w:val="CertPara"/>
    <w:basedOn w:val="Single"/>
    <w:qFormat/>
    <w:pPr>
      <w:spacing w:before="0" w:after="240" w:line="240" w:lineRule="auto"/>
      <w:ind w:firstLine="0"/>
    </w:pPr>
  </w:style>
  <w:style w:type="paragraph" w:customStyle="1" w:styleId="Counsel">
    <w:name w:val="Counsel"/>
    <w:basedOn w:val="Single"/>
    <w:qFormat/>
    <w:pPr>
      <w:keepNext/>
      <w:keepLines/>
      <w:ind w:left="3168" w:firstLine="0"/>
    </w:pPr>
  </w:style>
  <w:style w:type="paragraph" w:customStyle="1" w:styleId="Signature">
    <w:name w:val="Signature"/>
    <w:basedOn w:val="Single"/>
    <w:qFormat/>
    <w:pPr>
      <w:keepNext/>
      <w:keepLines/>
      <w:ind w:left="4032" w:firstLine="0"/>
    </w:pPr>
  </w:style>
  <w:style w:type="paragraph" w:customStyle="1" w:styleId="SignatureEnd">
    <w:name w:val="SignatureEnd"/>
    <w:basedOn w:val="Signature"/>
    <w:qFormat/>
    <w:pPr>
      <w:keepNext w:val="0"/>
    </w:pPr>
  </w:style>
  <w:style w:type="paragraph" w:customStyle="1" w:styleId="Single">
    <w:name w:val="Single"/>
    <w:basedOn w:val="Normal"/>
    <w:qFormat/>
    <w:pPr>
      <w:spacing w:before="0" w:after="0" w:line="240" w:lineRule="auto"/>
      <w:ind w:firstLine="0"/>
    </w:pPr>
  </w:style>
  <w:style w:type="paragraph" w:customStyle="1" w:styleId="TOCLevel1">
    <w:name w:val="TOCLevel1"/>
    <w:basedOn w:val="Single"/>
    <w:qFormat/>
    <w:pPr>
      <w:spacing w:before="0" w:after="120" w:line="276" w:lineRule="auto"/>
      <w:ind w:left="0" w:firstLine="0"/>
    </w:pPr>
  </w:style>
  <w:style w:type="paragraph" w:customStyle="1" w:styleId="TOCLevel2">
    <w:name w:val="TOCLevel2"/>
    <w:basedOn w:val="Single"/>
    <w:qFormat/>
    <w:pPr>
      <w:spacing w:before="0" w:after="120" w:line="276" w:lineRule="auto"/>
      <w:ind w:left="720" w:hanging="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08" Target="numbering.xml" /><Relationship Type="http://schemas.openxmlformats.org/officeDocument/2006/relationships/styles" Id="rId907" Target="styles.xml" /><Relationship Type="http://schemas.openxmlformats.org/officeDocument/2006/relationships/settings" Id="rId906" Target="settings.xml" /><Relationship Type="http://schemas.openxmlformats.org/officeDocument/2006/relationships/webSettings" Id="rId905" Target="webSettings.xml" /><Relationship Type="http://schemas.openxmlformats.org/officeDocument/2006/relationships/fontTable" Id="rId904" Target="fontTable.xml" /><Relationship Type="http://schemas.openxmlformats.org/officeDocument/2006/relationships/theme" Id="rId903" Target="theme/theme1.xml" /><Relationship Type="http://schemas.openxmlformats.org/officeDocument/2006/relationships/footnotes" Id="rId902" Target="footnotes.xml" /><Relationship Type="http://schemas.openxmlformats.org/officeDocument/2006/relationships/comments" Id="rId901" Target="comments.xml" /><Relationship Type="http://schemas.openxmlformats.org/officeDocument/2006/relationships/footer" Id="rId9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2026-10-15T12:24:06Z</dcterms:created>
  <dcterms:modified xsi:type="dcterms:W3CDTF">2026-10-15T12:24:06Z</dcterms:modified>
</cp:coreProperties>
</file>

<file path=docProps/custom.xml><?xml version="1.0" encoding="utf-8"?>
<Properties xmlns="http://schemas.openxmlformats.org/officeDocument/2006/custom-properties" xmlns:vt="http://schemas.openxmlformats.org/officeDocument/2006/docPropsVTypes"/>
</file>