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PleadingSingle"/>
      </w:pPr>
      <w:r>
        <w:t xml:space="preserve">INKU NAM, ESQ. (Nevada Bar No. 12050)</w:t>
      </w:r>
    </w:p>
    <w:p>
      <w:pPr>
        <w:pStyle w:val="PleadingSingle"/>
      </w:pPr>
      <w:r>
        <w:t xml:space="preserve">E: INam@ohaganmeyer.com</w:t>
      </w:r>
    </w:p>
    <w:p>
      <w:pPr>
        <w:pStyle w:val="PleadingSingle"/>
      </w:pPr>
      <w:r>
        <w:t xml:space="preserve">O’HAGAN MEYER PLLC</w:t>
      </w:r>
    </w:p>
    <w:p>
      <w:pPr>
        <w:pStyle w:val="PleadingSingle"/>
      </w:pPr>
      <w:r>
        <w:t xml:space="preserve">300 S. 4th Street, Suite 1250</w:t>
      </w:r>
    </w:p>
    <w:p>
      <w:pPr>
        <w:pStyle w:val="PleadingSingle"/>
      </w:pPr>
      <w:r>
        <w:t xml:space="preserve">Las Vegas, NV 89101</w:t>
      </w:r>
    </w:p>
    <w:p>
      <w:pPr>
        <w:pStyle w:val="PleadingSingle"/>
      </w:pPr>
      <w:r>
        <w:t xml:space="preserve">T: 725.286.2801</w:t>
      </w:r>
    </w:p>
    <w:p>
      <w:pPr>
        <w:pStyle w:val="PleadingSingle"/>
      </w:pPr>
      <w:r>
        <w:t xml:space="preserve"/>
      </w:r>
    </w:p>
    <w:p>
      <w:pPr>
        <w:pStyle w:val="PleadingSingle"/>
      </w:pPr>
      <w:r>
        <w:t xml:space="preserve">Attorneys for Defendant</w:t>
      </w:r>
    </w:p>
    <w:p>
      <w:pPr>
        <w:pStyle w:val="PleadingSingle"/>
      </w:pPr>
      <w:r>
        <w:t xml:space="preserve">Granbury at Valley Vista</w:t>
      </w:r>
    </w:p>
    <w:p>
      <w:pPr>
        <w:pStyle w:val="PleadingSingle"/>
      </w:pPr>
      <w:r>
        <w:t xml:space="preserve">Homeowners Association</w:t>
      </w:r>
    </w:p>
    <w:p>
      <w:pPr>
        <w:spacing w:before="0" w:after="0" w:line="434" w:lineRule="exact"/>
      </w:pPr>
    </w:p>
    <w:p/>
    <w:p>
      <w:pPr>
        <w:pStyle w:val="PleadingCentered"/>
      </w:pPr>
      <w:r>
        <w:rPr>
          <w:b/>
          <w:bCs/>
        </w:rPr>
        <w:t xml:space="preserve">UNITED STATES DISTRICT COURT</w:t>
      </w:r>
    </w:p>
    <w:p>
      <w:pPr>
        <w:pStyle w:val="PleadingCentered"/>
      </w:pPr>
      <w:r>
        <w:rPr>
          <w:b/>
          <w:bCs/>
        </w:rPr>
        <w:t xml:space="preserve">DISTRICT OF NEVADA</w:t>
      </w:r>
    </w:p>
    <w:p/>
    <w:tbl>
      <w:tblPr>
        <w:tblW w:w="8640" w:type="dxa"/>
        <w:tblLayout w:type="fixed"/>
        <w:tblCellMar>
          <w:left w:w="0" w:type="dxa"/>
          <w:right w:w="0" w:type="dxa"/>
        </w:tblCellMar>
        <w:tblLook w:val="0000" w:firstRow="0" w:lastRow="0" w:firstColumn="0" w:lastColumn="0" w:noHBand="1" w:noVBand="1"/>
      </w:tblPr>
      <w:tblGrid>
        <w:gridCol w:w="4608"/>
        <w:gridCol w:w="288"/>
        <w:gridCol w:w="3744"/>
      </w:tblGrid>
      <w:tr>
        <w:trPr>
          <w:cantSplit/>
          <w:trHeight w:val="2310" w:hRule="atLeast"/>
        </w:trPr>
        <w:tc>
          <w:tcPr>
            <w:tcW w:w="4608" w:type="dxa"/>
            <w:tcBorders>
              <w:bottom w:val="single" w:sz="6" w:space="0" w:color="000000"/>
              <w:right w:val="single" w:sz="6" w:space="0" w:color="000000"/>
            </w:tcBorders>
            <w:tcMar>
              <w:right w:w="200" w:type="dxa"/>
            </w:tcMar>
          </w:tcPr>
          <w:p>
            <w:pPr>
              <w:pStyle w:val="PleadingCaption"/>
            </w:pPr>
            <w:r>
              <w:t xml:space="preserve">OSSIRIS LYNCH, an individual,</w:t>
            </w:r>
          </w:p>
          <w:p>
            <w:pPr>
              <w:pStyle w:val="PleadingDesignation"/>
            </w:pPr>
            <w:r>
              <w:t xml:space="preserve">Plaintiff,</w:t>
            </w:r>
          </w:p>
          <w:p>
            <w:pPr>
              <w:pStyle w:val="PleadingCaption"/>
            </w:pPr>
            <w:r>
              <w:t xml:space="preserve">vs.</w:t>
            </w:r>
          </w:p>
          <w:p>
            <w:pPr>
              <w:pStyle w:val="PleadingCaption"/>
            </w:pPr>
            <w:r>
              <w:t xml:space="preserve">GRANBURY AT VALLEY VISTA HOMEOWNERS ASSOCIATION, a Nevada corporation; DOES I-X, ROE ENTITIES I-X,</w:t>
            </w:r>
          </w:p>
          <w:p>
            <w:pPr>
              <w:pStyle w:val="PleadingDesignation"/>
            </w:pPr>
            <w:r>
              <w:t xml:space="preserve">Defendants.</w:t>
            </w:r>
          </w:p>
        </w:tc>
        <w:tc>
          <w:tcPr>
            <w:tcW w:w="288" w:type="dxa"/>
          </w:tcPr>
          <w:p/>
        </w:tc>
        <w:tc>
          <w:tcPr>
            <w:tcW w:w="3744" w:type="dxa"/>
            <w:tcMar>
              <w:left w:w="144" w:type="dxa"/>
            </w:tcMar>
          </w:tcPr>
          <w:p>
            <w:pPr>
              <w:pStyle w:val="PleadingCaption"/>
            </w:pPr>
            <w:r>
              <w:t xml:space="preserve">Case No.: 2:26-cv-00895-APG-EJY</w:t>
            </w:r>
          </w:p>
          <w:p>
            <w:pPr>
              <w:spacing w:before="0" w:after="0" w:line="231" w:lineRule="exact"/>
            </w:pPr>
          </w:p>
          <w:p>
            <w:pPr>
              <w:pStyle w:val="PleadingCaption"/>
            </w:pPr>
            <w:r>
              <w:rPr>
                <w:b/>
                <w:bCs/>
              </w:rPr>
              <w:t xml:space="preserve">DEFENDANT GRANBURY AT VALLEY VISTA HOMEOWNERS ASSOCIATION’S MOTION TO DISMISS FIRST AMENDED COMPLAINT [ECF NO. 1-1]</w:t>
            </w:r>
          </w:p>
        </w:tc>
      </w:tr>
    </w:tbl>
    <w:p/>
    <w:p>
      <w:pPr>
        <w:pStyle w:val="PleadingBody"/>
      </w:pPr>
      <w:r>
        <w:t xml:space="preserve">Defendant Granbury at Valley Vista Homeowners Association (</w:t>
      </w:r>
      <w:r>
        <w:t xml:space="preserve">“Granbury”</w:t>
      </w:r>
      <w:r>
        <w:t xml:space="preserve">), by and through its attorney, Inku Nam, Esq. of O’HAGAN MEYER PLLC, and pursuant to Fed. R. Civ. P. 12(b)(6) moves to dismiss Plaintiff’s First Amended Complaint [ECF No. 1-1].</w:t>
      </w:r>
    </w:p>
    <w:p>
      <w:pPr>
        <w:pStyle w:val="PleadingBody"/>
      </w:pPr>
      <w:r>
        <w:t xml:space="preserve">This motion is made and is based on the following Memorandum of Points and Authorities and all pleadings and papers of record in this matter as well as those in the underlying and related Eighth Judicial District Court Case No. A-25-927483-C.</w:t>
      </w:r>
    </w:p>
    <w:p>
      <w:pPr>
        <w:pStyle w:val="Heading1"/>
      </w:pPr>
      <w:bookmarkStart w:id="111" w:name="_f4ef98af7c82cf010216b4a82f7e6c235dd4d38"/>
      <w:r>
        <w:t xml:space="preserve">MEMORANDUM OF POINTS AND AUTHORITIES</w:t>
      </w:r>
      <w:bookmarkEnd w:id="111"/>
    </w:p>
    <w:p>
      <w:pPr>
        <w:pStyle w:val="Heading2"/>
      </w:pPr>
      <w:bookmarkStart w:id="112" w:name="_f990d51b53e36c17355a6666bd6589b8aa26857"/>
      <w:r>
        <w:t xml:space="preserve">I. INTRODUCTION</w:t>
      </w:r>
      <w:bookmarkEnd w:id="112"/>
    </w:p>
    <w:p>
      <w:pPr>
        <w:pStyle w:val="Heading3"/>
      </w:pPr>
      <w:bookmarkStart w:id="113" w:name="_35a64b14d9e04617684573506e3bbcc89b6a74e"/>
      <w:r>
        <w:t xml:space="preserve">A. Prior Litigation, Remand and First Amended Complaint Realleging Federal Claim</w:t>
      </w:r>
      <w:bookmarkEnd w:id="113"/>
    </w:p>
    <w:p>
      <w:pPr>
        <w:pStyle w:val="PleadingBody"/>
      </w:pPr>
      <w:r>
        <w:t xml:space="preserve">Plaintiff Ossiris Lynch (</w:t>
      </w:r>
      <w:r>
        <w:t xml:space="preserve">“Plaintiff”</w:t>
      </w:r>
      <w:r>
        <w:t xml:space="preserve">) originally filed this lawsuit on September 8, 2025, proceeding</w:t>
      </w:r>
      <w:r>
        <w:t xml:space="preserve"> </w:t>
      </w:r>
      <w:r>
        <w:rPr>
          <w:i/>
          <w:iCs/>
        </w:rPr>
        <w:t xml:space="preserve">pro se</w:t>
      </w:r>
      <w:r>
        <w:t xml:space="preserve">, in the District Court of Clark County. On October 13, 2025, Granbury filed a timely notice of removal to this Honorable Court. [</w:t>
      </w:r>
      <w:r>
        <w:rPr>
          <w:i/>
          <w:iCs/>
        </w:rPr>
        <w:t xml:space="preserve">See Lynch v. Granbury at Valley Vista Homeowners Ass’n</w:t>
      </w:r>
      <w:r>
        <w:t xml:space="preserve">, No. 2:25-cv-01959 (hereinafter the</w:t>
      </w:r>
      <w:r>
        <w:t xml:space="preserve"> </w:t>
      </w:r>
      <w:r>
        <w:t xml:space="preserve">“Prior Action”</w:t>
      </w:r>
      <w:r>
        <w:t xml:space="preserve">), ECF No. 1.]</w:t>
      </w:r>
    </w:p>
    <w:p>
      <w:pPr>
        <w:pStyle w:val="PleadingBody"/>
      </w:pPr>
      <w:r>
        <w:t xml:space="preserve">On October 20, 2025, Granbury filed a motion to dismiss the Prior Action. [</w:t>
      </w:r>
      <w:r>
        <w:rPr>
          <w:i/>
          <w:iCs/>
        </w:rPr>
        <w:t xml:space="preserve">See</w:t>
      </w:r>
      <w:r>
        <w:t xml:space="preserve"> </w:t>
      </w:r>
      <w:r>
        <w:t xml:space="preserve">the Prior Action, ECF No. 5.] On October 20, 2025, Plaintiff filed a motion to remand to state court (the</w:t>
      </w:r>
      <w:r>
        <w:t xml:space="preserve"> </w:t>
      </w:r>
      <w:r>
        <w:t xml:space="preserve">“Remand Motion”</w:t>
      </w:r>
      <w:r>
        <w:t xml:space="preserve">), purporting to withdraw his claim under the Fair Housing Act (which was the basis for removal). [</w:t>
      </w:r>
      <w:r>
        <w:rPr>
          <w:i/>
          <w:iCs/>
        </w:rPr>
        <w:t xml:space="preserve">See</w:t>
      </w:r>
      <w:r>
        <w:t xml:space="preserve"> </w:t>
      </w:r>
      <w:r>
        <w:t xml:space="preserve">the Prior Action, ECF No. 8.] On December 8, 2025, following Granbury’s opposition to the Remand Motion, this Honorable Court granted the Remand Motion by accepting Plaintiff’s voluntary dismissal of his sole federal claim made pursuant to the Fair Housing Act (42 U.S.C. § 3617). [</w:t>
      </w:r>
      <w:r>
        <w:rPr>
          <w:i/>
          <w:iCs/>
        </w:rPr>
        <w:t xml:space="preserve">See</w:t>
      </w:r>
      <w:r>
        <w:t xml:space="preserve"> </w:t>
      </w:r>
      <w:r>
        <w:t xml:space="preserve">the Prior Action, ECF No. 20.]</w:t>
      </w:r>
    </w:p>
    <w:p>
      <w:pPr>
        <w:pStyle w:val="PleadingBody"/>
      </w:pPr>
      <w:r>
        <w:t xml:space="preserve">On February 24, 2026, Plaintiff filed his First Amended Complaint (</w:t>
      </w:r>
      <w:r>
        <w:t xml:space="preserve">“FAC”</w:t>
      </w:r>
      <w:r>
        <w:t xml:space="preserve">) and realleged the federal claim made pursuant to the Fair Housing Act (42 U.S.C. § 3617). [</w:t>
      </w:r>
      <w:r>
        <w:rPr>
          <w:i/>
          <w:iCs/>
        </w:rPr>
        <w:t xml:space="preserve">See</w:t>
      </w:r>
      <w:r>
        <w:t xml:space="preserve"> </w:t>
      </w:r>
      <w:r>
        <w:t xml:space="preserve">ECF No. 1-1, FAC, Second Cause of Action.] Accordingly, on March 25, 2026, Granbury again removed this dispute to this Court. [ECF No. 1.]</w:t>
      </w:r>
    </w:p>
    <w:p>
      <w:pPr>
        <w:pStyle w:val="Heading3"/>
      </w:pPr>
      <w:bookmarkStart w:id="114" w:name="_5f024870f8c97860e9c103a96e6bc6b452ec99f"/>
      <w:r>
        <w:t xml:space="preserve">B. Motion to Dismiss First Amended Complaint</w:t>
      </w:r>
      <w:bookmarkEnd w:id="114"/>
    </w:p>
    <w:p>
      <w:pPr>
        <w:pStyle w:val="PleadingBody"/>
      </w:pPr>
      <w:r>
        <w:t xml:space="preserve">Plaintiff’s FAC lacks sufficient allegations to support his claims for (1) Retaliation under NRS 116.31183, (2) Violation of 42 U.S.C. § 3617, (3) Breach of Fiduciary Duty, and (4) Intentional Infliction of Emotional Distress. As detailed within, Plaintiff’s claims should be dismissed for failure to state a claim pursuant to Fed. R. Civ. P. 12(b)(5).</w:t>
      </w:r>
    </w:p>
    <w:p>
      <w:pPr>
        <w:pStyle w:val="Heading2"/>
      </w:pPr>
      <w:bookmarkStart w:id="115" w:name="_3256b3c1a723b35bb07287802b198fefe2ca0fe"/>
      <w:r>
        <w:t xml:space="preserve">II. PLAINTIFF’S FAC SHOULD BE DISMISSED FOR FAILURE TO STATE A CLAIM</w:t>
      </w:r>
      <w:bookmarkEnd w:id="115"/>
    </w:p>
    <w:p>
      <w:pPr>
        <w:pStyle w:val="PleadingBody"/>
      </w:pPr>
      <w:r>
        <w:t xml:space="preserve">This Motion to Dismiss is brought pursuant to FRCP 12(b)(6):</w:t>
      </w:r>
    </w:p>
    <w:tbl>
      <w:tblPr>
        <w:tblW w:w="7200" w:type="dxa"/>
        <w:tblInd w:w="720" w:type="dxa"/>
        <w:tblLayout w:type="fixed"/>
        <w:tblCellMar>
          <w:left w:w="0" w:type="dxa"/>
          <w:right w:w="0" w:type="dxa"/>
        </w:tblCellMar>
        <w:tblLook w:val="0000" w:firstRow="0" w:lastRow="0" w:firstColumn="0" w:lastColumn="0" w:noHBand="1" w:noVBand="1"/>
      </w:tblPr>
      <w:tblGrid>
        <w:gridCol w:w="7200"/>
      </w:tblGrid>
      <w:tr>
        <w:trPr>
          <w:trHeight w:val="2772" w:hRule="atLeast"/>
        </w:trPr>
        <w:tc>
          <w:tcPr>
            <w:tcW w:w="7200" w:type="dxa"/>
          </w:tcPr>
          <w:p>
            <w:pPr>
              <w:pStyle w:val="PleadingHanging"/>
            </w:pPr>
            <w:r>
              <w:t xml:space="preserve">(b)</w:t>
            </w:r>
            <w:r>
              <w:t xml:space="preserve"> </w:t>
            </w:r>
            <w:r>
              <w:t xml:space="preserve">How</w:t>
            </w:r>
            <w:r>
              <w:t xml:space="preserve"> </w:t>
            </w:r>
            <w:r>
              <w:t xml:space="preserve">to</w:t>
            </w:r>
            <w:r>
              <w:t xml:space="preserve"> </w:t>
            </w:r>
            <w:r>
              <w:t xml:space="preserve">Present</w:t>
            </w:r>
            <w:r>
              <w:t xml:space="preserve"> </w:t>
            </w:r>
            <w:r>
              <w:t xml:space="preserve">Defenses.</w:t>
            </w:r>
            <w:r>
              <w:t xml:space="preserve"> </w:t>
            </w:r>
            <w:r>
              <w:t xml:space="preserve">Every</w:t>
            </w:r>
            <w:r>
              <w:t xml:space="preserve"> </w:t>
            </w:r>
            <w:r>
              <w:t xml:space="preserve">defense</w:t>
            </w:r>
            <w:r>
              <w:t xml:space="preserve"> </w:t>
            </w:r>
            <w:r>
              <w:t xml:space="preserve">to</w:t>
            </w:r>
            <w:r>
              <w:t xml:space="preserve"> </w:t>
            </w:r>
            <w:r>
              <w:t xml:space="preserve">a</w:t>
            </w:r>
            <w:r>
              <w:t xml:space="preserve"> </w:t>
            </w:r>
            <w:r>
              <w:t xml:space="preserve">claim</w:t>
            </w:r>
            <w:r>
              <w:t xml:space="preserve"> </w:t>
            </w:r>
            <w:r>
              <w:t xml:space="preserve">for</w:t>
            </w:r>
            <w:r>
              <w:t xml:space="preserve"> </w:t>
            </w:r>
            <w:r>
              <w:t xml:space="preserve">relief</w:t>
            </w:r>
            <w:r>
              <w:t xml:space="preserve"> </w:t>
            </w:r>
            <w:r>
              <w:t xml:space="preserve">in</w:t>
            </w:r>
            <w:r>
              <w:t xml:space="preserve"> </w:t>
            </w:r>
            <w:r>
              <w:t xml:space="preserve">any</w:t>
            </w:r>
            <w:r>
              <w:t xml:space="preserve"> </w:t>
            </w:r>
            <w:r>
              <w:t xml:space="preserve">pleading</w:t>
            </w:r>
            <w:r>
              <w:t xml:space="preserve"> </w:t>
            </w:r>
            <w:r>
              <w:t xml:space="preserve">must</w:t>
            </w:r>
            <w:r>
              <w:t xml:space="preserve"> </w:t>
            </w:r>
            <w:r>
              <w:t xml:space="preserve">be</w:t>
            </w:r>
            <w:r>
              <w:t xml:space="preserve"> </w:t>
            </w:r>
            <w:r>
              <w:t xml:space="preserve">asserted</w:t>
            </w:r>
            <w:r>
              <w:t xml:space="preserve"> </w:t>
            </w:r>
            <w:r>
              <w:t xml:space="preserve">in</w:t>
            </w:r>
            <w:r>
              <w:t xml:space="preserve"> </w:t>
            </w:r>
            <w:r>
              <w:t xml:space="preserve">the</w:t>
            </w:r>
            <w:r>
              <w:t xml:space="preserve"> </w:t>
            </w:r>
            <w:r>
              <w:t xml:space="preserve">responsive</w:t>
            </w:r>
            <w:r>
              <w:t xml:space="preserve"> </w:t>
            </w:r>
            <w:r>
              <w:t xml:space="preserve">pleading</w:t>
            </w:r>
            <w:r>
              <w:t xml:space="preserve"> </w:t>
            </w:r>
            <w:r>
              <w:t xml:space="preserve">if</w:t>
            </w:r>
            <w:r>
              <w:t xml:space="preserve"> </w:t>
            </w:r>
            <w:r>
              <w:t xml:space="preserve">one</w:t>
            </w:r>
            <w:r>
              <w:t xml:space="preserve"> </w:t>
            </w:r>
            <w:r>
              <w:t xml:space="preserve">is</w:t>
            </w:r>
            <w:r>
              <w:t xml:space="preserve"> </w:t>
            </w:r>
            <w:r>
              <w:t xml:space="preserve">required.</w:t>
            </w:r>
            <w:r>
              <w:t xml:space="preserve"> </w:t>
            </w:r>
            <w:r>
              <w:t xml:space="preserve">But</w:t>
            </w:r>
            <w:r>
              <w:t xml:space="preserve"> </w:t>
            </w:r>
            <w:r>
              <w:t xml:space="preserve">a</w:t>
            </w:r>
            <w:r>
              <w:t xml:space="preserve"> </w:t>
            </w:r>
            <w:r>
              <w:t xml:space="preserve">party</w:t>
            </w:r>
            <w:r>
              <w:t xml:space="preserve"> </w:t>
            </w:r>
            <w:r>
              <w:t xml:space="preserve">may</w:t>
            </w:r>
            <w:r>
              <w:t xml:space="preserve"> </w:t>
            </w:r>
            <w:r>
              <w:t xml:space="preserve">assert</w:t>
            </w:r>
            <w:r>
              <w:t xml:space="preserve"> </w:t>
            </w:r>
            <w:r>
              <w:t xml:space="preserve">the</w:t>
            </w:r>
            <w:r>
              <w:t xml:space="preserve"> </w:t>
            </w:r>
            <w:r>
              <w:t xml:space="preserve">following</w:t>
            </w:r>
            <w:r>
              <w:t xml:space="preserve"> </w:t>
            </w:r>
            <w:r>
              <w:t xml:space="preserve">defenses</w:t>
            </w:r>
            <w:r>
              <w:t xml:space="preserve"> </w:t>
            </w:r>
            <w:r>
              <w:t xml:space="preserve">by</w:t>
            </w:r>
            <w:r>
              <w:t xml:space="preserve"> </w:t>
            </w:r>
            <w:r>
              <w:t xml:space="preserve">motion:</w:t>
            </w:r>
            <w:r>
              <w:t xml:space="preserve"> </w:t>
            </w:r>
            <w:r>
              <w:t xml:space="preserve">(1)</w:t>
            </w:r>
            <w:r>
              <w:t xml:space="preserve"> </w:t>
            </w:r>
            <w:r>
              <w:t xml:space="preserve">lack</w:t>
            </w:r>
            <w:r>
              <w:t xml:space="preserve"> </w:t>
            </w:r>
            <w:r>
              <w:t xml:space="preserve">of</w:t>
            </w:r>
            <w:r>
              <w:t xml:space="preserve"> </w:t>
            </w:r>
            <w:r>
              <w:t xml:space="preserve">subject-matter</w:t>
            </w:r>
            <w:r>
              <w:t xml:space="preserve"> </w:t>
            </w:r>
            <w:r>
              <w:t xml:space="preserve">jurisdiction;</w:t>
            </w:r>
            <w:r>
              <w:t xml:space="preserve"> </w:t>
            </w:r>
            <w:r>
              <w:t xml:space="preserve">(2)</w:t>
            </w:r>
            <w:r>
              <w:t xml:space="preserve"> </w:t>
            </w:r>
            <w:r>
              <w:t xml:space="preserve">lack</w:t>
            </w:r>
            <w:r>
              <w:t xml:space="preserve"> </w:t>
            </w:r>
            <w:r>
              <w:t xml:space="preserve">of</w:t>
            </w:r>
            <w:r>
              <w:t xml:space="preserve"> </w:t>
            </w:r>
            <w:r>
              <w:t xml:space="preserve">personal</w:t>
            </w:r>
            <w:r>
              <w:t xml:space="preserve"> </w:t>
            </w:r>
            <w:r>
              <w:t xml:space="preserve">jurisdiction;</w:t>
            </w:r>
            <w:r>
              <w:t xml:space="preserve"> </w:t>
            </w:r>
            <w:r>
              <w:t xml:space="preserve">(3)</w:t>
            </w:r>
            <w:r>
              <w:t xml:space="preserve"> </w:t>
            </w:r>
            <w:r>
              <w:t xml:space="preserve">improper</w:t>
            </w:r>
            <w:r>
              <w:t xml:space="preserve"> </w:t>
            </w:r>
            <w:r>
              <w:t xml:space="preserve">venue;</w:t>
            </w:r>
            <w:r>
              <w:t xml:space="preserve"> </w:t>
            </w:r>
            <w:r>
              <w:t xml:space="preserve">(4)</w:t>
            </w:r>
            <w:r>
              <w:t xml:space="preserve"> </w:t>
            </w:r>
            <w:r>
              <w:t xml:space="preserve">insufficient</w:t>
            </w:r>
            <w:r>
              <w:t xml:space="preserve"> </w:t>
            </w:r>
            <w:r>
              <w:t xml:space="preserve">process;</w:t>
            </w:r>
            <w:r>
              <w:t xml:space="preserve"> </w:t>
            </w:r>
            <w:r>
              <w:t xml:space="preserve">(5)</w:t>
            </w:r>
            <w:r>
              <w:t xml:space="preserve"> </w:t>
            </w:r>
            <w:r>
              <w:t xml:space="preserve">insufficient</w:t>
            </w:r>
            <w:r>
              <w:t xml:space="preserve"> </w:t>
            </w:r>
            <w:r>
              <w:t xml:space="preserve">service</w:t>
            </w:r>
            <w:r>
              <w:t xml:space="preserve"> </w:t>
            </w:r>
            <w:r>
              <w:t xml:space="preserve">of</w:t>
            </w:r>
            <w:r>
              <w:t xml:space="preserve"> </w:t>
            </w:r>
            <w:r>
              <w:t xml:space="preserve">process;</w:t>
            </w:r>
            <w:r>
              <w:t xml:space="preserve"> </w:t>
            </w:r>
            <w:r>
              <w:t xml:space="preserve">(6)</w:t>
            </w:r>
            <w:r>
              <w:t xml:space="preserve"> </w:t>
            </w:r>
            <w:r>
              <w:t xml:space="preserve">failure</w:t>
            </w:r>
            <w:r>
              <w:t xml:space="preserve"> </w:t>
            </w:r>
            <w:r>
              <w:t xml:space="preserve">to</w:t>
            </w:r>
            <w:r>
              <w:t xml:space="preserve"> </w:t>
            </w:r>
            <w:r>
              <w:t xml:space="preserve">state</w:t>
            </w:r>
            <w:r>
              <w:t xml:space="preserve"> </w:t>
            </w:r>
            <w:r>
              <w:t xml:space="preserve">a</w:t>
            </w:r>
            <w:r>
              <w:t xml:space="preserve"> </w:t>
            </w:r>
            <w:r>
              <w:t xml:space="preserve">claim</w:t>
            </w:r>
            <w:r>
              <w:t xml:space="preserve"> </w:t>
            </w:r>
            <w:r>
              <w:t xml:space="preserve">upon</w:t>
            </w:r>
            <w:r>
              <w:t xml:space="preserve"> </w:t>
            </w:r>
            <w:r>
              <w:t xml:space="preserve">which</w:t>
            </w:r>
            <w:r>
              <w:t xml:space="preserve"> </w:t>
            </w:r>
            <w:r>
              <w:t xml:space="preserve">relief</w:t>
            </w:r>
            <w:r>
              <w:t xml:space="preserve"> </w:t>
            </w:r>
            <w:r>
              <w:t xml:space="preserve">can</w:t>
            </w:r>
            <w:r>
              <w:t xml:space="preserve"> </w:t>
            </w:r>
            <w:r>
              <w:t xml:space="preserve">be</w:t>
            </w:r>
            <w:r>
              <w:t xml:space="preserve"> </w:t>
            </w:r>
            <w:r>
              <w:t xml:space="preserve">granted;</w:t>
            </w:r>
            <w:r>
              <w:t xml:space="preserve"> </w:t>
            </w:r>
            <w:r>
              <w:t xml:space="preserve">and</w:t>
            </w:r>
            <w:r>
              <w:t xml:space="preserve"> </w:t>
            </w:r>
            <w:r>
              <w:t xml:space="preserve">(7)</w:t>
            </w:r>
            <w:r>
              <w:t xml:space="preserve"> </w:t>
            </w:r>
            <w:r>
              <w:t xml:space="preserve">failure</w:t>
            </w:r>
            <w:r>
              <w:t xml:space="preserve"> </w:t>
            </w:r>
            <w:r>
              <w:t xml:space="preserve">to</w:t>
            </w:r>
            <w:r>
              <w:t xml:space="preserve"> </w:t>
            </w:r>
            <w:r>
              <w:t xml:space="preserve">join</w:t>
            </w:r>
            <w:r>
              <w:t xml:space="preserve"> </w:t>
            </w:r>
            <w:r>
              <w:t xml:space="preserve">a</w:t>
            </w:r>
            <w:r>
              <w:t xml:space="preserve"> </w:t>
            </w:r>
            <w:r>
              <w:t xml:space="preserve">party</w:t>
            </w:r>
            <w:r>
              <w:t xml:space="preserve"> </w:t>
            </w:r>
            <w:r>
              <w:t xml:space="preserve">under</w:t>
            </w:r>
            <w:r>
              <w:t xml:space="preserve"> </w:t>
            </w:r>
            <w:r>
              <w:t xml:space="preserve">Rule</w:t>
            </w:r>
            <w:r>
              <w:t xml:space="preserve"> </w:t>
            </w:r>
            <w:r>
              <w:t xml:space="preserve">19.</w:t>
            </w:r>
            <w:r>
              <w:t xml:space="preserve"> </w:t>
            </w:r>
            <w:r>
              <w:t xml:space="preserve">(Emphasis</w:t>
            </w:r>
            <w:r>
              <w:t xml:space="preserve"> </w:t>
            </w:r>
            <w:r>
              <w:t xml:space="preserve">Added).</w:t>
            </w:r>
          </w:p>
        </w:tc>
      </w:tr>
    </w:tbl>
    <w:p>
      <w:pPr>
        <w:pStyle w:val="PleadingBody"/>
      </w:pPr>
      <w:r>
        <w:t xml:space="preserve">The standards and authority for a motion to dismiss pursuant to FRCP 12(b)(6) are well established.</w:t>
      </w:r>
      <w:r>
        <w:t xml:space="preserve"> </w:t>
      </w:r>
      <w:r>
        <w:t xml:space="preserve">“Dismissal is appropriate under Rule 12(b)(6) when a pleader fails to state a claim upon which relief can be granted.”</w:t>
      </w:r>
      <w:r>
        <w:t xml:space="preserve"> </w:t>
      </w:r>
      <w:r>
        <w:rPr>
          <w:i/>
          <w:iCs/>
        </w:rPr>
        <w:t xml:space="preserve">Kaiser v. Wells Fargo Clearing Servs., LLC</w:t>
      </w:r>
      <w:r>
        <w:t xml:space="preserve">, 761 F. Supp. 3d 1336, 1341 (citing</w:t>
      </w:r>
      <w:r>
        <w:t xml:space="preserve"> </w:t>
      </w:r>
      <w:r>
        <w:rPr>
          <w:i/>
          <w:iCs/>
        </w:rPr>
        <w:t xml:space="preserve">Bell Atl. Corp. v. Twombly</w:t>
      </w:r>
      <w:r>
        <w:t xml:space="preserve">, 550 U.S. 544, 555, 127 S. Ct. 1955, 167 L. Ed. 2d 929 (2007).) However, the Court is not required to assume the truth of legal conclusions merely because they are cast in the form of factual allegations in the plaintiff’s complaint.</w:t>
      </w:r>
      <w:r>
        <w:t xml:space="preserve"> </w:t>
      </w:r>
      <w:r>
        <w:rPr>
          <w:i/>
          <w:iCs/>
        </w:rPr>
        <w:t xml:space="preserve">See Clegg v. Cult Awareness Network</w:t>
      </w:r>
      <w:r>
        <w:t xml:space="preserve">, 18 F.3d 752, 754-55 (9th Cir. 1994). Thus, in analyzing a plaintiff’s complaint, the Court need not assume the truth of their legal conclusions merely because they are cast in the form of factual allegations.</w:t>
      </w:r>
      <w:r>
        <w:t xml:space="preserve"> </w:t>
      </w:r>
      <w:r>
        <w:rPr>
          <w:i/>
          <w:iCs/>
        </w:rPr>
        <w:t xml:space="preserve">Ritzer v. Gerovicap Pharm. Corp.</w:t>
      </w:r>
      <w:r>
        <w:t xml:space="preserve">, 162 F.R.D. 642, 645 (D. Nev. 1995) (citing</w:t>
      </w:r>
      <w:r>
        <w:t xml:space="preserve"> </w:t>
      </w:r>
      <w:r>
        <w:rPr>
          <w:i/>
          <w:iCs/>
        </w:rPr>
        <w:t xml:space="preserve">Western Mining Counsel v. Watt</w:t>
      </w:r>
      <w:r>
        <w:t xml:space="preserve">, 643 F.2d 618, 624 (9th. Cir. 1981)), cert. denied, 454 U.S. (1981).</w:t>
      </w:r>
    </w:p>
    <w:p>
      <w:pPr>
        <w:pStyle w:val="PleadingBody"/>
      </w:pPr>
      <w:r>
        <w:t xml:space="preserve">As a general proposition, there is a strong presumption against dismissing an action for failure to state a claim.</w:t>
      </w:r>
      <w:r>
        <w:t xml:space="preserve"> </w:t>
      </w:r>
      <w:r>
        <w:rPr>
          <w:i/>
          <w:iCs/>
        </w:rPr>
        <w:t xml:space="preserve">Ileto v. Glock Inc.</w:t>
      </w:r>
      <w:r>
        <w:t xml:space="preserve">, 349 F. 3d 1191, 1200 (9th Cir. 2003).</w:t>
      </w:r>
      <w:r>
        <w:t xml:space="preserve"> </w:t>
      </w:r>
      <w:r>
        <w:t xml:space="preserve">“The issue is not whether a plaintiff will ultimately prevail but whether the claimant is entitled to offer evidence to support the claims.”</w:t>
      </w:r>
      <w:r>
        <w:t xml:space="preserve"> </w:t>
      </w:r>
      <w:r>
        <w:rPr>
          <w:i/>
          <w:iCs/>
        </w:rPr>
        <w:t xml:space="preserve">Hydrick v. Hunter</w:t>
      </w:r>
      <w:r>
        <w:t xml:space="preserve">, 500 F.3d 978, 985 (9th Cir. 2006) (quoting</w:t>
      </w:r>
      <w:r>
        <w:t xml:space="preserve"> </w:t>
      </w:r>
      <w:r>
        <w:rPr>
          <w:i/>
          <w:iCs/>
        </w:rPr>
        <w:t xml:space="preserve">Scheuer v. Rhodes</w:t>
      </w:r>
      <w:r>
        <w:t xml:space="preserve">, 416 U.S. 232, 236 (1974). Nevertheless, a plaintiff must make sufficient factual allegations to establish a plausible entitlement to relief.</w:t>
      </w:r>
      <w:r>
        <w:t xml:space="preserve"> </w:t>
      </w:r>
      <w:r>
        <w:rPr>
          <w:i/>
          <w:iCs/>
        </w:rPr>
        <w:t xml:space="preserve">Bell Atlantic Corp. v. Twombly</w:t>
      </w:r>
      <w:r>
        <w:t xml:space="preserve">, 550 U.S. 544, 127 S. Ct. 1955, 1965, 167 L. Ed. 2d 929 (2007). Such allegations must amount to</w:t>
      </w:r>
      <w:r>
        <w:t xml:space="preserve"> </w:t>
      </w:r>
      <w:r>
        <w:t xml:space="preserve">“more than labels and conclusions, [or] a formulaic recitation of the elements of a cause of action.”</w:t>
      </w:r>
      <w:r>
        <w:t xml:space="preserve"> </w:t>
      </w:r>
      <w:r>
        <w:rPr>
          <w:i/>
          <w:iCs/>
        </w:rPr>
        <w:t xml:space="preserve">Id.</w:t>
      </w:r>
      <w:r>
        <w:t xml:space="preserve"> </w:t>
      </w:r>
      <w:r>
        <w:t xml:space="preserve">at 1964-65. The complaint must contain sufficient factual matter to</w:t>
      </w:r>
      <w:r>
        <w:t xml:space="preserve"> </w:t>
      </w:r>
      <w:r>
        <w:t xml:space="preserve">“state a claim to relief that is plausible on its face.”</w:t>
      </w:r>
      <w:r>
        <w:t xml:space="preserve"> </w:t>
      </w:r>
      <w:r>
        <w:rPr>
          <w:i/>
          <w:iCs/>
        </w:rPr>
        <w:t xml:space="preserve">Ashcroft v. Iqbal</w:t>
      </w:r>
      <w:r>
        <w:t xml:space="preserve">, 566 U.S. 662, 129 S. Ct. 1937, 1949, 173 L. Ed. 2d 868 (2009) (internal citation omitted).</w:t>
      </w:r>
    </w:p>
    <w:p>
      <w:pPr>
        <w:pStyle w:val="PleadingBody"/>
      </w:pPr>
      <w:r>
        <w:t xml:space="preserve">Further, the Court in</w:t>
      </w:r>
      <w:r>
        <w:t xml:space="preserve"> </w:t>
      </w:r>
      <w:r>
        <w:rPr>
          <w:i/>
          <w:iCs/>
        </w:rPr>
        <w:t xml:space="preserve">Iqbal</w:t>
      </w:r>
      <w:r>
        <w:t xml:space="preserve"> </w:t>
      </w:r>
      <w:r>
        <w:t xml:space="preserve">indicated that the</w:t>
      </w:r>
      <w:r>
        <w:t xml:space="preserve"> </w:t>
      </w:r>
      <w:r>
        <w:rPr>
          <w:i/>
          <w:iCs/>
        </w:rPr>
        <w:t xml:space="preserve">Twombly</w:t>
      </w:r>
      <w:r>
        <w:t xml:space="preserve"> </w:t>
      </w:r>
      <w:r>
        <w:t xml:space="preserve">decision</w:t>
      </w:r>
      <w:r>
        <w:t xml:space="preserve"> </w:t>
      </w:r>
      <w:r>
        <w:t xml:space="preserve">“expounded the pleading standard for</w:t>
      </w:r>
      <w:r>
        <w:t xml:space="preserve"> </w:t>
      </w:r>
      <w:r>
        <w:t xml:space="preserve">‘all civil action[s] . . .’</w:t>
      </w:r>
      <w:r>
        <w:t xml:space="preserve">”</w:t>
      </w:r>
      <w:r>
        <w:t xml:space="preserve"> </w:t>
      </w:r>
      <w:r>
        <w:rPr>
          <w:i/>
          <w:iCs/>
        </w:rPr>
        <w:t xml:space="preserve">Id.</w:t>
      </w:r>
      <w:r>
        <w:t xml:space="preserve"> </w:t>
      </w:r>
      <w:r>
        <w:t xml:space="preserve">at 1953. Also in</w:t>
      </w:r>
      <w:r>
        <w:t xml:space="preserve"> </w:t>
      </w:r>
      <w:r>
        <w:rPr>
          <w:i/>
          <w:iCs/>
        </w:rPr>
        <w:t xml:space="preserve">Iqbal</w:t>
      </w:r>
      <w:r>
        <w:t xml:space="preserve">, the Court laid out the methodological approach for assessing the adequacy of a plaintiff’s complaint:</w:t>
      </w:r>
    </w:p>
    <w:tbl>
      <w:tblPr>
        <w:tblW w:w="7200" w:type="dxa"/>
        <w:tblInd w:w="720" w:type="dxa"/>
        <w:tblLayout w:type="fixed"/>
        <w:tblCellMar>
          <w:left w:w="0" w:type="dxa"/>
          <w:right w:w="0" w:type="dxa"/>
        </w:tblCellMar>
        <w:tblLook w:val="0000" w:firstRow="0" w:lastRow="0" w:firstColumn="0" w:lastColumn="0" w:noHBand="1" w:noVBand="1"/>
      </w:tblPr>
      <w:tblGrid>
        <w:gridCol w:w="7200"/>
      </w:tblGrid>
      <w:tr>
        <w:trPr>
          <w:trHeight w:val="2772" w:hRule="atLeast"/>
        </w:trPr>
        <w:tc>
          <w:tcPr>
            <w:tcW w:w="7200" w:type="dxa"/>
          </w:tcPr>
          <w:p>
            <w:pPr>
              <w:pStyle w:val="PleadingCaption"/>
            </w:pPr>
            <w:r>
              <w:t xml:space="preserve">“</w:t>
            </w:r>
            <w:r>
              <w:t xml:space="preserve">[A]</w:t>
            </w:r>
            <w:r>
              <w:t xml:space="preserve"> </w:t>
            </w:r>
            <w:r>
              <w:t xml:space="preserve">court</w:t>
            </w:r>
            <w:r>
              <w:t xml:space="preserve"> </w:t>
            </w:r>
            <w:r>
              <w:t xml:space="preserve">considering</w:t>
            </w:r>
            <w:r>
              <w:t xml:space="preserve"> </w:t>
            </w:r>
            <w:r>
              <w:t xml:space="preserve">a</w:t>
            </w:r>
            <w:r>
              <w:t xml:space="preserve"> </w:t>
            </w:r>
            <w:r>
              <w:t xml:space="preserve">motion</w:t>
            </w:r>
            <w:r>
              <w:t xml:space="preserve"> </w:t>
            </w:r>
            <w:r>
              <w:t xml:space="preserve">to</w:t>
            </w:r>
            <w:r>
              <w:t xml:space="preserve"> </w:t>
            </w:r>
            <w:r>
              <w:t xml:space="preserve">dismiss</w:t>
            </w:r>
            <w:r>
              <w:t xml:space="preserve"> </w:t>
            </w:r>
            <w:r>
              <w:t xml:space="preserve">can</w:t>
            </w:r>
            <w:r>
              <w:t xml:space="preserve"> </w:t>
            </w:r>
            <w:r>
              <w:t xml:space="preserve">choose</w:t>
            </w:r>
            <w:r>
              <w:t xml:space="preserve"> </w:t>
            </w:r>
            <w:r>
              <w:t xml:space="preserve">to</w:t>
            </w:r>
            <w:r>
              <w:t xml:space="preserve"> </w:t>
            </w:r>
            <w:r>
              <w:t xml:space="preserve">begin</w:t>
            </w:r>
            <w:r>
              <w:t xml:space="preserve"> </w:t>
            </w:r>
            <w:r>
              <w:t xml:space="preserve">by</w:t>
            </w:r>
            <w:r>
              <w:t xml:space="preserve"> </w:t>
            </w:r>
            <w:r>
              <w:t xml:space="preserve">identifying</w:t>
            </w:r>
            <w:r>
              <w:t xml:space="preserve"> </w:t>
            </w:r>
            <w:r>
              <w:t xml:space="preserve">pleadings</w:t>
            </w:r>
            <w:r>
              <w:t xml:space="preserve"> </w:t>
            </w:r>
            <w:r>
              <w:t xml:space="preserve">that,</w:t>
            </w:r>
            <w:r>
              <w:t xml:space="preserve"> </w:t>
            </w:r>
            <w:r>
              <w:t xml:space="preserve">because</w:t>
            </w:r>
            <w:r>
              <w:t xml:space="preserve"> </w:t>
            </w:r>
            <w:r>
              <w:t xml:space="preserve">they</w:t>
            </w:r>
            <w:r>
              <w:t xml:space="preserve"> </w:t>
            </w:r>
            <w:r>
              <w:t xml:space="preserve">are</w:t>
            </w:r>
            <w:r>
              <w:t xml:space="preserve"> </w:t>
            </w:r>
            <w:r>
              <w:t xml:space="preserve">no</w:t>
            </w:r>
            <w:r>
              <w:t xml:space="preserve"> </w:t>
            </w:r>
            <w:r>
              <w:t xml:space="preserve">more</w:t>
            </w:r>
            <w:r>
              <w:t xml:space="preserve"> </w:t>
            </w:r>
            <w:r>
              <w:t xml:space="preserve">than</w:t>
            </w:r>
            <w:r>
              <w:t xml:space="preserve"> </w:t>
            </w:r>
            <w:r>
              <w:t xml:space="preserve">conclusions,</w:t>
            </w:r>
            <w:r>
              <w:t xml:space="preserve"> </w:t>
            </w:r>
            <w:r>
              <w:t xml:space="preserve">are</w:t>
            </w:r>
            <w:r>
              <w:t xml:space="preserve"> </w:t>
            </w:r>
            <w:r>
              <w:t xml:space="preserve">not</w:t>
            </w:r>
            <w:r>
              <w:t xml:space="preserve"> </w:t>
            </w:r>
            <w:r>
              <w:t xml:space="preserve">entitled</w:t>
            </w:r>
            <w:r>
              <w:t xml:space="preserve"> </w:t>
            </w:r>
            <w:r>
              <w:t xml:space="preserve">to</w:t>
            </w:r>
            <w:r>
              <w:t xml:space="preserve"> </w:t>
            </w:r>
            <w:r>
              <w:t xml:space="preserve">the</w:t>
            </w:r>
            <w:r>
              <w:t xml:space="preserve"> </w:t>
            </w:r>
            <w:r>
              <w:t xml:space="preserve">assumption</w:t>
            </w:r>
            <w:r>
              <w:t xml:space="preserve"> </w:t>
            </w:r>
            <w:r>
              <w:t xml:space="preserve">of</w:t>
            </w:r>
            <w:r>
              <w:t xml:space="preserve"> </w:t>
            </w:r>
            <w:r>
              <w:t xml:space="preserve">truth.</w:t>
            </w:r>
            <w:r>
              <w:t xml:space="preserve"> </w:t>
            </w:r>
            <w:r>
              <w:t xml:space="preserve">While</w:t>
            </w:r>
            <w:r>
              <w:t xml:space="preserve"> </w:t>
            </w:r>
            <w:r>
              <w:t xml:space="preserve">legal</w:t>
            </w:r>
            <w:r>
              <w:t xml:space="preserve"> </w:t>
            </w:r>
            <w:r>
              <w:t xml:space="preserve">conclusions</w:t>
            </w:r>
            <w:r>
              <w:t xml:space="preserve"> </w:t>
            </w:r>
            <w:r>
              <w:t xml:space="preserve">can</w:t>
            </w:r>
            <w:r>
              <w:t xml:space="preserve"> </w:t>
            </w:r>
            <w:r>
              <w:t xml:space="preserve">provide</w:t>
            </w:r>
            <w:r>
              <w:t xml:space="preserve"> </w:t>
            </w:r>
            <w:r>
              <w:t xml:space="preserve">the</w:t>
            </w:r>
            <w:r>
              <w:t xml:space="preserve"> </w:t>
            </w:r>
            <w:r>
              <w:t xml:space="preserve">framework</w:t>
            </w:r>
            <w:r>
              <w:t xml:space="preserve"> </w:t>
            </w:r>
            <w:r>
              <w:t xml:space="preserve">of</w:t>
            </w:r>
            <w:r>
              <w:t xml:space="preserve"> </w:t>
            </w:r>
            <w:r>
              <w:t xml:space="preserve">a</w:t>
            </w:r>
            <w:r>
              <w:t xml:space="preserve"> </w:t>
            </w:r>
            <w:r>
              <w:t xml:space="preserve">complaint,</w:t>
            </w:r>
            <w:r>
              <w:t xml:space="preserve"> </w:t>
            </w:r>
            <w:r>
              <w:t xml:space="preserve">they</w:t>
            </w:r>
            <w:r>
              <w:t xml:space="preserve"> </w:t>
            </w:r>
            <w:r>
              <w:t xml:space="preserve">must</w:t>
            </w:r>
            <w:r>
              <w:t xml:space="preserve"> </w:t>
            </w:r>
            <w:r>
              <w:t xml:space="preserve">be</w:t>
            </w:r>
            <w:r>
              <w:t xml:space="preserve"> </w:t>
            </w:r>
            <w:r>
              <w:t xml:space="preserve">supported</w:t>
            </w:r>
            <w:r>
              <w:t xml:space="preserve"> </w:t>
            </w:r>
            <w:r>
              <w:t xml:space="preserve">by</w:t>
            </w:r>
            <w:r>
              <w:t xml:space="preserve"> </w:t>
            </w:r>
            <w:r>
              <w:t xml:space="preserve">factual</w:t>
            </w:r>
            <w:r>
              <w:t xml:space="preserve"> </w:t>
            </w:r>
            <w:r>
              <w:t xml:space="preserve">allegations.</w:t>
            </w:r>
            <w:r>
              <w:t xml:space="preserve"> </w:t>
            </w:r>
            <w:r>
              <w:t xml:space="preserve">When</w:t>
            </w:r>
            <w:r>
              <w:t xml:space="preserve"> </w:t>
            </w:r>
            <w:r>
              <w:t xml:space="preserve">there</w:t>
            </w:r>
            <w:r>
              <w:t xml:space="preserve"> </w:t>
            </w:r>
            <w:r>
              <w:t xml:space="preserve">are</w:t>
            </w:r>
            <w:r>
              <w:t xml:space="preserve"> </w:t>
            </w:r>
            <w:r>
              <w:t xml:space="preserve">well-pleaded</w:t>
            </w:r>
            <w:r>
              <w:t xml:space="preserve"> </w:t>
            </w:r>
            <w:r>
              <w:t xml:space="preserve">factual</w:t>
            </w:r>
            <w:r>
              <w:t xml:space="preserve"> </w:t>
            </w:r>
            <w:r>
              <w:t xml:space="preserve">allegations,</w:t>
            </w:r>
            <w:r>
              <w:t xml:space="preserve"> </w:t>
            </w:r>
            <w:r>
              <w:t xml:space="preserve">a</w:t>
            </w:r>
            <w:r>
              <w:t xml:space="preserve"> </w:t>
            </w:r>
            <w:r>
              <w:t xml:space="preserve">court</w:t>
            </w:r>
            <w:r>
              <w:t xml:space="preserve"> </w:t>
            </w:r>
            <w:r>
              <w:t xml:space="preserve">should</w:t>
            </w:r>
            <w:r>
              <w:t xml:space="preserve"> </w:t>
            </w:r>
            <w:r>
              <w:t xml:space="preserve">assume</w:t>
            </w:r>
            <w:r>
              <w:t xml:space="preserve"> </w:t>
            </w:r>
            <w:r>
              <w:t xml:space="preserve">their</w:t>
            </w:r>
            <w:r>
              <w:t xml:space="preserve"> </w:t>
            </w:r>
            <w:r>
              <w:t xml:space="preserve">veracity</w:t>
            </w:r>
            <w:r>
              <w:t xml:space="preserve"> </w:t>
            </w:r>
            <w:r>
              <w:t xml:space="preserve">and</w:t>
            </w:r>
            <w:r>
              <w:t xml:space="preserve"> </w:t>
            </w:r>
            <w:r>
              <w:t xml:space="preserve">then</w:t>
            </w:r>
            <w:r>
              <w:t xml:space="preserve"> </w:t>
            </w:r>
            <w:r>
              <w:t xml:space="preserve">determine</w:t>
            </w:r>
            <w:r>
              <w:t xml:space="preserve"> </w:t>
            </w:r>
            <w:r>
              <w:t xml:space="preserve">whether</w:t>
            </w:r>
            <w:r>
              <w:t xml:space="preserve"> </w:t>
            </w:r>
            <w:r>
              <w:t xml:space="preserve">they</w:t>
            </w:r>
            <w:r>
              <w:t xml:space="preserve"> </w:t>
            </w:r>
            <w:r>
              <w:t xml:space="preserve">plausibly</w:t>
            </w:r>
            <w:r>
              <w:t xml:space="preserve"> </w:t>
            </w:r>
            <w:r>
              <w:t xml:space="preserve">give</w:t>
            </w:r>
            <w:r>
              <w:t xml:space="preserve"> </w:t>
            </w:r>
            <w:r>
              <w:t xml:space="preserve">rise</w:t>
            </w:r>
            <w:r>
              <w:t xml:space="preserve"> </w:t>
            </w:r>
            <w:r>
              <w:t xml:space="preserve">to</w:t>
            </w:r>
            <w:r>
              <w:t xml:space="preserve"> </w:t>
            </w:r>
            <w:r>
              <w:t xml:space="preserve">an</w:t>
            </w:r>
            <w:r>
              <w:t xml:space="preserve"> </w:t>
            </w:r>
            <w:r>
              <w:t xml:space="preserve">entitlement</w:t>
            </w:r>
            <w:r>
              <w:t xml:space="preserve"> </w:t>
            </w:r>
            <w:r>
              <w:t xml:space="preserve">to</w:t>
            </w:r>
            <w:r>
              <w:t xml:space="preserve"> </w:t>
            </w:r>
            <w:r>
              <w:t xml:space="preserve">relief.</w:t>
            </w:r>
            <w:r>
              <w:t xml:space="preserve">”</w:t>
            </w:r>
          </w:p>
        </w:tc>
      </w:tr>
    </w:tbl>
    <w:p>
      <w:pPr>
        <w:pStyle w:val="PleadingBody"/>
      </w:pPr>
      <w:r>
        <w:rPr>
          <w:i/>
          <w:iCs/>
        </w:rPr>
        <w:t xml:space="preserve">Id.</w:t>
      </w:r>
      <w:r>
        <w:t xml:space="preserve"> </w:t>
      </w:r>
      <w:r>
        <w:t xml:space="preserve">at 1950.</w:t>
      </w:r>
    </w:p>
    <w:p>
      <w:pPr>
        <w:pStyle w:val="PleadingBody"/>
      </w:pPr>
      <w:r>
        <w:t xml:space="preserve">“A claim has facial plausibility when the plaintiff pleads factual content that allows the court to draw the reasonable inference that the defendant is liable for the misconduct alleged.”</w:t>
      </w:r>
      <w:r>
        <w:t xml:space="preserve"> </w:t>
      </w:r>
      <w:r>
        <w:rPr>
          <w:i/>
          <w:iCs/>
        </w:rPr>
        <w:t xml:space="preserve">Id.</w:t>
      </w:r>
      <w:r>
        <w:t xml:space="preserve"> </w:t>
      </w:r>
      <w:r>
        <w:t xml:space="preserve">at 1949. And those well pleaded facts must go beyond the</w:t>
      </w:r>
      <w:r>
        <w:t xml:space="preserve"> </w:t>
      </w:r>
      <w:r>
        <w:t xml:space="preserve">“sheer possibility that a defendant has acted unlawfully”</w:t>
      </w:r>
      <w:r>
        <w:t xml:space="preserve"> </w:t>
      </w:r>
      <w:r>
        <w:t xml:space="preserve">or facts that are</w:t>
      </w:r>
      <w:r>
        <w:t xml:space="preserve"> </w:t>
      </w:r>
      <w:r>
        <w:t xml:space="preserve">“merely consistent with”</w:t>
      </w:r>
      <w:r>
        <w:t xml:space="preserve"> </w:t>
      </w:r>
      <w:r>
        <w:t xml:space="preserve">a defendant’s liability.</w:t>
      </w:r>
      <w:r>
        <w:t xml:space="preserve"> </w:t>
      </w:r>
      <w:r>
        <w:rPr>
          <w:i/>
          <w:iCs/>
        </w:rPr>
        <w:t xml:space="preserve">Id.</w:t>
      </w:r>
      <w:r>
        <w:t xml:space="preserve"> </w:t>
      </w:r>
      <w:r>
        <w:t xml:space="preserve">“Where a complaint pleads facts that are</w:t>
      </w:r>
      <w:r>
        <w:t xml:space="preserve"> </w:t>
      </w:r>
      <w:r>
        <w:t xml:space="preserve">‘merely consistent with’</w:t>
      </w:r>
      <w:r>
        <w:t xml:space="preserve"> </w:t>
      </w:r>
      <w:r>
        <w:t xml:space="preserve">a defendant’s liability, it . . . stops short of the line between possibility and plausibility of</w:t>
      </w:r>
      <w:r>
        <w:t xml:space="preserve"> </w:t>
      </w:r>
      <w:r>
        <w:t xml:space="preserve">‘entitlement to relief.’</w:t>
      </w:r>
      <w:r>
        <w:t xml:space="preserve">”</w:t>
      </w:r>
      <w:r>
        <w:t xml:space="preserve"> </w:t>
      </w:r>
      <w:r>
        <w:rPr>
          <w:i/>
          <w:iCs/>
        </w:rPr>
        <w:t xml:space="preserve">Id.</w:t>
      </w:r>
      <w:r>
        <w:t xml:space="preserve"> </w:t>
      </w:r>
      <w:r>
        <w:t xml:space="preserve">And while a court must accept all allegations as true, that tenant</w:t>
      </w:r>
      <w:r>
        <w:t xml:space="preserve"> </w:t>
      </w:r>
      <w:r>
        <w:t xml:space="preserve">“is inapplicable to legal conclusions. Threadbare recitals of the elements of a cause of action, supported by mere conclusory statements, do not suffice.”</w:t>
      </w:r>
      <w:r>
        <w:t xml:space="preserve"> </w:t>
      </w:r>
      <w:r>
        <w:rPr>
          <w:i/>
          <w:iCs/>
        </w:rPr>
        <w:t xml:space="preserve">Id.</w:t>
      </w:r>
      <w:r>
        <w:t xml:space="preserve"> </w:t>
      </w:r>
      <w:r>
        <w:t xml:space="preserve">And ultimately, Rule 8</w:t>
      </w:r>
      <w:r>
        <w:t xml:space="preserve"> </w:t>
      </w:r>
      <w:r>
        <w:t xml:space="preserve">“does not unlock the doors of discovery for a plaintiff armed with nothing more than mere conclusions.”</w:t>
      </w:r>
      <w:r>
        <w:t xml:space="preserve"> </w:t>
      </w:r>
      <w:r>
        <w:rPr>
          <w:i/>
          <w:iCs/>
        </w:rPr>
        <w:t xml:space="preserve">Id.</w:t>
      </w:r>
      <w:r>
        <w:t xml:space="preserve"> </w:t>
      </w:r>
      <w:r>
        <w:t xml:space="preserve">Dismissal is proper where there is either a</w:t>
      </w:r>
      <w:r>
        <w:t xml:space="preserve"> </w:t>
      </w:r>
      <w:r>
        <w:t xml:space="preserve">“lack of a cognizable legal theory”</w:t>
      </w:r>
      <w:r>
        <w:t xml:space="preserve"> </w:t>
      </w:r>
      <w:r>
        <w:t xml:space="preserve">or</w:t>
      </w:r>
      <w:r>
        <w:t xml:space="preserve"> </w:t>
      </w:r>
      <w:r>
        <w:t xml:space="preserve">“the absence of sufficient facts alleged under a cognizable legal theory.”</w:t>
      </w:r>
      <w:r>
        <w:t xml:space="preserve"> </w:t>
      </w:r>
      <w:r>
        <w:rPr>
          <w:i/>
          <w:iCs/>
        </w:rPr>
        <w:t xml:space="preserve">Balisteri v. Pacifica Police Dep’t</w:t>
      </w:r>
      <w:r>
        <w:t xml:space="preserve">, 901 F.2d 696, 699 (9th Cir. 1990).</w:t>
      </w:r>
    </w:p>
    <w:p>
      <w:pPr>
        <w:pStyle w:val="Heading3"/>
      </w:pPr>
      <w:bookmarkStart w:id="116" w:name="_0b032760bf4499c9bec32ba3c5b3da9b859360c"/>
      <w:r>
        <w:t xml:space="preserve">A. Plaintiff’s Claims For Retaliation Under NRS 116.31183 and Breach of Fiduciary Duty Should Be Dismissed For Failing To Allege Exhaustion Of All Administrative Remedies.</w:t>
      </w:r>
      <w:bookmarkEnd w:id="116"/>
    </w:p>
    <w:p>
      <w:pPr>
        <w:pStyle w:val="PleadingBody"/>
      </w:pPr>
      <w:r>
        <w:t xml:space="preserve">NRS 38.310 provides that a Plaintiff must exhaust all administrative remedies prior to filing an action.</w:t>
      </w:r>
    </w:p>
    <w:tbl>
      <w:tblPr>
        <w:tblW w:w="7200" w:type="dxa"/>
        <w:tblInd w:w="720" w:type="dxa"/>
        <w:tblLayout w:type="fixed"/>
        <w:tblCellMar>
          <w:left w:w="0" w:type="dxa"/>
          <w:right w:w="0" w:type="dxa"/>
        </w:tblCellMar>
        <w:tblLook w:val="0000" w:firstRow="0" w:lastRow="0" w:firstColumn="0" w:lastColumn="0" w:noHBand="1" w:noVBand="1"/>
      </w:tblPr>
      <w:tblGrid>
        <w:gridCol w:w="7200"/>
      </w:tblGrid>
      <w:tr>
        <w:trPr>
          <w:trHeight w:val="5544" w:hRule="atLeast"/>
        </w:trPr>
        <w:tc>
          <w:tcPr>
            <w:tcW w:w="7200" w:type="dxa"/>
          </w:tcPr>
          <w:p>
            <w:pPr>
              <w:pStyle w:val="PleadingHanging"/>
            </w:pPr>
            <w:r>
              <w:t xml:space="preserve">1.</w:t>
            </w:r>
            <w:r>
              <w:t xml:space="preserve"> </w:t>
            </w:r>
            <w:r>
              <w:t xml:space="preserve">No</w:t>
            </w:r>
            <w:r>
              <w:t xml:space="preserve"> </w:t>
            </w:r>
            <w:r>
              <w:t xml:space="preserve">civil</w:t>
            </w:r>
            <w:r>
              <w:t xml:space="preserve"> </w:t>
            </w:r>
            <w:r>
              <w:t xml:space="preserve">action</w:t>
            </w:r>
            <w:r>
              <w:t xml:space="preserve"> </w:t>
            </w:r>
            <w:r>
              <w:t xml:space="preserve">based</w:t>
            </w:r>
            <w:r>
              <w:t xml:space="preserve"> </w:t>
            </w:r>
            <w:r>
              <w:t xml:space="preserve">upon</w:t>
            </w:r>
            <w:r>
              <w:t xml:space="preserve"> </w:t>
            </w:r>
            <w:r>
              <w:t xml:space="preserve">a</w:t>
            </w:r>
            <w:r>
              <w:t xml:space="preserve"> </w:t>
            </w:r>
            <w:r>
              <w:t xml:space="preserve">claim</w:t>
            </w:r>
            <w:r>
              <w:t xml:space="preserve"> </w:t>
            </w:r>
            <w:r>
              <w:t xml:space="preserve">relating</w:t>
            </w:r>
            <w:r>
              <w:t xml:space="preserve"> </w:t>
            </w:r>
            <w:r>
              <w:t xml:space="preserve">to:</w:t>
            </w:r>
            <w:r>
              <w:t xml:space="preserve"> </w:t>
            </w:r>
            <w:r>
              <w:t xml:space="preserve">(a)</w:t>
            </w:r>
            <w:r>
              <w:t xml:space="preserve"> </w:t>
            </w:r>
            <w:r>
              <w:t xml:space="preserve">The</w:t>
            </w:r>
            <w:r>
              <w:t xml:space="preserve"> </w:t>
            </w:r>
            <w:r>
              <w:t xml:space="preserve">interpretation,</w:t>
            </w:r>
            <w:r>
              <w:t xml:space="preserve"> </w:t>
            </w:r>
            <w:r>
              <w:t xml:space="preserve">application</w:t>
            </w:r>
            <w:r>
              <w:t xml:space="preserve"> </w:t>
            </w:r>
            <w:r>
              <w:t xml:space="preserve">or</w:t>
            </w:r>
            <w:r>
              <w:t xml:space="preserve"> </w:t>
            </w:r>
            <w:r>
              <w:t xml:space="preserve">enforcement</w:t>
            </w:r>
            <w:r>
              <w:t xml:space="preserve"> </w:t>
            </w:r>
            <w:r>
              <w:t xml:space="preserve">of</w:t>
            </w:r>
            <w:r>
              <w:t xml:space="preserve"> </w:t>
            </w:r>
            <w:r>
              <w:t xml:space="preserve">any</w:t>
            </w:r>
            <w:r>
              <w:t xml:space="preserve"> </w:t>
            </w:r>
            <w:r>
              <w:t xml:space="preserve">covenants,</w:t>
            </w:r>
            <w:r>
              <w:t xml:space="preserve"> </w:t>
            </w:r>
            <w:r>
              <w:t xml:space="preserve">conditions</w:t>
            </w:r>
            <w:r>
              <w:t xml:space="preserve"> </w:t>
            </w:r>
            <w:r>
              <w:t xml:space="preserve">or</w:t>
            </w:r>
            <w:r>
              <w:t xml:space="preserve"> </w:t>
            </w:r>
            <w:r>
              <w:t xml:space="preserve">restrictions</w:t>
            </w:r>
            <w:r>
              <w:t xml:space="preserve"> </w:t>
            </w:r>
            <w:r>
              <w:t xml:space="preserve">applicable</w:t>
            </w:r>
            <w:r>
              <w:t xml:space="preserve"> </w:t>
            </w:r>
            <w:r>
              <w:t xml:space="preserve">to</w:t>
            </w:r>
            <w:r>
              <w:t xml:space="preserve"> </w:t>
            </w:r>
            <w:r>
              <w:t xml:space="preserve">residential</w:t>
            </w:r>
            <w:r>
              <w:t xml:space="preserve"> </w:t>
            </w:r>
            <w:r>
              <w:t xml:space="preserve">property</w:t>
            </w:r>
            <w:r>
              <w:t xml:space="preserve"> </w:t>
            </w:r>
            <w:r>
              <w:t xml:space="preserve">or</w:t>
            </w:r>
            <w:r>
              <w:t xml:space="preserve"> </w:t>
            </w:r>
            <w:r>
              <w:t xml:space="preserve">any</w:t>
            </w:r>
            <w:r>
              <w:t xml:space="preserve"> </w:t>
            </w:r>
            <w:r>
              <w:t xml:space="preserve">bylaws,</w:t>
            </w:r>
            <w:r>
              <w:t xml:space="preserve"> </w:t>
            </w:r>
            <w:r>
              <w:t xml:space="preserve">rules</w:t>
            </w:r>
            <w:r>
              <w:t xml:space="preserve"> </w:t>
            </w:r>
            <w:r>
              <w:t xml:space="preserve">or</w:t>
            </w:r>
            <w:r>
              <w:t xml:space="preserve"> </w:t>
            </w:r>
            <w:r>
              <w:t xml:space="preserve">regulations</w:t>
            </w:r>
            <w:r>
              <w:t xml:space="preserve"> </w:t>
            </w:r>
            <w:r>
              <w:t xml:space="preserve">adopted</w:t>
            </w:r>
            <w:r>
              <w:t xml:space="preserve"> </w:t>
            </w:r>
            <w:r>
              <w:t xml:space="preserve">by</w:t>
            </w:r>
            <w:r>
              <w:t xml:space="preserve"> </w:t>
            </w:r>
            <w:r>
              <w:t xml:space="preserve">an</w:t>
            </w:r>
            <w:r>
              <w:t xml:space="preserve"> </w:t>
            </w:r>
            <w:r>
              <w:t xml:space="preserve">association;</w:t>
            </w:r>
            <w:r>
              <w:t xml:space="preserve"> </w:t>
            </w:r>
            <w:r>
              <w:t xml:space="preserve">or</w:t>
            </w:r>
            <w:r>
              <w:t xml:space="preserve"> </w:t>
            </w:r>
            <w:r>
              <w:t xml:space="preserve">(b)</w:t>
            </w:r>
            <w:r>
              <w:t xml:space="preserve"> </w:t>
            </w:r>
            <w:r>
              <w:t xml:space="preserve">The</w:t>
            </w:r>
            <w:r>
              <w:t xml:space="preserve"> </w:t>
            </w:r>
            <w:r>
              <w:t xml:space="preserve">procedures</w:t>
            </w:r>
            <w:r>
              <w:t xml:space="preserve"> </w:t>
            </w:r>
            <w:r>
              <w:t xml:space="preserve">used</w:t>
            </w:r>
            <w:r>
              <w:t xml:space="preserve"> </w:t>
            </w:r>
            <w:r>
              <w:t xml:space="preserve">for</w:t>
            </w:r>
            <w:r>
              <w:t xml:space="preserve"> </w:t>
            </w:r>
            <w:r>
              <w:t xml:space="preserve">increasing,</w:t>
            </w:r>
            <w:r>
              <w:t xml:space="preserve"> </w:t>
            </w:r>
            <w:r>
              <w:t xml:space="preserve">decreasing</w:t>
            </w:r>
            <w:r>
              <w:t xml:space="preserve"> </w:t>
            </w:r>
            <w:r>
              <w:t xml:space="preserve">or</w:t>
            </w:r>
            <w:r>
              <w:t xml:space="preserve"> </w:t>
            </w:r>
            <w:r>
              <w:t xml:space="preserve">imposing</w:t>
            </w:r>
            <w:r>
              <w:t xml:space="preserve"> </w:t>
            </w:r>
            <w:r>
              <w:t xml:space="preserve">additional</w:t>
            </w:r>
            <w:r>
              <w:t xml:space="preserve"> </w:t>
            </w:r>
            <w:r>
              <w:t xml:space="preserve">assessments</w:t>
            </w:r>
            <w:r>
              <w:t xml:space="preserve"> </w:t>
            </w:r>
            <w:r>
              <w:t xml:space="preserve">upon</w:t>
            </w:r>
            <w:r>
              <w:t xml:space="preserve"> </w:t>
            </w:r>
            <w:r>
              <w:t xml:space="preserve">residential</w:t>
            </w:r>
            <w:r>
              <w:t xml:space="preserve"> </w:t>
            </w:r>
            <w:r>
              <w:t xml:space="preserve">property,</w:t>
            </w:r>
            <w:r>
              <w:t xml:space="preserve"> </w:t>
            </w:r>
            <w:r>
              <w:t xml:space="preserve">may</w:t>
            </w:r>
            <w:r>
              <w:t xml:space="preserve"> </w:t>
            </w:r>
            <w:r>
              <w:t xml:space="preserve">be</w:t>
            </w:r>
            <w:r>
              <w:t xml:space="preserve"> </w:t>
            </w:r>
            <w:r>
              <w:t xml:space="preserve">commenced</w:t>
            </w:r>
            <w:r>
              <w:t xml:space="preserve"> </w:t>
            </w:r>
            <w:r>
              <w:t xml:space="preserve">in</w:t>
            </w:r>
            <w:r>
              <w:t xml:space="preserve"> </w:t>
            </w:r>
            <w:r>
              <w:t xml:space="preserve">any</w:t>
            </w:r>
            <w:r>
              <w:t xml:space="preserve"> </w:t>
            </w:r>
            <w:r>
              <w:t xml:space="preserve">court</w:t>
            </w:r>
            <w:r>
              <w:t xml:space="preserve"> </w:t>
            </w:r>
            <w:r>
              <w:t xml:space="preserve">in</w:t>
            </w:r>
            <w:r>
              <w:t xml:space="preserve"> </w:t>
            </w:r>
            <w:r>
              <w:t xml:space="preserve">this</w:t>
            </w:r>
            <w:r>
              <w:t xml:space="preserve"> </w:t>
            </w:r>
            <w:r>
              <w:t xml:space="preserve">State</w:t>
            </w:r>
            <w:r>
              <w:t xml:space="preserve"> </w:t>
            </w:r>
            <w:r>
              <w:t xml:space="preserve">unless</w:t>
            </w:r>
            <w:r>
              <w:t xml:space="preserve"> </w:t>
            </w:r>
            <w:r>
              <w:t xml:space="preserve">the</w:t>
            </w:r>
            <w:r>
              <w:t xml:space="preserve"> </w:t>
            </w:r>
            <w:r>
              <w:t xml:space="preserve">action</w:t>
            </w:r>
            <w:r>
              <w:t xml:space="preserve"> </w:t>
            </w:r>
            <w:r>
              <w:t xml:space="preserve">has</w:t>
            </w:r>
            <w:r>
              <w:t xml:space="preserve"> </w:t>
            </w:r>
            <w:r>
              <w:t xml:space="preserve">been</w:t>
            </w:r>
            <w:r>
              <w:t xml:space="preserve"> </w:t>
            </w:r>
            <w:r>
              <w:t xml:space="preserve">submitted</w:t>
            </w:r>
            <w:r>
              <w:t xml:space="preserve"> </w:t>
            </w:r>
            <w:r>
              <w:t xml:space="preserve">to</w:t>
            </w:r>
            <w:r>
              <w:t xml:space="preserve"> </w:t>
            </w:r>
            <w:r>
              <w:t xml:space="preserve">mediation</w:t>
            </w:r>
            <w:r>
              <w:t xml:space="preserve"> </w:t>
            </w:r>
            <w:r>
              <w:t xml:space="preserve">or,</w:t>
            </w:r>
            <w:r>
              <w:t xml:space="preserve"> </w:t>
            </w:r>
            <w:r>
              <w:t xml:space="preserve">if</w:t>
            </w:r>
            <w:r>
              <w:t xml:space="preserve"> </w:t>
            </w:r>
            <w:r>
              <w:t xml:space="preserve">the</w:t>
            </w:r>
            <w:r>
              <w:t xml:space="preserve"> </w:t>
            </w:r>
            <w:r>
              <w:t xml:space="preserve">parties</w:t>
            </w:r>
            <w:r>
              <w:t xml:space="preserve"> </w:t>
            </w:r>
            <w:r>
              <w:t xml:space="preserve">agree,</w:t>
            </w:r>
            <w:r>
              <w:t xml:space="preserve"> </w:t>
            </w:r>
            <w:r>
              <w:t xml:space="preserve">has</w:t>
            </w:r>
            <w:r>
              <w:t xml:space="preserve"> </w:t>
            </w:r>
            <w:r>
              <w:t xml:space="preserve">been</w:t>
            </w:r>
            <w:r>
              <w:t xml:space="preserve"> </w:t>
            </w:r>
            <w:r>
              <w:t xml:space="preserve">referred</w:t>
            </w:r>
            <w:r>
              <w:t xml:space="preserve"> </w:t>
            </w:r>
            <w:r>
              <w:t xml:space="preserve">to</w:t>
            </w:r>
            <w:r>
              <w:t xml:space="preserve"> </w:t>
            </w:r>
            <w:r>
              <w:t xml:space="preserve">a</w:t>
            </w:r>
            <w:r>
              <w:t xml:space="preserve"> </w:t>
            </w:r>
            <w:r>
              <w:t xml:space="preserve">program</w:t>
            </w:r>
            <w:r>
              <w:t xml:space="preserve"> </w:t>
            </w:r>
            <w:r>
              <w:t xml:space="preserve">pursuant</w:t>
            </w:r>
            <w:r>
              <w:t xml:space="preserve"> </w:t>
            </w:r>
            <w:r>
              <w:t xml:space="preserve">to</w:t>
            </w:r>
            <w:r>
              <w:t xml:space="preserve"> </w:t>
            </w:r>
            <w:r>
              <w:t xml:space="preserve">the</w:t>
            </w:r>
            <w:r>
              <w:t xml:space="preserve"> </w:t>
            </w:r>
            <w:r>
              <w:t xml:space="preserve">provisions</w:t>
            </w:r>
            <w:r>
              <w:t xml:space="preserve"> </w:t>
            </w:r>
            <w:r>
              <w:t xml:space="preserve">of</w:t>
            </w:r>
            <w:r>
              <w:t xml:space="preserve"> </w:t>
            </w:r>
            <w:r>
              <w:t xml:space="preserve">NRS</w:t>
            </w:r>
            <w:r>
              <w:t xml:space="preserve"> </w:t>
            </w:r>
            <w:r>
              <w:t xml:space="preserve">38.300</w:t>
            </w:r>
            <w:r>
              <w:t xml:space="preserve"> </w:t>
            </w:r>
            <w:r>
              <w:t xml:space="preserve">to</w:t>
            </w:r>
            <w:r>
              <w:t xml:space="preserve"> </w:t>
            </w:r>
            <w:r>
              <w:t xml:space="preserve">38.360,</w:t>
            </w:r>
            <w:r>
              <w:t xml:space="preserve"> </w:t>
            </w:r>
            <w:r>
              <w:t xml:space="preserve">inclusive,</w:t>
            </w:r>
            <w:r>
              <w:t xml:space="preserve"> </w:t>
            </w:r>
            <w:r>
              <w:t xml:space="preserve">and,</w:t>
            </w:r>
            <w:r>
              <w:t xml:space="preserve"> </w:t>
            </w:r>
            <w:r>
              <w:t xml:space="preserve">if</w:t>
            </w:r>
            <w:r>
              <w:t xml:space="preserve"> </w:t>
            </w:r>
            <w:r>
              <w:t xml:space="preserve">the</w:t>
            </w:r>
            <w:r>
              <w:t xml:space="preserve"> </w:t>
            </w:r>
            <w:r>
              <w:t xml:space="preserve">civil</w:t>
            </w:r>
            <w:r>
              <w:t xml:space="preserve"> </w:t>
            </w:r>
            <w:r>
              <w:t xml:space="preserve">action</w:t>
            </w:r>
            <w:r>
              <w:t xml:space="preserve"> </w:t>
            </w:r>
            <w:r>
              <w:t xml:space="preserve">concerns</w:t>
            </w:r>
            <w:r>
              <w:t xml:space="preserve"> </w:t>
            </w:r>
            <w:r>
              <w:t xml:space="preserve">real</w:t>
            </w:r>
            <w:r>
              <w:t xml:space="preserve"> </w:t>
            </w:r>
            <w:r>
              <w:t xml:space="preserve">estate</w:t>
            </w:r>
            <w:r>
              <w:t xml:space="preserve"> </w:t>
            </w:r>
            <w:r>
              <w:t xml:space="preserve">within</w:t>
            </w:r>
            <w:r>
              <w:t xml:space="preserve"> </w:t>
            </w:r>
            <w:r>
              <w:t xml:space="preserve">a</w:t>
            </w:r>
            <w:r>
              <w:t xml:space="preserve"> </w:t>
            </w:r>
            <w:r>
              <w:t xml:space="preserve">planned</w:t>
            </w:r>
            <w:r>
              <w:t xml:space="preserve"> </w:t>
            </w:r>
            <w:r>
              <w:t xml:space="preserve">community</w:t>
            </w:r>
            <w:r>
              <w:t xml:space="preserve"> </w:t>
            </w:r>
            <w:r>
              <w:t xml:space="preserve">subject</w:t>
            </w:r>
            <w:r>
              <w:t xml:space="preserve"> </w:t>
            </w:r>
            <w:r>
              <w:t xml:space="preserve">to</w:t>
            </w:r>
            <w:r>
              <w:t xml:space="preserve"> </w:t>
            </w:r>
            <w:r>
              <w:t xml:space="preserve">the</w:t>
            </w:r>
            <w:r>
              <w:t xml:space="preserve"> </w:t>
            </w:r>
            <w:r>
              <w:t xml:space="preserve">provisions</w:t>
            </w:r>
            <w:r>
              <w:t xml:space="preserve"> </w:t>
            </w:r>
            <w:r>
              <w:t xml:space="preserve">of</w:t>
            </w:r>
            <w:r>
              <w:t xml:space="preserve"> </w:t>
            </w:r>
            <w:r>
              <w:t xml:space="preserve">chapter</w:t>
            </w:r>
            <w:r>
              <w:t xml:space="preserve"> </w:t>
            </w:r>
            <w:r>
              <w:t xml:space="preserve">116</w:t>
            </w:r>
            <w:r>
              <w:t xml:space="preserve"> </w:t>
            </w:r>
            <w:r>
              <w:t xml:space="preserve">of</w:t>
            </w:r>
            <w:r>
              <w:t xml:space="preserve"> </w:t>
            </w:r>
            <w:r>
              <w:t xml:space="preserve">NRS</w:t>
            </w:r>
            <w:r>
              <w:t xml:space="preserve"> </w:t>
            </w:r>
            <w:r>
              <w:t xml:space="preserve">or</w:t>
            </w:r>
            <w:r>
              <w:t xml:space="preserve"> </w:t>
            </w:r>
            <w:r>
              <w:t xml:space="preserve">real</w:t>
            </w:r>
            <w:r>
              <w:t xml:space="preserve"> </w:t>
            </w:r>
            <w:r>
              <w:t xml:space="preserve">estate</w:t>
            </w:r>
            <w:r>
              <w:t xml:space="preserve"> </w:t>
            </w:r>
            <w:r>
              <w:t xml:space="preserve">within</w:t>
            </w:r>
            <w:r>
              <w:t xml:space="preserve"> </w:t>
            </w:r>
            <w:r>
              <w:t xml:space="preserve">a</w:t>
            </w:r>
            <w:r>
              <w:t xml:space="preserve"> </w:t>
            </w:r>
            <w:r>
              <w:t xml:space="preserve">condominium</w:t>
            </w:r>
            <w:r>
              <w:t xml:space="preserve"> </w:t>
            </w:r>
            <w:r>
              <w:t xml:space="preserve">hotel</w:t>
            </w:r>
            <w:r>
              <w:t xml:space="preserve"> </w:t>
            </w:r>
            <w:r>
              <w:t xml:space="preserve">subject</w:t>
            </w:r>
            <w:r>
              <w:t xml:space="preserve"> </w:t>
            </w:r>
            <w:r>
              <w:t xml:space="preserve">to</w:t>
            </w:r>
            <w:r>
              <w:t xml:space="preserve"> </w:t>
            </w:r>
            <w:r>
              <w:t xml:space="preserve">the</w:t>
            </w:r>
            <w:r>
              <w:t xml:space="preserve"> </w:t>
            </w:r>
            <w:r>
              <w:t xml:space="preserve">provisions</w:t>
            </w:r>
            <w:r>
              <w:t xml:space="preserve"> </w:t>
            </w:r>
            <w:r>
              <w:t xml:space="preserve">of</w:t>
            </w:r>
            <w:r>
              <w:t xml:space="preserve"> </w:t>
            </w:r>
            <w:r>
              <w:t xml:space="preserve">chapter</w:t>
            </w:r>
            <w:r>
              <w:t xml:space="preserve"> </w:t>
            </w:r>
            <w:r>
              <w:t xml:space="preserve">116B</w:t>
            </w:r>
            <w:r>
              <w:t xml:space="preserve"> </w:t>
            </w:r>
            <w:r>
              <w:t xml:space="preserve">of</w:t>
            </w:r>
            <w:r>
              <w:t xml:space="preserve"> </w:t>
            </w:r>
            <w:r>
              <w:t xml:space="preserve">NRS,</w:t>
            </w:r>
            <w:r>
              <w:t xml:space="preserve"> </w:t>
            </w:r>
            <w:r>
              <w:t xml:space="preserve">all</w:t>
            </w:r>
            <w:r>
              <w:t xml:space="preserve"> </w:t>
            </w:r>
            <w:r>
              <w:t xml:space="preserve">administrative</w:t>
            </w:r>
            <w:r>
              <w:t xml:space="preserve"> </w:t>
            </w:r>
            <w:r>
              <w:t xml:space="preserve">procedures</w:t>
            </w:r>
            <w:r>
              <w:t xml:space="preserve"> </w:t>
            </w:r>
            <w:r>
              <w:t xml:space="preserve">specified</w:t>
            </w:r>
            <w:r>
              <w:t xml:space="preserve"> </w:t>
            </w:r>
            <w:r>
              <w:t xml:space="preserve">in</w:t>
            </w:r>
            <w:r>
              <w:t xml:space="preserve"> </w:t>
            </w:r>
            <w:r>
              <w:t xml:space="preserve">any</w:t>
            </w:r>
            <w:r>
              <w:t xml:space="preserve"> </w:t>
            </w:r>
            <w:r>
              <w:t xml:space="preserve">covenants,</w:t>
            </w:r>
            <w:r>
              <w:t xml:space="preserve"> </w:t>
            </w:r>
            <w:r>
              <w:t xml:space="preserve">conditions</w:t>
            </w:r>
            <w:r>
              <w:t xml:space="preserve"> </w:t>
            </w:r>
            <w:r>
              <w:t xml:space="preserve">or</w:t>
            </w:r>
            <w:r>
              <w:t xml:space="preserve"> </w:t>
            </w:r>
            <w:r>
              <w:t xml:space="preserve">restrictions</w:t>
            </w:r>
            <w:r>
              <w:t xml:space="preserve"> </w:t>
            </w:r>
            <w:r>
              <w:t xml:space="preserve">applicable</w:t>
            </w:r>
            <w:r>
              <w:t xml:space="preserve"> </w:t>
            </w:r>
            <w:r>
              <w:t xml:space="preserve">to</w:t>
            </w:r>
            <w:r>
              <w:t xml:space="preserve"> </w:t>
            </w:r>
            <w:r>
              <w:t xml:space="preserve">the</w:t>
            </w:r>
            <w:r>
              <w:t xml:space="preserve"> </w:t>
            </w:r>
            <w:r>
              <w:t xml:space="preserve">property</w:t>
            </w:r>
            <w:r>
              <w:t xml:space="preserve"> </w:t>
            </w:r>
            <w:r>
              <w:t xml:space="preserve">or</w:t>
            </w:r>
            <w:r>
              <w:t xml:space="preserve"> </w:t>
            </w:r>
            <w:r>
              <w:t xml:space="preserve">in</w:t>
            </w:r>
            <w:r>
              <w:t xml:space="preserve"> </w:t>
            </w:r>
            <w:r>
              <w:t xml:space="preserve">any</w:t>
            </w:r>
            <w:r>
              <w:t xml:space="preserve"> </w:t>
            </w:r>
            <w:r>
              <w:t xml:space="preserve">bylaws,</w:t>
            </w:r>
            <w:r>
              <w:t xml:space="preserve"> </w:t>
            </w:r>
            <w:r>
              <w:t xml:space="preserve">rules</w:t>
            </w:r>
            <w:r>
              <w:t xml:space="preserve"> </w:t>
            </w:r>
            <w:r>
              <w:t xml:space="preserve">and</w:t>
            </w:r>
            <w:r>
              <w:t xml:space="preserve"> </w:t>
            </w:r>
            <w:r>
              <w:t xml:space="preserve">regulations</w:t>
            </w:r>
            <w:r>
              <w:t xml:space="preserve"> </w:t>
            </w:r>
            <w:r>
              <w:t xml:space="preserve">of</w:t>
            </w:r>
            <w:r>
              <w:t xml:space="preserve"> </w:t>
            </w:r>
            <w:r>
              <w:t xml:space="preserve">an</w:t>
            </w:r>
            <w:r>
              <w:t xml:space="preserve"> </w:t>
            </w:r>
            <w:r>
              <w:t xml:space="preserve">association</w:t>
            </w:r>
            <w:r>
              <w:t xml:space="preserve"> </w:t>
            </w:r>
            <w:r>
              <w:t xml:space="preserve">have</w:t>
            </w:r>
            <w:r>
              <w:t xml:space="preserve"> </w:t>
            </w:r>
            <w:r>
              <w:t xml:space="preserve">been</w:t>
            </w:r>
            <w:r>
              <w:t xml:space="preserve"> </w:t>
            </w:r>
            <w:r>
              <w:t xml:space="preserve">exhausted.</w:t>
            </w:r>
          </w:p>
          <w:p>
            <w:pPr>
              <w:pStyle w:val="PleadingHanging"/>
            </w:pPr>
            <w:r>
              <w:t xml:space="preserve">2.</w:t>
            </w:r>
            <w:r>
              <w:t xml:space="preserve"> </w:t>
            </w:r>
            <w:r>
              <w:t xml:space="preserve">A</w:t>
            </w:r>
            <w:r>
              <w:t xml:space="preserve"> </w:t>
            </w:r>
            <w:r>
              <w:t xml:space="preserve">court</w:t>
            </w:r>
            <w:r>
              <w:t xml:space="preserve"> </w:t>
            </w:r>
            <w:r>
              <w:t xml:space="preserve">shall</w:t>
            </w:r>
            <w:r>
              <w:t xml:space="preserve"> </w:t>
            </w:r>
            <w:r>
              <w:t xml:space="preserve">dismiss</w:t>
            </w:r>
            <w:r>
              <w:t xml:space="preserve"> </w:t>
            </w:r>
            <w:r>
              <w:t xml:space="preserve">any</w:t>
            </w:r>
            <w:r>
              <w:t xml:space="preserve"> </w:t>
            </w:r>
            <w:r>
              <w:t xml:space="preserve">civil</w:t>
            </w:r>
            <w:r>
              <w:t xml:space="preserve"> </w:t>
            </w:r>
            <w:r>
              <w:t xml:space="preserve">action</w:t>
            </w:r>
            <w:r>
              <w:t xml:space="preserve"> </w:t>
            </w:r>
            <w:r>
              <w:t xml:space="preserve">which</w:t>
            </w:r>
            <w:r>
              <w:t xml:space="preserve"> </w:t>
            </w:r>
            <w:r>
              <w:t xml:space="preserve">is</w:t>
            </w:r>
            <w:r>
              <w:t xml:space="preserve"> </w:t>
            </w:r>
            <w:r>
              <w:t xml:space="preserve">commenced</w:t>
            </w:r>
            <w:r>
              <w:t xml:space="preserve"> </w:t>
            </w:r>
            <w:r>
              <w:t xml:space="preserve">in</w:t>
            </w:r>
            <w:r>
              <w:t xml:space="preserve"> </w:t>
            </w:r>
            <w:r>
              <w:t xml:space="preserve">violation</w:t>
            </w:r>
            <w:r>
              <w:t xml:space="preserve"> </w:t>
            </w:r>
            <w:r>
              <w:t xml:space="preserve">of</w:t>
            </w:r>
            <w:r>
              <w:t xml:space="preserve"> </w:t>
            </w:r>
            <w:r>
              <w:t xml:space="preserve">the</w:t>
            </w:r>
            <w:r>
              <w:t xml:space="preserve"> </w:t>
            </w:r>
            <w:r>
              <w:t xml:space="preserve">provisions</w:t>
            </w:r>
            <w:r>
              <w:t xml:space="preserve"> </w:t>
            </w:r>
            <w:r>
              <w:t xml:space="preserve">of</w:t>
            </w:r>
            <w:r>
              <w:t xml:space="preserve"> </w:t>
            </w:r>
            <w:r>
              <w:t xml:space="preserve">subsection</w:t>
            </w:r>
            <w:r>
              <w:t xml:space="preserve"> </w:t>
            </w:r>
            <w:r>
              <w:t xml:space="preserve">1.</w:t>
            </w:r>
          </w:p>
        </w:tc>
      </w:tr>
    </w:tbl>
    <w:p>
      <w:pPr>
        <w:pStyle w:val="PleadingBody"/>
      </w:pPr>
      <w:r>
        <w:t xml:space="preserve">NRS 38.310. (emphasis added)</w:t>
      </w:r>
    </w:p>
    <w:p>
      <w:pPr>
        <w:pStyle w:val="PleadingBody"/>
      </w:pPr>
      <w:r>
        <w:t xml:space="preserve">NRS 116.31181 provides an action for retaliation when</w:t>
      </w:r>
      <w:r>
        <w:t xml:space="preserve"> </w:t>
      </w:r>
      <w:r>
        <w:t xml:space="preserve">“[a]n executive board, a member of an executive board, a community manager or an officer, employee or agent of an association”</w:t>
      </w:r>
      <w:r>
        <w:t xml:space="preserve"> </w:t>
      </w:r>
      <w:r>
        <w:t xml:space="preserve">takes</w:t>
      </w:r>
      <w:r>
        <w:t xml:space="preserve"> </w:t>
      </w:r>
      <w:r>
        <w:t xml:space="preserve">“retaliatory action against a unit’s owner because the unit’s owner has:”</w:t>
      </w:r>
    </w:p>
    <w:tbl>
      <w:tblPr>
        <w:tblW w:w="7200" w:type="dxa"/>
        <w:tblInd w:w="720" w:type="dxa"/>
        <w:tblLayout w:type="fixed"/>
        <w:tblCellMar>
          <w:left w:w="0" w:type="dxa"/>
          <w:right w:w="0" w:type="dxa"/>
        </w:tblCellMar>
        <w:tblLook w:val="0000" w:firstRow="0" w:lastRow="0" w:firstColumn="0" w:lastColumn="0" w:noHBand="1" w:noVBand="1"/>
      </w:tblPr>
      <w:tblGrid>
        <w:gridCol w:w="7200"/>
      </w:tblGrid>
      <w:tr>
        <w:trPr>
          <w:trHeight w:val="2310" w:hRule="atLeast"/>
        </w:trPr>
        <w:tc>
          <w:tcPr>
            <w:tcW w:w="7200" w:type="dxa"/>
          </w:tcPr>
          <w:p>
            <w:pPr>
              <w:pStyle w:val="PleadingHanging"/>
            </w:pPr>
            <w:r>
              <w:t xml:space="preserve">(a)</w:t>
            </w:r>
            <w:r>
              <w:t xml:space="preserve"> </w:t>
            </w:r>
            <w:r>
              <w:t xml:space="preserve">Complained</w:t>
            </w:r>
            <w:r>
              <w:t xml:space="preserve"> </w:t>
            </w:r>
            <w:r>
              <w:t xml:space="preserve">in</w:t>
            </w:r>
            <w:r>
              <w:t xml:space="preserve"> </w:t>
            </w:r>
            <w:r>
              <w:t xml:space="preserve">good</w:t>
            </w:r>
            <w:r>
              <w:t xml:space="preserve"> </w:t>
            </w:r>
            <w:r>
              <w:t xml:space="preserve">faith</w:t>
            </w:r>
            <w:r>
              <w:t xml:space="preserve"> </w:t>
            </w:r>
            <w:r>
              <w:t xml:space="preserve">about</w:t>
            </w:r>
            <w:r>
              <w:t xml:space="preserve"> </w:t>
            </w:r>
            <w:r>
              <w:t xml:space="preserve">any</w:t>
            </w:r>
            <w:r>
              <w:t xml:space="preserve"> </w:t>
            </w:r>
            <w:r>
              <w:t xml:space="preserve">alleged</w:t>
            </w:r>
            <w:r>
              <w:t xml:space="preserve"> </w:t>
            </w:r>
            <w:r>
              <w:t xml:space="preserve">violation</w:t>
            </w:r>
            <w:r>
              <w:t xml:space="preserve"> </w:t>
            </w:r>
            <w:r>
              <w:t xml:space="preserve">of</w:t>
            </w:r>
            <w:r>
              <w:t xml:space="preserve"> </w:t>
            </w:r>
            <w:r>
              <w:t xml:space="preserve">[NRS</w:t>
            </w:r>
            <w:r>
              <w:t xml:space="preserve"> </w:t>
            </w:r>
            <w:r>
              <w:t xml:space="preserve">Chapter</w:t>
            </w:r>
            <w:r>
              <w:t xml:space="preserve"> </w:t>
            </w:r>
            <w:r>
              <w:t xml:space="preserve">116]</w:t>
            </w:r>
            <w:r>
              <w:t xml:space="preserve"> </w:t>
            </w:r>
            <w:r>
              <w:t xml:space="preserve">or</w:t>
            </w:r>
            <w:r>
              <w:t xml:space="preserve"> </w:t>
            </w:r>
            <w:r>
              <w:t xml:space="preserve">the</w:t>
            </w:r>
            <w:r>
              <w:t xml:space="preserve"> </w:t>
            </w:r>
            <w:r>
              <w:t xml:space="preserve">governing</w:t>
            </w:r>
            <w:r>
              <w:t xml:space="preserve"> </w:t>
            </w:r>
            <w:r>
              <w:t xml:space="preserve">documents</w:t>
            </w:r>
            <w:r>
              <w:t xml:space="preserve"> </w:t>
            </w:r>
            <w:r>
              <w:t xml:space="preserve">of</w:t>
            </w:r>
            <w:r>
              <w:t xml:space="preserve"> </w:t>
            </w:r>
            <w:r>
              <w:t xml:space="preserve">the</w:t>
            </w:r>
            <w:r>
              <w:t xml:space="preserve"> </w:t>
            </w:r>
            <w:r>
              <w:t xml:space="preserve">association;</w:t>
            </w:r>
          </w:p>
          <w:p>
            <w:pPr>
              <w:pStyle w:val="PleadingHanging"/>
            </w:pPr>
            <w:r>
              <w:t xml:space="preserve">(b)</w:t>
            </w:r>
            <w:r>
              <w:t xml:space="preserve"> </w:t>
            </w:r>
            <w:r>
              <w:t xml:space="preserve">Recommended</w:t>
            </w:r>
            <w:r>
              <w:t xml:space="preserve"> </w:t>
            </w:r>
            <w:r>
              <w:t xml:space="preserve">the</w:t>
            </w:r>
            <w:r>
              <w:t xml:space="preserve"> </w:t>
            </w:r>
            <w:r>
              <w:t xml:space="preserve">selection</w:t>
            </w:r>
            <w:r>
              <w:t xml:space="preserve"> </w:t>
            </w:r>
            <w:r>
              <w:t xml:space="preserve">or</w:t>
            </w:r>
            <w:r>
              <w:t xml:space="preserve"> </w:t>
            </w:r>
            <w:r>
              <w:t xml:space="preserve">replacement</w:t>
            </w:r>
            <w:r>
              <w:t xml:space="preserve"> </w:t>
            </w:r>
            <w:r>
              <w:t xml:space="preserve">of</w:t>
            </w:r>
            <w:r>
              <w:t xml:space="preserve"> </w:t>
            </w:r>
            <w:r>
              <w:t xml:space="preserve">an</w:t>
            </w:r>
            <w:r>
              <w:t xml:space="preserve"> </w:t>
            </w:r>
            <w:r>
              <w:t xml:space="preserve">attorney,</w:t>
            </w:r>
            <w:r>
              <w:t xml:space="preserve"> </w:t>
            </w:r>
            <w:r>
              <w:t xml:space="preserve">community</w:t>
            </w:r>
            <w:r>
              <w:t xml:space="preserve"> </w:t>
            </w:r>
            <w:r>
              <w:t xml:space="preserve">manager</w:t>
            </w:r>
            <w:r>
              <w:t xml:space="preserve"> </w:t>
            </w:r>
            <w:r>
              <w:t xml:space="preserve">or</w:t>
            </w:r>
            <w:r>
              <w:t xml:space="preserve"> </w:t>
            </w:r>
            <w:r>
              <w:t xml:space="preserve">vendor;</w:t>
            </w:r>
            <w:r>
              <w:t xml:space="preserve"> </w:t>
            </w:r>
            <w:r>
              <w:t xml:space="preserve">or</w:t>
            </w:r>
          </w:p>
          <w:p>
            <w:pPr>
              <w:pStyle w:val="PleadingHanging"/>
            </w:pPr>
            <w:r>
              <w:t xml:space="preserve">(c)</w:t>
            </w:r>
            <w:r>
              <w:t xml:space="preserve"> </w:t>
            </w:r>
            <w:r>
              <w:t xml:space="preserve">Requested</w:t>
            </w:r>
            <w:r>
              <w:t xml:space="preserve"> </w:t>
            </w:r>
            <w:r>
              <w:t xml:space="preserve">in</w:t>
            </w:r>
            <w:r>
              <w:t xml:space="preserve"> </w:t>
            </w:r>
            <w:r>
              <w:t xml:space="preserve">good</w:t>
            </w:r>
            <w:r>
              <w:t xml:space="preserve"> </w:t>
            </w:r>
            <w:r>
              <w:t xml:space="preserve">faith</w:t>
            </w:r>
            <w:r>
              <w:t xml:space="preserve"> </w:t>
            </w:r>
            <w:r>
              <w:t xml:space="preserve">to</w:t>
            </w:r>
            <w:r>
              <w:t xml:space="preserve"> </w:t>
            </w:r>
            <w:r>
              <w:t xml:space="preserve">review</w:t>
            </w:r>
            <w:r>
              <w:t xml:space="preserve"> </w:t>
            </w:r>
            <w:r>
              <w:t xml:space="preserve">the</w:t>
            </w:r>
            <w:r>
              <w:t xml:space="preserve"> </w:t>
            </w:r>
            <w:r>
              <w:t xml:space="preserve">books,</w:t>
            </w:r>
            <w:r>
              <w:t xml:space="preserve"> </w:t>
            </w:r>
            <w:r>
              <w:t xml:space="preserve">records</w:t>
            </w:r>
            <w:r>
              <w:t xml:space="preserve"> </w:t>
            </w:r>
            <w:r>
              <w:t xml:space="preserve">or</w:t>
            </w:r>
            <w:r>
              <w:t xml:space="preserve"> </w:t>
            </w:r>
            <w:r>
              <w:t xml:space="preserve">other</w:t>
            </w:r>
            <w:r>
              <w:t xml:space="preserve"> </w:t>
            </w:r>
            <w:r>
              <w:t xml:space="preserve">papers</w:t>
            </w:r>
            <w:r>
              <w:t xml:space="preserve"> </w:t>
            </w:r>
            <w:r>
              <w:t xml:space="preserve">of</w:t>
            </w:r>
            <w:r>
              <w:t xml:space="preserve"> </w:t>
            </w:r>
            <w:r>
              <w:t xml:space="preserve">the</w:t>
            </w:r>
            <w:r>
              <w:t xml:space="preserve"> </w:t>
            </w:r>
            <w:r>
              <w:t xml:space="preserve">association.”</w:t>
            </w:r>
          </w:p>
        </w:tc>
      </w:tr>
    </w:tbl>
    <w:p>
      <w:pPr>
        <w:pStyle w:val="PleadingBody"/>
      </w:pPr>
      <w:r>
        <w:t xml:space="preserve">NRS 116.31183(1). (emphasis added)</w:t>
      </w:r>
    </w:p>
    <w:p>
      <w:pPr>
        <w:pStyle w:val="PleadingBody"/>
      </w:pPr>
      <w:r>
        <w:t xml:space="preserve">A claim for retaliation pursuant to NRS 116.31183 must first be administratively exhausted before a plaintiff may file an action.</w:t>
      </w:r>
      <w:r>
        <w:t xml:space="preserve"> </w:t>
      </w:r>
      <w:r>
        <w:rPr>
          <w:i/>
          <w:iCs/>
        </w:rPr>
        <w:t xml:space="preserve">Dezzani v. Kern &amp; Assocs.</w:t>
      </w:r>
      <w:r>
        <w:t xml:space="preserve">, No. 69896, 2016 Nev. App. Unpub. LEXIS 438, *3-4 (Nev. Ct. App. Nov. 16, 2016). Similarly, Plaintiff’s breach of fiduciary duty claim is made based on allegations that the HOA issued</w:t>
      </w:r>
      <w:r>
        <w:t xml:space="preserve"> </w:t>
      </w:r>
      <w:r>
        <w:t xml:space="preserve">“frivolous and meritless violations”</w:t>
      </w:r>
      <w:r>
        <w:t xml:space="preserve"> </w:t>
      </w:r>
      <w:r>
        <w:t xml:space="preserve">which are allegations about the enforcement of the CC&amp;Rs and so administrative exhaustion is necessary here as well.</w:t>
      </w:r>
    </w:p>
    <w:p>
      <w:pPr>
        <w:pStyle w:val="PleadingBody"/>
      </w:pPr>
      <w:r>
        <w:t xml:space="preserve">As a threshold issue, Plaintiff fails to allege that he administratively exhausted this claim in accordance with NRS 38.310, warranting dismissal of the claim on that ground alone. Beyond that, however, Plaintiff also fails to attach documentation (e.g., an Alternative Dispute Resolution Claim Form with the Nevada Real Estate Division) predicating this claim, which might ostensibly support this action and demonstrate that the claims now at issue were in fact raised and properly exhausted (i.e., that the grounds in the NRED action are those alleged here). As a result, Plaintiff’s FAC is devoid of any allegations (or exhibits) that demonstrate he has – as required by Nevada law – first administratively exhausted the claims he now asserts before this Court. Accordingly, Plaintiff’s claim should be dismissed for his failure to administratively exhaust his claims for retaliation and breach of fiduciary duty pursuant to NRS 38.310.</w:t>
      </w:r>
    </w:p>
    <w:p>
      <w:pPr>
        <w:pStyle w:val="Heading3"/>
      </w:pPr>
      <w:bookmarkStart w:id="117" w:name="_a5ec1e201d3665aa7280d67451138e5b55bbca0"/>
      <w:r>
        <w:t xml:space="preserve">B. Plaintiff’s Claim For Retaliation Under NRS 116.31183 Should Be Dismissed For Failing To Set Forth Allegations Supporting the Claim.</w:t>
      </w:r>
      <w:bookmarkEnd w:id="117"/>
    </w:p>
    <w:p>
      <w:pPr>
        <w:pStyle w:val="PleadingBody"/>
      </w:pPr>
      <w:r>
        <w:t xml:space="preserve">Plaintiff’s claim for retaliation under NRS 116.31183 should be dismissed because it lacks the requisite factual predicate. To wit, Plaintiff alleges that he engaged in a protected activity and was subsequently subject to</w:t>
      </w:r>
      <w:r>
        <w:t xml:space="preserve"> </w:t>
      </w:r>
      <w:r>
        <w:t xml:space="preserve">“frivolous and meritless</w:t>
      </w:r>
      <w:r>
        <w:t xml:space="preserve"> </w:t>
      </w:r>
      <w:r>
        <w:t xml:space="preserve">‘violations’</w:t>
      </w:r>
      <w:r>
        <w:t xml:space="preserve"> </w:t>
      </w:r>
      <w:r>
        <w:t xml:space="preserve">of the CC&amp;Rs, social media attacks, and other forms of harassment.”</w:t>
      </w:r>
      <w:r>
        <w:t xml:space="preserve"> </w:t>
      </w:r>
      <w:r>
        <w:t xml:space="preserve">[See FAC, ¶¶ 33, 34.] Plaintiff also generally alleges that he was subject to</w:t>
      </w:r>
      <w:r>
        <w:t xml:space="preserve"> </w:t>
      </w:r>
      <w:r>
        <w:t xml:space="preserve">“further attacks and harassment[.]”</w:t>
      </w:r>
      <w:r>
        <w:t xml:space="preserve"> </w:t>
      </w:r>
      <w:r>
        <w:t xml:space="preserve">[See FAC, ¶ 36.] Plaintiff then concludes that</w:t>
      </w:r>
      <w:r>
        <w:t xml:space="preserve"> </w:t>
      </w:r>
      <w:r>
        <w:t xml:space="preserve">“[t]hese forms of harassment of expressly prohibited by NRS § 116.311874.”</w:t>
      </w:r>
      <w:r>
        <w:t xml:space="preserve"> </w:t>
      </w:r>
      <w:r>
        <w:t xml:space="preserve">[FAC, ¶ 35.] But the FAC fails to set forth legally actionable allegations and a causal nexus and, accordingly, Plaintiff’s retaliation claim should be dismissed.</w:t>
      </w:r>
    </w:p>
    <w:p>
      <w:pPr>
        <w:pStyle w:val="PleadingBody"/>
      </w:pPr>
      <w:r>
        <w:t xml:space="preserve">Critically, the FAC makes plain that Granbury took no retaliatory action against Plaintiff. Plaintiff alleges that he purchased his home within Granbury in November 2021. [FAC, ¶ 10.] Then, at the end of 2022, Plaintiff began to receive the aforementioned</w:t>
      </w:r>
      <w:r>
        <w:t xml:space="preserve"> </w:t>
      </w:r>
      <w:r>
        <w:t xml:space="preserve">“frivolous or meritless”</w:t>
      </w:r>
      <w:r>
        <w:t xml:space="preserve"> </w:t>
      </w:r>
      <w:r>
        <w:t xml:space="preserve">violations. [FAC, ¶¶ 12, 13.] After disputing those violations, Plaintiff allegedly received further</w:t>
      </w:r>
      <w:r>
        <w:t xml:space="preserve"> </w:t>
      </w:r>
      <w:r>
        <w:t xml:space="preserve">“meritless”</w:t>
      </w:r>
      <w:r>
        <w:t xml:space="preserve"> </w:t>
      </w:r>
      <w:r>
        <w:t xml:space="preserve">accusations. [FAC, ¶¶ 14, 16.] At some then unspecified time, Plaintiff learned that he and his wife had been subject to social medial posts. [FAC, ¶ 17.] Thereafter, in January 2024, Plaintiff claims that Granbury ran a criminal background check on him and posted those unspecified results to Facebook. [FAC, ¶ 20.] Then – in July 2024 – Plaintiff filed his complaint with NRED</w:t>
      </w:r>
      <w:r>
        <w:t xml:space="preserve"> </w:t>
      </w:r>
      <w:r>
        <w:t xml:space="preserve">“for the harassment and other actions by the board members described herein.”</w:t>
      </w:r>
      <w:r>
        <w:t xml:space="preserve"> </w:t>
      </w:r>
      <w:r>
        <w:t xml:space="preserve">[FAC, ¶ 21.] In January 2025, he filed a complaint with HUD. [FAC, ¶ 22.] But, thereafter, Plaintiff sets forth no allegations that could give rise to a claim for retaliation. Instead, Plaintiff simply concludes that he was</w:t>
      </w:r>
      <w:r>
        <w:t xml:space="preserve"> </w:t>
      </w:r>
      <w:r>
        <w:t xml:space="preserve">“retaliated against by the HOA, based on his lawful quasi-judicial Complaints, with NRED and HUD.”</w:t>
      </w:r>
      <w:r>
        <w:t xml:space="preserve"> </w:t>
      </w:r>
      <w:r>
        <w:t xml:space="preserve">[FAC, ¶ 30.] But Plaintiff fails to set forth what that alleged harassment was (and when it occurred). The only acts that predicate his retaliation claim all occurred before he filed those complaints. [See FAC, ¶¶ 12, 13, 14, 16, 17, 34.] There are no actions alleged to have occurred thereafter which could ostensibly give rise to a retaliation claim.</w:t>
      </w:r>
    </w:p>
    <w:p>
      <w:pPr>
        <w:pStyle w:val="PleadingBody"/>
      </w:pPr>
      <w:r>
        <w:t xml:space="preserve">As currently pled, the FAC fails to allege any actions by Granbury that occurred after Plaintiff filed his complaints with NRED and HUD. At best, he identifies actions that allegedly occurred before those complaints. At worst, he generally concludes – without factual support – that Granbury retaliated against him. In either event, he fails to set forth a factual basis to pursue a retaliation claim and therefore, Plaintiff’s First Cause of Action should be dismissed.</w:t>
      </w:r>
    </w:p>
    <w:p>
      <w:pPr>
        <w:pStyle w:val="Heading3"/>
      </w:pPr>
      <w:bookmarkStart w:id="118" w:name="_6843f891f7d2d87f123c988bac8e37989524579"/>
      <w:r>
        <w:t xml:space="preserve">C. Plaintiff’s Claim For Violation Of 42 U.S.C. § 3617 (Fair Housing Act) Should Be Dismissed For Lack Of Protected Activity And Lack Of Protected Characteristic.</w:t>
      </w:r>
      <w:bookmarkEnd w:id="118"/>
    </w:p>
    <w:p>
      <w:pPr>
        <w:pStyle w:val="PleadingBody"/>
      </w:pPr>
      <w:r>
        <w:t xml:space="preserve">Under 42 U.S.C. § 3617, it is unlawful to</w:t>
      </w:r>
      <w:r>
        <w:t xml:space="preserve"> </w:t>
      </w:r>
      <w:r>
        <w:t xml:space="preserve">“coerce, intimidate, threaten, or interfere with any person in the exercise or enjoyment of . . . any right granted or protected by [the FHA].”</w:t>
      </w:r>
      <w:r>
        <w:t xml:space="preserve"> </w:t>
      </w:r>
      <w:r>
        <w:t xml:space="preserve">(emphasis added)</w:t>
      </w:r>
      <w:r>
        <w:t xml:space="preserve"> </w:t>
      </w:r>
      <w:r>
        <w:t xml:space="preserve">“As with any retaliation claim, [courts must] apply the familiar burden-shifting analysis established by the Supreme Court in</w:t>
      </w:r>
      <w:r>
        <w:t xml:space="preserve"> </w:t>
      </w:r>
      <w:r>
        <w:rPr>
          <w:i/>
          <w:iCs/>
        </w:rPr>
        <w:t xml:space="preserve">McDonnell Douglas Corp. v. Green</w:t>
      </w:r>
      <w:r>
        <w:t xml:space="preserve">, 411 U.S. 792, 93 S. Ct. 1817, 36 L. Ed. 2d 668 (1973).”</w:t>
      </w:r>
      <w:r>
        <w:t xml:space="preserve"> </w:t>
      </w:r>
      <w:r>
        <w:rPr>
          <w:i/>
          <w:iCs/>
        </w:rPr>
        <w:t xml:space="preserve">Scoggins v. Falcon Ct.</w:t>
      </w:r>
      <w:r>
        <w:t xml:space="preserve">, No. 24-00188, 2025 U.S. Dist. LEXIS 59060, at *2 (E.D. Cal. Mar. 27, 2025) (quoting</w:t>
      </w:r>
      <w:r>
        <w:t xml:space="preserve"> </w:t>
      </w:r>
      <w:r>
        <w:rPr>
          <w:i/>
          <w:iCs/>
        </w:rPr>
        <w:t xml:space="preserve">Walker v. City of Lakewood</w:t>
      </w:r>
      <w:r>
        <w:t xml:space="preserve">, 272 F.3d 1114, 1128 (9th Cir. 2001)). To establish a prima facie case of retaliation under the FHA, a plaintiff must allege (1) he engaged in protected activity; (2) the defendant(s) subjected him to an adverse action; and (3)</w:t>
      </w:r>
      <w:r>
        <w:t xml:space="preserve"> </w:t>
      </w:r>
      <w:r>
        <w:t xml:space="preserve">“a causal link exists between the protected activity and the adverse action.”</w:t>
      </w:r>
      <w:r>
        <w:t xml:space="preserve"> </w:t>
      </w:r>
      <w:r>
        <w:rPr>
          <w:i/>
          <w:iCs/>
        </w:rPr>
        <w:t xml:space="preserve">Walker</w:t>
      </w:r>
      <w:r>
        <w:t xml:space="preserve">, 272 F.3d at 1128 (citing</w:t>
      </w:r>
      <w:r>
        <w:t xml:space="preserve"> </w:t>
      </w:r>
      <w:r>
        <w:rPr>
          <w:i/>
          <w:iCs/>
        </w:rPr>
        <w:t xml:space="preserve">Steiner v. Showboat Operating Co.</w:t>
      </w:r>
      <w:r>
        <w:t xml:space="preserve">, 25 F.3d 1459, 1464 (9th Cir. 1994)).</w:t>
      </w:r>
      <w:r>
        <w:t xml:space="preserve"> </w:t>
      </w:r>
      <w:r>
        <w:t xml:space="preserve">“Protected activity”</w:t>
      </w:r>
      <w:r>
        <w:t xml:space="preserve"> </w:t>
      </w:r>
      <w:r>
        <w:t xml:space="preserve">covers many types of actions but must relate to a plaintiff exercising his rights</w:t>
      </w:r>
      <w:r>
        <w:t xml:space="preserve"> </w:t>
      </w:r>
      <w:r>
        <w:t xml:space="preserve">“granted or protected”</w:t>
      </w:r>
      <w:r>
        <w:t xml:space="preserve"> </w:t>
      </w:r>
      <w:r>
        <w:t xml:space="preserve">by the FHA.</w:t>
      </w:r>
      <w:r>
        <w:t xml:space="preserve"> </w:t>
      </w:r>
      <w:r>
        <w:rPr>
          <w:i/>
          <w:iCs/>
        </w:rPr>
        <w:t xml:space="preserve">Macon v. Proud Ground Org.</w:t>
      </w:r>
      <w:r>
        <w:t xml:space="preserve">, No. 20-01660, 2021 U.S. Dist. LEXIS 143910, at *17-18 (D. Or. July 30, 2021) (citing 42 U.S.C. § 3617).</w:t>
      </w:r>
    </w:p>
    <w:p>
      <w:pPr>
        <w:pStyle w:val="PleadingBody"/>
      </w:pPr>
      <w:r>
        <w:t xml:space="preserve">A violation of Section 3617</w:t>
      </w:r>
      <w:r>
        <w:t xml:space="preserve"> </w:t>
      </w:r>
      <w:r>
        <w:t xml:space="preserve">“can involve a situation where no discriminatory housing practice may have occurred at all.”</w:t>
      </w:r>
      <w:r>
        <w:t xml:space="preserve"> </w:t>
      </w:r>
      <w:r>
        <w:rPr>
          <w:i/>
          <w:iCs/>
        </w:rPr>
        <w:t xml:space="preserve">Dogbe v. Lakes at Lemmon Valley, LLC</w:t>
      </w:r>
      <w:r>
        <w:t xml:space="preserve">, No. 24-00283, 2025 U.S. Dist. LEXIS 89450, *17 (D. Nev. May 12, 2025) (citing</w:t>
      </w:r>
      <w:r>
        <w:t xml:space="preserve"> </w:t>
      </w:r>
      <w:r>
        <w:rPr>
          <w:i/>
          <w:iCs/>
        </w:rPr>
        <w:t xml:space="preserve">Morris v. W. Hayden Ests. First Addition Homeowners Ass’n</w:t>
      </w:r>
      <w:r>
        <w:t xml:space="preserve">, 104 F.4th 1128, 1142.). (citation and quotation marks omitted). For instance</w:t>
      </w:r>
      <w:r>
        <w:t xml:space="preserve"> </w:t>
      </w:r>
      <w:r>
        <w:t xml:space="preserve">“if a landlord rents to a white tenant but then threatens to evict him upon learning that he is married to a black woman, the landlord has plainly violated § 3617, whether he actually evicts the tenant or not.”</w:t>
      </w:r>
      <w:r>
        <w:t xml:space="preserve"> </w:t>
      </w:r>
      <w:r>
        <w:rPr>
          <w:i/>
          <w:iCs/>
        </w:rPr>
        <w:t xml:space="preserve">Id.</w:t>
      </w:r>
      <w:r>
        <w:t xml:space="preserve"> </w:t>
      </w:r>
      <w:r>
        <w:t xml:space="preserve">(citation and quotation marks omitted).</w:t>
      </w:r>
      <w:r>
        <w:t xml:space="preserve"> </w:t>
      </w:r>
      <w:r>
        <w:t xml:space="preserve">“At its core, the FHA guarantees tenants and homeowners a right to take and enjoy possession of a home free from discrimination based on a protected characteristic[.]”</w:t>
      </w:r>
      <w:r>
        <w:t xml:space="preserve"> </w:t>
      </w:r>
      <w:r>
        <w:rPr>
          <w:i/>
          <w:iCs/>
        </w:rPr>
        <w:t xml:space="preserve">Id.</w:t>
      </w:r>
      <w:r>
        <w:t xml:space="preserve"> </w:t>
      </w:r>
      <w:r>
        <w:t xml:space="preserve">at 1143 (citation omitted).</w:t>
      </w:r>
    </w:p>
    <w:p>
      <w:pPr>
        <w:pStyle w:val="PleadingBody"/>
      </w:pPr>
      <w:r>
        <w:t xml:space="preserve">Plaintiff’s claim pursuant to 42 U.S.C. § 3617 is vaguely plead but without setting forth any allegations that either identify Plaintiff’s protected characteristics or that impute liability to Granbury for independent acts of the former board member Daniel Brandmeyer. The FAC is completely devoid of any allegation of protected characteristics. Further, the only protected activity alleged is Plaintiff’s July 2024 NRED complaint and his August 2024 HUD complaint. However, while Plaintiff alleges that</w:t>
      </w:r>
      <w:r>
        <w:t xml:space="preserve"> </w:t>
      </w:r>
      <w:r>
        <w:t xml:space="preserve">“the HOA engaged in additional harassment of Plaintiff”</w:t>
      </w:r>
      <w:r>
        <w:t xml:space="preserve"> </w:t>
      </w:r>
      <w:r>
        <w:t xml:space="preserve">[ECF No. 1-1 at 7:19-20], the only allegations after July and August 2024 regard the allegations against Mr. Brandmeyer for filing defamation suits against Plaintiff in April and October 2025 [</w:t>
      </w:r>
      <w:r>
        <w:rPr>
          <w:i/>
          <w:iCs/>
        </w:rPr>
        <w:t xml:space="preserve">Id.</w:t>
      </w:r>
      <w:r>
        <w:t xml:space="preserve"> </w:t>
      </w:r>
      <w:r>
        <w:t xml:space="preserve">at 5:12-15 and 5:20-22]. These allegations do not assert that Granbury was involved or failed to take action to prevent Mr. Brandmeyer from filing those lawsuits, nor do they explain how any liability could be imputed to Granbury because Mr. Brandmeyer had recused himself from the HOA board prior to filing those lawsuits.</w:t>
      </w:r>
    </w:p>
    <w:p>
      <w:pPr>
        <w:pStyle w:val="PleadingBody"/>
      </w:pPr>
      <w:r>
        <w:t xml:space="preserve">As result, given the lack of any factual allegations supporting this claim, Plaintiff’s FHA claim should be dismissed.</w:t>
      </w:r>
    </w:p>
    <w:p>
      <w:pPr>
        <w:pStyle w:val="Heading3"/>
      </w:pPr>
      <w:bookmarkStart w:id="119" w:name="_96cdf9be9e6eb60bbe0d28e637db2ccda6a0529"/>
      <w:r>
        <w:t xml:space="preserve">D. Plaintiff’s Claim For Emotional Distress Should Be Dismissed For Failure To State a Claim</w:t>
      </w:r>
      <w:bookmarkEnd w:id="119"/>
    </w:p>
    <w:p>
      <w:pPr>
        <w:pStyle w:val="PleadingBody"/>
      </w:pPr>
      <w:r>
        <w:t xml:space="preserve">To establish an IIED claim, a plaintiff must show:</w:t>
      </w:r>
      <w:r>
        <w:t xml:space="preserve"> </w:t>
      </w:r>
      <w:r>
        <w:t xml:space="preserve">“(1) extreme and outrageous conduct with either the intention of, or reckless disregard for, causing emotional distress, (2) the plaintiff’s having suffered severe or extreme emotional distress and (3) actual or proximate causation.”</w:t>
      </w:r>
      <w:r>
        <w:t xml:space="preserve"> </w:t>
      </w:r>
      <w:r>
        <w:rPr>
          <w:i/>
          <w:iCs/>
        </w:rPr>
        <w:t xml:space="preserve">Olivero v. Lowe</w:t>
      </w:r>
      <w:r>
        <w:t xml:space="preserve">, 116 Nev. 395, 995 P.2d 1023, 1025 (Nev. 2000).</w:t>
      </w:r>
    </w:p>
    <w:p>
      <w:pPr>
        <w:pStyle w:val="PleadingBody"/>
      </w:pPr>
      <w:r>
        <w:t xml:space="preserve">Plaintiff cannot establish a prima facie claim for IIED pursuant to his allegations and exhibits. Plaintiff’s Complaint does not include any allegations of extreme or outrageous conduct. The only allegation against Granbury involve the issuance of violation notices that must be supported by allegations that Plaintiff administratively exhausted the claim pursuant to NRS 38.310. The remaining allegations of conduct are directed at the HOA board members and the allegations do not explain their independent actions can be imputed to Granbury. Accordingly, for all these reasons, Plaintiff’s IIED claim should be dismissed.</w:t>
      </w:r>
    </w:p>
    <w:p>
      <w:pPr>
        <w:pStyle w:val="Heading2"/>
      </w:pPr>
      <w:bookmarkStart w:id="120" w:name="_d1f8e73d11c5e77c3ae48a229ecdcbe9c6a9ce8"/>
      <w:r>
        <w:t xml:space="preserve">III. CONCLUSION</w:t>
      </w:r>
      <w:bookmarkEnd w:id="120"/>
    </w:p>
    <w:p>
      <w:pPr>
        <w:pStyle w:val="PleadingBody"/>
      </w:pPr>
      <w:r>
        <w:t xml:space="preserve">For the reasons stated within, Granbury request that the Court dismiss Plaintiff’s claims for (1) Retaliation under NRS 116.31183, (2) Violation of 42 U.S.C. § 3617, (3) Breach of Fiduciary Duty, and (4) Intentional Infliction of Emotional Distress.</w:t>
      </w:r>
    </w:p>
    <w:p>
      <w:pPr>
        <w:pStyle w:val="PleadingFlush"/>
      </w:pPr>
      <w:r>
        <w:t xml:space="preserve">Dated this 6th day of April, 2026.</w:t>
      </w:r>
    </w:p>
    <w:p/>
    <w:p>
      <w:pPr>
        <w:pStyle w:val="PleadingSignature"/>
      </w:pPr>
      <w:r>
        <w:t xml:space="preserve">O’HAGAN MEYER PLLC</w:t>
      </w:r>
    </w:p>
    <w:p>
      <w:pPr>
        <w:spacing w:before="0" w:after="0" w:line="182" w:lineRule="exact"/>
      </w:pPr>
    </w:p>
    <w:p>
      <w:pPr>
        <w:spacing w:before="0" w:after="0" w:line="231" w:lineRule="exact"/>
      </w:pPr>
    </w:p>
    <w:p>
      <w:pPr>
        <w:pStyle w:val="PleadingSignature"/>
      </w:pPr>
      <w:r>
        <w:t xml:space="preserve">By: /s/ Inku Nam, Esq.</w:t>
      </w:r>
    </w:p>
    <w:p>
      <w:pPr>
        <w:pStyle w:val="PleadingSignature"/>
      </w:pPr>
      <w:r>
        <w:t xml:space="preserve">Nevada Bar No. 12050</w:t>
      </w:r>
    </w:p>
    <w:p>
      <w:pPr>
        <w:pStyle w:val="PleadingSignature"/>
      </w:pPr>
      <w:r>
        <w:t xml:space="preserve">300 S. 4th Street, Suite 1250</w:t>
      </w:r>
    </w:p>
    <w:p>
      <w:pPr>
        <w:pStyle w:val="PleadingSignature"/>
      </w:pPr>
      <w:r>
        <w:t xml:space="preserve">Las Vegas, NV 89101</w:t>
      </w:r>
    </w:p>
    <w:p>
      <w:pPr>
        <w:pStyle w:val="PleadingSignature"/>
      </w:pPr>
      <w:r>
        <w:t xml:space="preserve">Attorneys for Defendant</w:t>
      </w:r>
    </w:p>
    <w:p>
      <w:pPr>
        <w:pStyle w:val="PleadingSignature"/>
      </w:pPr>
      <w:r>
        <w:t xml:space="preserve">Granbury at Valley Vista</w:t>
      </w:r>
    </w:p>
    <w:p>
      <w:pPr>
        <w:pStyle w:val="PleadingSignature"/>
      </w:pPr>
      <w:r>
        <w:t xml:space="preserve">Homeowners Association</w:t>
      </w:r>
    </w:p>
    <w:p>
      <w:pPr>
        <w:spacing w:before="0" w:after="0" w:line="350" w:lineRule="exact"/>
      </w:pPr>
    </w:p>
    <w:p>
      <w:pPr>
        <w:pageBreakBefore/>
        <w:spacing w:before="0" w:after="0" w:line="2" w:lineRule="exact"/>
      </w:pPr>
    </w:p>
    <w:p>
      <w:pPr>
        <w:pStyle w:val="PleadingCertHeading"/>
      </w:pPr>
      <w:r>
        <w:t xml:space="preserve">CERTIFICATE OF SERVICE</w:t>
      </w:r>
    </w:p>
    <w:p>
      <w:pPr>
        <w:pStyle w:val="PleadingBody"/>
      </w:pPr>
      <w:r>
        <w:t xml:space="preserve">Pursuant to NRCP 5(b) and NEFCR 9, I certify that I am an employee of O’HAGAN MEYER PLLC, and that on this 6th day of April, 2026, I electronically filed and served the foregoing DEFENDANT GRANBURY AT VALLEY VISTA HOMEOWNERS ASSOCIATION’S MOTION TO DISMISS FIRST AMENDED COMPLAINT through Clerk of the Court through Case Management/Electronic Filing System and Electronic Mail as follows:</w:t>
      </w:r>
    </w:p>
    <w:p>
      <w:pPr>
        <w:pStyle w:val="PleadingRecipient"/>
      </w:pPr>
      <w:r>
        <w:t xml:space="preserve">Rust Graf, ESQ.</w:t>
      </w:r>
    </w:p>
    <w:p>
      <w:pPr>
        <w:pStyle w:val="PleadingRecipient"/>
      </w:pPr>
      <w:r>
        <w:t xml:space="preserve">Nevada Bar No. 6322</w:t>
      </w:r>
    </w:p>
    <w:p>
      <w:pPr>
        <w:pStyle w:val="PleadingRecipient"/>
      </w:pPr>
      <w:r>
        <w:t xml:space="preserve">Sasha Araujo Hernandez, ESQ.</w:t>
      </w:r>
    </w:p>
    <w:p>
      <w:pPr>
        <w:pStyle w:val="PleadingRecipient"/>
      </w:pPr>
      <w:r>
        <w:t xml:space="preserve">Nevada Bar No. 16675</w:t>
      </w:r>
    </w:p>
    <w:p>
      <w:pPr>
        <w:pStyle w:val="PleadingRecipient"/>
      </w:pPr>
      <w:r>
        <w:t xml:space="preserve">BLACK &amp; WADHAMS</w:t>
      </w:r>
    </w:p>
    <w:p>
      <w:pPr>
        <w:pStyle w:val="PleadingRecipient"/>
      </w:pPr>
      <w:r>
        <w:t xml:space="preserve">10777 W. Twain Ave., Suite 300</w:t>
      </w:r>
    </w:p>
    <w:p>
      <w:pPr>
        <w:pStyle w:val="PleadingRecipient"/>
      </w:pPr>
      <w:r>
        <w:t xml:space="preserve">Las Vegas, NV 89135</w:t>
      </w:r>
    </w:p>
    <w:p>
      <w:pPr>
        <w:pStyle w:val="PleadingRecipient"/>
      </w:pPr>
      <w:r>
        <w:t xml:space="preserve">rgraf@blackwadhams.law</w:t>
      </w:r>
    </w:p>
    <w:p>
      <w:pPr>
        <w:pStyle w:val="PleadingRecipient"/>
      </w:pPr>
      <w:r>
        <w:t xml:space="preserve">saraujo@blackwadhams.law</w:t>
      </w:r>
    </w:p>
    <w:p>
      <w:pPr>
        <w:pStyle w:val="PleadingRecipient"/>
      </w:pPr>
      <w:r>
        <w:t xml:space="preserve"/>
      </w:r>
    </w:p>
    <w:p>
      <w:pPr>
        <w:pStyle w:val="PleadingRecipient"/>
      </w:pPr>
      <w:r>
        <w:t xml:space="preserve">Attorneys for Plaintiff</w:t>
      </w:r>
    </w:p>
    <w:p>
      <w:pPr>
        <w:spacing w:before="0" w:after="0" w:line="154" w:lineRule="exact"/>
      </w:pPr>
    </w:p>
    <w:p/>
    <w:p>
      <w:pPr>
        <w:pStyle w:val="PleadingSignature"/>
      </w:pPr>
      <w:r>
        <w:t xml:space="preserve">By: /s/ Krystal Williams</w:t>
      </w:r>
    </w:p>
    <w:p>
      <w:pPr>
        <w:pStyle w:val="PleadingSignature"/>
      </w:pPr>
      <w:r>
        <w:t xml:space="preserve">An Employee of</w:t>
      </w:r>
    </w:p>
    <w:p>
      <w:pPr>
        <w:pStyle w:val="PleadingSignature"/>
      </w:pPr>
      <w:r>
        <w:t xml:space="preserve">O’HAGAN MEYER PLLC</w:t>
      </w:r>
    </w:p>
    <w:sectPr>
      <w:headerReference w:type="default" r:id="rId101"/>
      <w:footerReference w:type="default" r:id="rId102"/>
      <w:pgSz w:w="12240" w:h="15840"/>
      <w:pgMar w:top="1440" w:right="1440" w:bottom="1440" w:left="2160" w:header="720" w:footer="720" w:gutter="0"/>
      <w:pgBorders w:offsetFrom="text">
        <w:left w:val="double" w:sz="4" w:space="14" w:color="000000"/>
        <w:right w:val="single" w:sz="4" w:space="7" w:color="000000"/>
      </w:pgBorders>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240" w:lineRule="auto"/>
      <w:ind w:firstLine="0"/>
      <w:jc w:val="center"/>
    </w:pPr>
    <w:r>
      <w:rPr>
        <w:sz w:val="24"/>
      </w:rPr>
      <w:fldChar w:fldCharType="begin"/>
    </w:r>
    <w:r>
      <w:rPr>
        <w:sz w:val="24"/>
      </w:rPr>
      <w:instrText xml:space="preserve"> PAGE </w:instrText>
    </w:r>
    <w:r>
      <w:rPr>
        <w:sz w:val="24"/>
      </w:rPr>
      <w:fldChar w:fldCharType="separate"/>
    </w:r>
    <w:r>
      <w:rPr>
        <w:sz w:val="24"/>
      </w:rPr>
      <w:t>1</w:t>
    </w:r>
    <w:r>
      <w:rPr>
        <w:sz w:val="24"/>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wps="http://schemas.microsoft.com/office/word/2010/wordprocessingShape">
  <w:p>
    <w:pPr>
      <w:spacing w:before="0" w:after="0" w:line="240" w:lineRule="auto"/>
    </w:pPr>
    <w:r>
      <w:drawing>
        <wp:anchor distT="0" distB="0" distL="0" distR="0" simplePos="0" relativeHeight="251659264" behindDoc="1" locked="1" layoutInCell="1" allowOverlap="1">
          <wp:simplePos x="0" y="0"/>
          <wp:positionH relativeFrom="page">
            <wp:posOffset>352425</wp:posOffset>
          </wp:positionH>
          <wp:positionV relativeFrom="page">
            <wp:posOffset>914400</wp:posOffset>
          </wp:positionV>
          <wp:extent cx="635000" cy="8214360"/>
          <wp:effectExtent l="0" t="0" r="0" b="0"/>
          <wp:wrapNone/>
          <wp:docPr id="1" name="Pleading line numbers"/>
          <wp:cNvGraphicFramePr/>
          <a:graphic>
            <a:graphicData uri="http://schemas.microsoft.com/office/word/2010/wordprocessingShape">
              <wps:wsp>
                <wps:cNvSpPr txBox="1"/>
                <wps:spPr>
                  <a:xfrm>
                    <a:off x="0" y="0"/>
                    <a:ext cx="635000" cy="8214360"/>
                  </a:xfrm>
                  <a:prstGeom prst="rect">
                    <a:avLst/>
                  </a:prstGeom>
                  <a:noFill/>
                  <a:ln>
                    <a:noFill/>
                  </a:ln>
                </wps:spPr>
                <wps:txbx>
                  <w:txbxContent>
                    <w:p>
                      <w:pPr>
                        <w:spacing w:before="0" w:after="0" w:line="462" w:lineRule="exact"/>
                        <w:ind w:firstLine="0"/>
                        <w:jc w:val="right"/>
                      </w:pPr>
                      <w:r>
                        <w:rPr>
                          <w:sz w:val="26"/>
                          <w:szCs w:val="26"/>
                        </w:rPr>
                        <w:t>1</w:t>
                      </w:r>
                    </w:p>
                    <w:p>
                      <w:pPr>
                        <w:spacing w:before="0" w:after="0" w:line="462" w:lineRule="exact"/>
                        <w:ind w:firstLine="0"/>
                        <w:jc w:val="right"/>
                      </w:pPr>
                      <w:r>
                        <w:rPr>
                          <w:sz w:val="26"/>
                          <w:szCs w:val="26"/>
                        </w:rPr>
                        <w:t>2</w:t>
                      </w:r>
                    </w:p>
                    <w:p>
                      <w:pPr>
                        <w:spacing w:before="0" w:after="0" w:line="462" w:lineRule="exact"/>
                        <w:ind w:firstLine="0"/>
                        <w:jc w:val="right"/>
                      </w:pPr>
                      <w:r>
                        <w:rPr>
                          <w:sz w:val="26"/>
                          <w:szCs w:val="26"/>
                        </w:rPr>
                        <w:t>3</w:t>
                      </w:r>
                    </w:p>
                    <w:p>
                      <w:pPr>
                        <w:spacing w:before="0" w:after="0" w:line="462" w:lineRule="exact"/>
                        <w:ind w:firstLine="0"/>
                        <w:jc w:val="right"/>
                      </w:pPr>
                      <w:r>
                        <w:rPr>
                          <w:sz w:val="26"/>
                          <w:szCs w:val="26"/>
                        </w:rPr>
                        <w:t>4</w:t>
                      </w:r>
                    </w:p>
                    <w:p>
                      <w:pPr>
                        <w:spacing w:before="0" w:after="0" w:line="462" w:lineRule="exact"/>
                        <w:ind w:firstLine="0"/>
                        <w:jc w:val="right"/>
                      </w:pPr>
                      <w:r>
                        <w:rPr>
                          <w:sz w:val="26"/>
                          <w:szCs w:val="26"/>
                        </w:rPr>
                        <w:t>5</w:t>
                      </w:r>
                    </w:p>
                    <w:p>
                      <w:pPr>
                        <w:spacing w:before="0" w:after="0" w:line="462" w:lineRule="exact"/>
                        <w:ind w:firstLine="0"/>
                        <w:jc w:val="right"/>
                      </w:pPr>
                      <w:r>
                        <w:rPr>
                          <w:sz w:val="26"/>
                          <w:szCs w:val="26"/>
                        </w:rPr>
                        <w:t>6</w:t>
                      </w:r>
                    </w:p>
                    <w:p>
                      <w:pPr>
                        <w:spacing w:before="0" w:after="0" w:line="462" w:lineRule="exact"/>
                        <w:ind w:firstLine="0"/>
                        <w:jc w:val="right"/>
                      </w:pPr>
                      <w:r>
                        <w:rPr>
                          <w:sz w:val="26"/>
                          <w:szCs w:val="26"/>
                        </w:rPr>
                        <w:t>7</w:t>
                      </w:r>
                    </w:p>
                    <w:p>
                      <w:pPr>
                        <w:spacing w:before="0" w:after="0" w:line="462" w:lineRule="exact"/>
                        <w:ind w:firstLine="0"/>
                        <w:jc w:val="right"/>
                      </w:pPr>
                      <w:r>
                        <w:rPr>
                          <w:sz w:val="26"/>
                          <w:szCs w:val="26"/>
                        </w:rPr>
                        <w:t>8</w:t>
                      </w:r>
                    </w:p>
                    <w:p>
                      <w:pPr>
                        <w:spacing w:before="0" w:after="0" w:line="462" w:lineRule="exact"/>
                        <w:ind w:firstLine="0"/>
                        <w:jc w:val="right"/>
                      </w:pPr>
                      <w:r>
                        <w:rPr>
                          <w:sz w:val="26"/>
                          <w:szCs w:val="26"/>
                        </w:rPr>
                        <w:t>9</w:t>
                      </w:r>
                    </w:p>
                    <w:p>
                      <w:pPr>
                        <w:spacing w:before="0" w:after="0" w:line="462" w:lineRule="exact"/>
                        <w:ind w:firstLine="0"/>
                        <w:jc w:val="right"/>
                      </w:pPr>
                      <w:r>
                        <w:rPr>
                          <w:sz w:val="26"/>
                          <w:szCs w:val="26"/>
                        </w:rPr>
                        <w:t>10</w:t>
                      </w:r>
                    </w:p>
                    <w:p>
                      <w:pPr>
                        <w:spacing w:before="0" w:after="0" w:line="462" w:lineRule="exact"/>
                        <w:ind w:firstLine="0"/>
                        <w:jc w:val="right"/>
                      </w:pPr>
                      <w:r>
                        <w:rPr>
                          <w:sz w:val="26"/>
                          <w:szCs w:val="26"/>
                        </w:rPr>
                        <w:t>11</w:t>
                      </w:r>
                    </w:p>
                    <w:p>
                      <w:pPr>
                        <w:spacing w:before="0" w:after="0" w:line="462" w:lineRule="exact"/>
                        <w:ind w:firstLine="0"/>
                        <w:jc w:val="right"/>
                      </w:pPr>
                      <w:r>
                        <w:rPr>
                          <w:sz w:val="26"/>
                          <w:szCs w:val="26"/>
                        </w:rPr>
                        <w:t>12</w:t>
                      </w:r>
                    </w:p>
                    <w:p>
                      <w:pPr>
                        <w:spacing w:before="0" w:after="0" w:line="462" w:lineRule="exact"/>
                        <w:ind w:firstLine="0"/>
                        <w:jc w:val="right"/>
                      </w:pPr>
                      <w:r>
                        <w:rPr>
                          <w:sz w:val="26"/>
                          <w:szCs w:val="26"/>
                        </w:rPr>
                        <w:t>13</w:t>
                      </w:r>
                    </w:p>
                    <w:p>
                      <w:pPr>
                        <w:spacing w:before="0" w:after="0" w:line="462" w:lineRule="exact"/>
                        <w:ind w:firstLine="0"/>
                        <w:jc w:val="right"/>
                      </w:pPr>
                      <w:r>
                        <w:rPr>
                          <w:sz w:val="26"/>
                          <w:szCs w:val="26"/>
                        </w:rPr>
                        <w:t>14</w:t>
                      </w:r>
                    </w:p>
                    <w:p>
                      <w:pPr>
                        <w:spacing w:before="0" w:after="0" w:line="462" w:lineRule="exact"/>
                        <w:ind w:firstLine="0"/>
                        <w:jc w:val="right"/>
                      </w:pPr>
                      <w:r>
                        <w:rPr>
                          <w:sz w:val="26"/>
                          <w:szCs w:val="26"/>
                        </w:rPr>
                        <w:t>15</w:t>
                      </w:r>
                    </w:p>
                    <w:p>
                      <w:pPr>
                        <w:spacing w:before="0" w:after="0" w:line="462" w:lineRule="exact"/>
                        <w:ind w:firstLine="0"/>
                        <w:jc w:val="right"/>
                      </w:pPr>
                      <w:r>
                        <w:rPr>
                          <w:sz w:val="26"/>
                          <w:szCs w:val="26"/>
                        </w:rPr>
                        <w:t>16</w:t>
                      </w:r>
                    </w:p>
                    <w:p>
                      <w:pPr>
                        <w:spacing w:before="0" w:after="0" w:line="462" w:lineRule="exact"/>
                        <w:ind w:firstLine="0"/>
                        <w:jc w:val="right"/>
                      </w:pPr>
                      <w:r>
                        <w:rPr>
                          <w:sz w:val="26"/>
                          <w:szCs w:val="26"/>
                        </w:rPr>
                        <w:t>17</w:t>
                      </w:r>
                    </w:p>
                    <w:p>
                      <w:pPr>
                        <w:spacing w:before="0" w:after="0" w:line="462" w:lineRule="exact"/>
                        <w:ind w:firstLine="0"/>
                        <w:jc w:val="right"/>
                      </w:pPr>
                      <w:r>
                        <w:rPr>
                          <w:sz w:val="26"/>
                          <w:szCs w:val="26"/>
                        </w:rPr>
                        <w:t>18</w:t>
                      </w:r>
                    </w:p>
                    <w:p>
                      <w:pPr>
                        <w:spacing w:before="0" w:after="0" w:line="462" w:lineRule="exact"/>
                        <w:ind w:firstLine="0"/>
                        <w:jc w:val="right"/>
                      </w:pPr>
                      <w:r>
                        <w:rPr>
                          <w:sz w:val="26"/>
                          <w:szCs w:val="26"/>
                        </w:rPr>
                        <w:t>19</w:t>
                      </w:r>
                    </w:p>
                    <w:p>
                      <w:pPr>
                        <w:spacing w:before="0" w:after="0" w:line="462" w:lineRule="exact"/>
                        <w:ind w:firstLine="0"/>
                        <w:jc w:val="right"/>
                      </w:pPr>
                      <w:r>
                        <w:rPr>
                          <w:sz w:val="26"/>
                          <w:szCs w:val="26"/>
                        </w:rPr>
                        <w:t>20</w:t>
                      </w:r>
                    </w:p>
                    <w:p>
                      <w:pPr>
                        <w:spacing w:before="0" w:after="0" w:line="462" w:lineRule="exact"/>
                        <w:ind w:firstLine="0"/>
                        <w:jc w:val="right"/>
                      </w:pPr>
                      <w:r>
                        <w:rPr>
                          <w:sz w:val="26"/>
                          <w:szCs w:val="26"/>
                        </w:rPr>
                        <w:t>21</w:t>
                      </w:r>
                    </w:p>
                    <w:p>
                      <w:pPr>
                        <w:spacing w:before="0" w:after="0" w:line="462" w:lineRule="exact"/>
                        <w:ind w:firstLine="0"/>
                        <w:jc w:val="right"/>
                      </w:pPr>
                      <w:r>
                        <w:rPr>
                          <w:sz w:val="26"/>
                          <w:szCs w:val="26"/>
                        </w:rPr>
                        <w:t>22</w:t>
                      </w:r>
                    </w:p>
                    <w:p>
                      <w:pPr>
                        <w:spacing w:before="0" w:after="0" w:line="462" w:lineRule="exact"/>
                        <w:ind w:firstLine="0"/>
                        <w:jc w:val="right"/>
                      </w:pPr>
                      <w:r>
                        <w:rPr>
                          <w:sz w:val="26"/>
                          <w:szCs w:val="26"/>
                        </w:rPr>
                        <w:t>23</w:t>
                      </w:r>
                    </w:p>
                    <w:p>
                      <w:pPr>
                        <w:spacing w:before="0" w:after="0" w:line="462" w:lineRule="exact"/>
                        <w:ind w:firstLine="0"/>
                        <w:jc w:val="right"/>
                      </w:pPr>
                      <w:r>
                        <w:rPr>
                          <w:sz w:val="26"/>
                          <w:szCs w:val="26"/>
                        </w:rPr>
                        <w:t>24</w:t>
                      </w:r>
                    </w:p>
                    <w:p>
                      <w:pPr>
                        <w:spacing w:before="0" w:after="0" w:line="462" w:lineRule="exact"/>
                        <w:ind w:firstLine="0"/>
                        <w:jc w:val="right"/>
                      </w:pPr>
                      <w:r>
                        <w:rPr>
                          <w:sz w:val="26"/>
                          <w:szCs w:val="26"/>
                        </w:rPr>
                        <w:t>25</w:t>
                      </w:r>
                    </w:p>
                    <w:p>
                      <w:pPr>
                        <w:spacing w:before="0" w:after="0" w:line="462" w:lineRule="exact"/>
                        <w:ind w:firstLine="0"/>
                        <w:jc w:val="right"/>
                      </w:pPr>
                      <w:r>
                        <w:rPr>
                          <w:sz w:val="26"/>
                          <w:szCs w:val="26"/>
                        </w:rPr>
                        <w:t>26</w:t>
                      </w:r>
                    </w:p>
                    <w:p>
                      <w:pPr>
                        <w:spacing w:before="0" w:after="0" w:line="462" w:lineRule="exact"/>
                        <w:ind w:firstLine="0"/>
                        <w:jc w:val="right"/>
                      </w:pPr>
                      <w:r>
                        <w:rPr>
                          <w:sz w:val="26"/>
                          <w:szCs w:val="26"/>
                        </w:rPr>
                        <w:t>27</w:t>
                      </w:r>
                    </w:p>
                    <w:p>
                      <w:pPr>
                        <w:spacing w:before="0" w:after="0" w:line="462" w:lineRule="exact"/>
                        <w:ind w:firstLine="0"/>
                        <w:jc w:val="right"/>
                      </w:pPr>
                      <w:r>
                        <w:rPr>
                          <w:sz w:val="26"/>
                          <w:szCs w:val="26"/>
                        </w:rPr>
                        <w:t>28</w:t>
                      </w:r>
                    </w:p>
                  </w:txbxContent>
                </wps:txbx>
                <wps:bodyPr rot="0" vert="horz" wrap="square" lIns="0" tIns="0" rIns="0" bIns="0" anchor="t" anchorCtr="0">
                  <a:noAutofit/>
                </wps:bodyPr>
              </wps:wsp>
            </a:graphicData>
          </a:graphic>
        </wp:anchor>
      </w:drawing>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EB Garamond" w:hAnsi="EB Garamond" w:eastAsia="EB Garamond" w:cs="EB Garamond"/>
        <w:sz w:val="26"/>
        <w:szCs w:val="26"/>
        <w:lang w:val="en-US"/>
      </w:rPr>
    </w:rPrDefault>
    <w:pPrDefault>
      <w:pPr>
        <w:spacing w:before="0" w:after="0"/>
      </w:pPr>
    </w:pPrDefault>
  </w:docDefaults>
  <w:latentStyles w:defLockedState="0" w:defUIPriority="0" w:defSemiHidden="0" w:defUnhideWhenUsed="0" w:defQFormat="0" w:count="276"/>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firstLine="0" w:left="480" w:right="480"/>
    </w:pPr>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default="1" w:styleId="Normal">
    <w:name w:val="Normal"/>
    <w:qFormat/>
    <w:pPr>
      <w:widowControl/>
      <w:spacing w:before="0" w:after="0" w:line="462" w:lineRule="exact"/>
      <w:ind w:firstLine="0"/>
      <w:jc w:val="left"/>
    </w:pPr>
    <w:rPr>
      <w:rFonts w:ascii="EB Garamond" w:hAnsi="EB Garamond" w:eastAsia="EB Garamond" w:cs="EB Garamond"/>
      <w:sz w:val="26"/>
      <w:szCs w:val="26"/>
    </w:rPr>
  </w:style>
  <w:style w:type="paragraph" w:styleId="BodyText">
    <w:name w:val="Body Text"/>
    <w:basedOn w:val="Normal"/>
    <w:qFormat/>
    <w:pPr>
      <w:ind w:firstLine="720"/>
    </w:pPr>
  </w:style>
  <w:style w:type="paragraph" w:styleId="FirstParagraph">
    <w:name w:val="First Paragraph"/>
    <w:basedOn w:val="BodyText"/>
    <w:next w:val="BodyText"/>
    <w:qFormat/>
  </w:style>
  <w:style w:type="paragraph" w:styleId="Compact">
    <w:name w:val="Compact"/>
    <w:basedOn w:val="Normal"/>
    <w:qFormat/>
    <w:pPr>
      <w:ind w:firstLine="0"/>
    </w:pPr>
  </w:style>
  <w:style w:type="paragraph" w:styleId="Heading1">
    <w:name w:val="heading 1"/>
    <w:basedOn w:val="Normal"/>
    <w:next w:val="BodyText"/>
    <w:uiPriority w:val="9"/>
    <w:qFormat/>
    <w:pPr>
      <w:keepNext/>
      <w:keepLines/>
      <w:spacing w:before="0" w:after="0" w:line="462" w:lineRule="exact"/>
      <w:ind w:firstLine="0"/>
      <w:jc w:val="center"/>
      <w:outlineLvl w:val="0"/>
    </w:pPr>
    <w:rPr>
      <w:b/>
      <w:bCs/>
    </w:rPr>
  </w:style>
  <w:style w:type="paragraph" w:styleId="Heading2">
    <w:name w:val="heading 2"/>
    <w:basedOn w:val="Normal"/>
    <w:next w:val="BodyText"/>
    <w:uiPriority w:val="9"/>
    <w:unhideWhenUsed/>
    <w:qFormat/>
    <w:pPr>
      <w:keepNext/>
      <w:keepLines/>
      <w:spacing w:before="0" w:after="0" w:line="462" w:lineRule="exact"/>
      <w:ind w:left="720" w:hanging="720" w:firstLine="0"/>
      <w:jc w:val="left"/>
      <w:outlineLvl w:val="1"/>
    </w:pPr>
    <w:rPr>
      <w:b/>
      <w:bCs/>
    </w:rPr>
  </w:style>
  <w:style w:type="paragraph" w:styleId="Heading3">
    <w:name w:val="heading 3"/>
    <w:basedOn w:val="Normal"/>
    <w:next w:val="BodyText"/>
    <w:uiPriority w:val="9"/>
    <w:unhideWhenUsed/>
    <w:qFormat/>
    <w:pPr>
      <w:keepNext/>
      <w:keepLines/>
      <w:spacing w:before="0" w:after="0" w:line="462" w:lineRule="exact"/>
      <w:ind w:left="720" w:hanging="720" w:firstLine="0"/>
      <w:jc w:val="left"/>
      <w:outlineLvl w:val="2"/>
    </w:pPr>
    <w:rPr>
      <w:b/>
      <w:bCs/>
    </w:rPr>
  </w:style>
  <w:style w:type="paragraph" w:styleId="FootnoteText">
    <w:name w:val="footnote text"/>
    <w:basedOn w:val="Normal"/>
    <w:uiPriority w:val="99"/>
    <w:unhideWhenUsed/>
    <w:pPr>
      <w:spacing w:before="0" w:after="0" w:line="240" w:lineRule="auto"/>
      <w:ind w:firstLine="0"/>
    </w:pPr>
    <w:rPr>
      <w:sz w:val="24"/>
      <w:szCs w:val="24"/>
    </w:rPr>
  </w:style>
  <w:style w:type="paragraph" w:customStyle="1" w:styleId="PleadingSingle">
    <w:name w:val="Pleading Single"/>
    <w:basedOn w:val="Normal"/>
    <w:qFormat/>
    <w:pPr>
      <w:spacing w:before="0" w:after="0" w:line="280" w:lineRule="exact"/>
      <w:ind w:firstLine="0"/>
    </w:pPr>
  </w:style>
  <w:style w:type="paragraph" w:customStyle="1" w:styleId="PleadingCentered">
    <w:name w:val="Pleading Centered"/>
    <w:basedOn w:val="Normal"/>
    <w:qFormat/>
    <w:pPr>
      <w:ind w:firstLine="0"/>
      <w:jc w:val="center"/>
    </w:pPr>
  </w:style>
  <w:style w:type="paragraph" w:customStyle="1" w:styleId="PleadingBody">
    <w:name w:val="Pleading Body"/>
    <w:basedOn w:val="Normal"/>
    <w:qFormat/>
    <w:pPr>
      <w:ind w:firstLine="720"/>
    </w:pPr>
  </w:style>
  <w:style w:type="paragraph" w:customStyle="1" w:styleId="PleadingFlush">
    <w:name w:val="Pleading Flush"/>
    <w:basedOn w:val="Normal"/>
    <w:qFormat/>
    <w:pPr>
      <w:ind w:firstLine="0"/>
    </w:pPr>
  </w:style>
  <w:style w:type="paragraph" w:customStyle="1" w:styleId="PleadingQuote">
    <w:name w:val="Pleading Quote"/>
    <w:basedOn w:val="PleadingSingle"/>
    <w:qFormat/>
    <w:pPr>
      <w:ind w:left="720" w:right="720" w:firstLine="0"/>
    </w:pPr>
  </w:style>
  <w:style w:type="paragraph" w:customStyle="1" w:styleId="PleadingCaption">
    <w:name w:val="Pleading Caption"/>
    <w:basedOn w:val="PleadingSingle"/>
    <w:qFormat/>
    <w:pPr>
      <w:ind w:firstLine="0"/>
    </w:pPr>
  </w:style>
  <w:style w:type="paragraph" w:customStyle="1" w:styleId="PleadingDesignation">
    <w:name w:val="Pleading Designation"/>
    <w:basedOn w:val="PleadingCaption"/>
    <w:qFormat/>
    <w:pPr>
      <w:ind w:left="1728" w:firstLine="0"/>
    </w:pPr>
  </w:style>
  <w:style w:type="paragraph" w:customStyle="1" w:styleId="PleadingHanging">
    <w:name w:val="Pleading Hanging"/>
    <w:basedOn w:val="PleadingSingle"/>
    <w:qFormat/>
    <w:pPr>
      <w:ind w:left="504" w:hanging="504"/>
    </w:pPr>
  </w:style>
  <w:style w:type="paragraph" w:customStyle="1" w:styleId="PleadingSignature">
    <w:name w:val="Pleading Signature"/>
    <w:basedOn w:val="PleadingSingle"/>
    <w:qFormat/>
    <w:pPr>
      <w:keepNext/>
      <w:keepLines/>
      <w:ind w:left="3744" w:firstLine="0"/>
    </w:pPr>
  </w:style>
  <w:style w:type="paragraph" w:customStyle="1" w:styleId="PleadingCertHeading">
    <w:name w:val="Pleading Certificate Heading"/>
    <w:basedOn w:val="Normal"/>
    <w:qFormat/>
    <w:pPr>
      <w:keepNext/>
      <w:keepLines/>
      <w:ind w:firstLine="0"/>
      <w:jc w:val="center"/>
    </w:pPr>
    <w:rPr>
      <w:b/>
      <w:bCs/>
    </w:rPr>
  </w:style>
  <w:style w:type="paragraph" w:customStyle="1" w:styleId="PleadingRecipient">
    <w:name w:val="Pleading Recipient"/>
    <w:basedOn w:val="PleadingSingle"/>
    <w:qFormat/>
    <w:pPr>
      <w:ind w:left="720" w:firstLine="0"/>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10" Target="numbering.xml" /><Relationship Type="http://schemas.openxmlformats.org/officeDocument/2006/relationships/styles" Id="rId109" Target="styles.xml" /><Relationship Type="http://schemas.openxmlformats.org/officeDocument/2006/relationships/settings" Id="rId108" Target="settings.xml" /><Relationship Type="http://schemas.openxmlformats.org/officeDocument/2006/relationships/webSettings" Id="rId107" Target="webSettings.xml" /><Relationship Type="http://schemas.openxmlformats.org/officeDocument/2006/relationships/fontTable" Id="rId106" Target="fontTable.xml" /><Relationship Type="http://schemas.openxmlformats.org/officeDocument/2006/relationships/theme" Id="rId105" Target="theme/theme1.xml" /><Relationship Type="http://schemas.openxmlformats.org/officeDocument/2006/relationships/footnotes" Id="rId104" Target="footnotes.xml" /><Relationship Type="http://schemas.openxmlformats.org/officeDocument/2006/relationships/comments" Id="rId103" Target="comments.xml" /><Relationship Type="http://schemas.openxmlformats.org/officeDocument/2006/relationships/header" Id="rId101" Target="header1.xml" /><Relationship Type="http://schemas.openxmlformats.org/officeDocument/2006/relationships/footer" Id="rId102" Target="footer1.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2026-10-15T12:24:16Z</dcterms:created>
  <dcterms:modified xsi:type="dcterms:W3CDTF">2026-10-15T12:24:16Z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rief_title">
    <vt:lpwstr>DEFENDANT GRANBURY AT VALLEY VISTA HOMEOWNERS ASSOCIATION’S MOTION TO DISMISS FIRST AMENDED COMPLAINT [ECF NO. 1-1]</vt:lpwstr>
  </property>
  <property fmtid="{D5CDD505-2E9C-101B-9397-08002B2CF9AE}" pid="3" name="caption">
    <vt:lpwstr/>
  </property>
  <property fmtid="{D5CDD505-2E9C-101B-9397-08002B2CF9AE}" pid="4" name="case_number">
    <vt:lpwstr>2:26-cv-00895-APG-EJY</vt:lpwstr>
  </property>
  <property fmtid="{D5CDD505-2E9C-101B-9397-08002B2CF9AE}" pid="5" name="certificate">
    <vt:lpwstr/>
  </property>
  <property fmtid="{D5CDD505-2E9C-101B-9397-08002B2CF9AE}" pid="6" name="counsel">
    <vt:lpwstr/>
  </property>
  <property fmtid="{D5CDD505-2E9C-101B-9397-08002B2CF9AE}" pid="7" name="signature">
    <vt:lpwstr/>
  </property>
</Properties>
</file>