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jc w:val="center"/>
      </w:pPr>
      <w:r>
        <w:rPr>
          <w:b/>
          <w:bCs/>
        </w:rPr>
        <w:t xml:space="preserve">IN THE UNITED STATES NAVY-MARINE CORPS</w:t>
      </w:r>
    </w:p>
    <w:p>
      <w:pPr>
        <w:spacing w:before="0" w:after="0" w:line="336" w:lineRule="exact"/>
        <w:jc w:val="center"/>
      </w:pPr>
      <w:r>
        <w:rPr>
          <w:b/>
          <w:bCs/>
        </w:rPr>
        <w:t xml:space="preserve">COURT OF CRIMINAL APPEALS</w:t>
      </w:r>
    </w:p>
    <w:p>
      <w:pPr>
        <w:spacing w:before="336" w:after="504" w:line="336" w:lineRule="exact"/>
        <w:jc w:val="center"/>
      </w:pPr>
      <w:r>
        <w:t xml:space="preserve">Before </w:t>
      </w:r>
      <w:r>
        <w:t xml:space="preserve">Panel</w:t>
      </w:r>
      <w:r>
        <w:t xml:space="preserve"> </w:t>
      </w:r>
      <w:r>
        <w:t xml:space="preserve">No.</w:t>
      </w:r>
      <w:r>
        <w:t xml:space="preserve"> </w:t>
      </w:r>
      <w:r>
        <w:t xml:space="preserve">3</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540"/>
        <w:gridCol w:w="280"/>
        <w:gridCol w:w="4540"/>
      </w:tblGrid>
      <w:tr>
        <w:tc>
          <w:tcPr>
            <w:tcW w:w="4540" w:type="dxa"/>
          </w:tcPr>
          <w:p>
            <w:pPr>
              <w:spacing w:before="0" w:after="0" w:line="336" w:lineRule="exact"/>
            </w:pPr>
            <w:r>
              <w:t xml:space="preserve">UNITED</w:t>
            </w:r>
            <w:r>
              <w:t xml:space="preserve"> </w:t>
            </w:r>
            <w:r>
              <w:t xml:space="preserve">STATES</w:t>
            </w:r>
          </w:p>
          <w:p>
            <w:pPr>
              <w:spacing w:before="336" w:after="0" w:line="336" w:lineRule="exact"/>
              <w:jc w:val="center"/>
            </w:pPr>
            <w:r>
              <w:t xml:space="preserve">Appellee</w:t>
            </w:r>
          </w:p>
          <w:p>
            <w:pPr>
              <w:spacing w:before="336" w:after="0" w:line="336" w:lineRule="exact"/>
            </w:pPr>
            <w:r>
              <w:t xml:space="preserve">v.</w:t>
            </w:r>
          </w:p>
          <w:p>
            <w:pPr>
              <w:spacing w:before="336" w:after="0" w:line="336" w:lineRule="exact"/>
            </w:pPr>
            <w:r>
              <w:t xml:space="preserve">Gregory</w:t>
            </w:r>
            <w:r>
              <w:t xml:space="preserve"> </w:t>
            </w:r>
            <w:r>
              <w:t xml:space="preserve">T.</w:t>
            </w:r>
            <w:r>
              <w:t xml:space="preserve"> </w:t>
            </w:r>
            <w:r>
              <w:t xml:space="preserve">Miles</w:t>
            </w:r>
          </w:p>
          <w:p>
            <w:pPr>
              <w:spacing w:before="0" w:after="0" w:line="336" w:lineRule="exact"/>
            </w:pPr>
            <w:r>
              <w:rPr>
                <w:i/>
                <w:iCs/>
              </w:rPr>
              <w:t xml:space="preserve">LCpl</w:t>
            </w:r>
            <w:r>
              <w:rPr>
                <w:i/>
                <w:iCs/>
              </w:rPr>
              <w:t xml:space="preserve"> </w:t>
            </w:r>
            <w:r>
              <w:rPr>
                <w:i/>
                <w:iCs/>
              </w:rPr>
              <w:t xml:space="preserve">(E</w:t>
              <w:noBreakHyphen/>
              <w:t xml:space="preserve">3)</w:t>
            </w:r>
          </w:p>
          <w:p>
            <w:pPr>
              <w:spacing w:before="0" w:after="0" w:line="336" w:lineRule="exact"/>
            </w:pPr>
            <w:r>
              <w:rPr>
                <w:i/>
                <w:iCs/>
              </w:rPr>
              <w:t xml:space="preserve">U.S.</w:t>
            </w:r>
            <w:r>
              <w:rPr>
                <w:i/>
                <w:iCs/>
              </w:rPr>
              <w:t xml:space="preserve"> </w:t>
            </w:r>
            <w:r>
              <w:rPr>
                <w:i/>
                <w:iCs/>
              </w:rPr>
              <w:t xml:space="preserve">Marine</w:t>
            </w:r>
            <w:r>
              <w:rPr>
                <w:i/>
                <w:iCs/>
              </w:rPr>
              <w:t xml:space="preserve"> </w:t>
            </w:r>
            <w:r>
              <w:rPr>
                <w:i/>
                <w:iCs/>
              </w:rPr>
              <w:t xml:space="preserve">Corps</w:t>
            </w:r>
          </w:p>
          <w:p>
            <w:pPr>
              <w:spacing w:before="336" w:after="0" w:line="336" w:lineRule="exact"/>
              <w:jc w:val="center"/>
            </w:pPr>
            <w:r>
              <w:t xml:space="preserve">Appellant</w:t>
            </w:r>
          </w:p>
        </w:tc>
        <w:tc>
          <w:tcPr>
            <w:tcW w:w="280" w:type="dxa"/>
          </w:tcPr>
          <w:p>
            <w:pPr>
              <w:spacing w:before="0" w:after="0" w:line="336" w:lineRule="exact"/>
            </w:pPr>
          </w:p>
        </w:tc>
        <w:tc>
          <w:tcPr>
            <w:tcW w:w="4540" w:type="dxa"/>
          </w:tcPr>
          <w:p>
            <w:pPr>
              <w:spacing w:before="0" w:after="0" w:line="336" w:lineRule="exact"/>
            </w:pPr>
            <w:r>
              <w:t xml:space="preserve">NMCCA No. </w:t>
            </w:r>
            <w:r>
              <w:t xml:space="preserve">201300272</w:t>
            </w:r>
          </w:p>
          <w:p>
            <w:pPr>
              <w:spacing w:before="336" w:after="0" w:line="336" w:lineRule="exact"/>
            </w:pPr>
            <w:r>
              <w:rPr>
                <w:b/>
                <w:bCs/>
              </w:rPr>
              <w:t xml:space="preserve">APPELLANT’S</w:t>
            </w:r>
            <w:r>
              <w:rPr>
                <w:b/>
                <w:bCs/>
              </w:rPr>
              <w:t xml:space="preserve"> </w:t>
            </w:r>
            <w:r>
              <w:rPr>
                <w:b/>
                <w:bCs/>
              </w:rPr>
              <w:t xml:space="preserve">BRIEF</w:t>
            </w:r>
            <w:r>
              <w:rPr>
                <w:b/>
                <w:bCs/>
              </w:rPr>
              <w:t xml:space="preserve"> </w:t>
            </w:r>
            <w:r>
              <w:rPr>
                <w:b/>
                <w:bCs/>
              </w:rPr>
              <w:t xml:space="preserve">AND</w:t>
            </w:r>
            <w:r>
              <w:rPr>
                <w:b/>
                <w:bCs/>
              </w:rPr>
              <w:t xml:space="preserve"> </w:t>
            </w:r>
            <w:r>
              <w:rPr>
                <w:b/>
                <w:bCs/>
              </w:rPr>
              <w:t xml:space="preserve">ASSIGNMENTS</w:t>
            </w:r>
            <w:r>
              <w:rPr>
                <w:b/>
                <w:bCs/>
              </w:rPr>
              <w:t xml:space="preserve"> </w:t>
            </w:r>
            <w:r>
              <w:rPr>
                <w:b/>
                <w:bCs/>
              </w:rPr>
              <w:t xml:space="preserve">OF</w:t>
            </w:r>
            <w:r>
              <w:rPr>
                <w:b/>
                <w:bCs/>
              </w:rPr>
              <w:t xml:space="preserve"> </w:t>
            </w:r>
            <w:r>
              <w:rPr>
                <w:b/>
                <w:bCs/>
              </w:rPr>
              <w:t xml:space="preserve">ERROR</w:t>
            </w:r>
          </w:p>
        </w:tc>
      </w:tr>
    </w:tbl>
    <w:p>
      <w:pPr>
        <w:spacing w:before="504" w:after="0" w:line="336" w:lineRule="exact"/>
        <w:jc w:val="center"/>
      </w:pPr>
      <w:r>
        <w:rPr>
          <w:b/>
          <w:bCs/>
        </w:rPr>
        <w:t xml:space="preserve">TO THE HONORABLE, THE JUDGES OF THE UNITED STATES</w:t>
      </w:r>
    </w:p>
    <w:p>
      <w:pPr>
        <w:spacing w:before="0" w:after="0" w:line="336" w:lineRule="exact"/>
        <w:jc w:val="center"/>
      </w:pPr>
      <w:r>
        <w:rPr>
          <w:b/>
          <w:bCs/>
        </w:rPr>
        <w:t xml:space="preserve">NAVY-MARINE CORPS COURT OF CRIMINAL APPEALS</w:t>
      </w:r>
    </w:p>
    <w:p>
      <w:pPr>
        <w:spacing w:before="336" w:after="0" w:line="336" w:lineRule="exact"/>
      </w:pPr>
      <w:r>
        <w:t xml:space="preserve">Tried</w:t>
      </w:r>
      <w:r>
        <w:t xml:space="preserve"> </w:t>
      </w:r>
      <w:r>
        <w:t xml:space="preserve">at</w:t>
      </w:r>
      <w:r>
        <w:t xml:space="preserve"> </w:t>
      </w:r>
      <w:r>
        <w:t xml:space="preserve">Camp</w:t>
      </w:r>
      <w:r>
        <w:t xml:space="preserve"> </w:t>
      </w:r>
      <w:r>
        <w:t xml:space="preserve">Foster,</w:t>
      </w:r>
      <w:r>
        <w:t xml:space="preserve"> </w:t>
      </w:r>
      <w:r>
        <w:t xml:space="preserve">Okinawa,</w:t>
      </w:r>
      <w:r>
        <w:t xml:space="preserve"> </w:t>
      </w:r>
      <w:r>
        <w:t xml:space="preserve">Japan,</w:t>
      </w:r>
      <w:r>
        <w:t xml:space="preserve"> </w:t>
      </w:r>
      <w:r>
        <w:t xml:space="preserve">by</w:t>
      </w:r>
      <w:r>
        <w:t xml:space="preserve"> </w:t>
      </w:r>
      <w:r>
        <w:t xml:space="preserve">general</w:t>
      </w:r>
      <w:r>
        <w:t xml:space="preserve"> </w:t>
      </w:r>
      <w:r>
        <w:t xml:space="preserve">court-martial</w:t>
      </w:r>
      <w:r>
        <w:t xml:space="preserve"> </w:t>
      </w:r>
      <w:r>
        <w:t xml:space="preserve">convened</w:t>
      </w:r>
      <w:r>
        <w:t xml:space="preserve"> </w:t>
      </w:r>
      <w:r>
        <w:t xml:space="preserve">by</w:t>
      </w:r>
      <w:r>
        <w:t xml:space="preserve"> </w:t>
      </w:r>
      <w:r>
        <w:t xml:space="preserve">Commanding</w:t>
      </w:r>
      <w:r>
        <w:t xml:space="preserve"> </w:t>
      </w:r>
      <w:r>
        <w:t xml:space="preserve">General,</w:t>
      </w:r>
      <w:r>
        <w:t xml:space="preserve"> </w:t>
      </w:r>
      <w:r>
        <w:t xml:space="preserve">III</w:t>
      </w:r>
      <w:r>
        <w:t xml:space="preserve"> </w:t>
      </w:r>
      <w:r>
        <w:t xml:space="preserve">Marine</w:t>
      </w:r>
      <w:r>
        <w:t xml:space="preserve"> </w:t>
      </w:r>
      <w:r>
        <w:t xml:space="preserve">Expeditionary</w:t>
      </w:r>
      <w:r>
        <w:t xml:space="preserve"> </w:t>
      </w:r>
      <w:r>
        <w:t xml:space="preserve">Force,</w:t>
      </w:r>
      <w:r>
        <w:t xml:space="preserve"> </w:t>
      </w:r>
      <w:r>
        <w:t xml:space="preserve">on</w:t>
      </w:r>
      <w:r>
        <w:t xml:space="preserve"> </w:t>
      </w:r>
      <w:r>
        <w:t xml:space="preserve">7</w:t>
      </w:r>
      <w:r>
        <w:t xml:space="preserve"> </w:t>
      </w:r>
      <w:r>
        <w:t xml:space="preserve">Jan,</w:t>
      </w:r>
      <w:r>
        <w:t xml:space="preserve"> </w:t>
      </w:r>
      <w:r>
        <w:t xml:space="preserve">7</w:t>
      </w:r>
      <w:r>
        <w:t xml:space="preserve"> </w:t>
      </w:r>
      <w:r>
        <w:t xml:space="preserve">Mar,</w:t>
      </w:r>
      <w:r>
        <w:t xml:space="preserve"> </w:t>
      </w:r>
      <w:r>
        <w:t xml:space="preserve">and</w:t>
      </w:r>
      <w:r>
        <w:t xml:space="preserve"> </w:t>
      </w:r>
      <w:r>
        <w:t xml:space="preserve">3</w:t>
        <w:noBreakHyphen/>
        <w:t xml:space="preserve">4</w:t>
      </w:r>
      <w:r>
        <w:t xml:space="preserve"> </w:t>
      </w:r>
      <w:r>
        <w:t xml:space="preserve">Apr</w:t>
      </w:r>
      <w:r>
        <w:t xml:space="preserve"> </w:t>
      </w:r>
      <w:r>
        <w:t xml:space="preserve">2013.</w:t>
      </w:r>
    </w:p>
    <w:p>
      <w:pPr>
        <w:framePr w:w="5040" w:hSpace="0" w:wrap="around" w:vAnchor="margin" w:hAnchor="page" w:x="5760" w:yAlign="bottom"/>
        <w:spacing w:before="0" w:after="0" w:line="336" w:lineRule="exact"/>
      </w:pPr>
      <w:r>
        <w:t xml:space="preserve">Jared</w:t>
      </w:r>
      <w:r>
        <w:t xml:space="preserve"> </w:t>
      </w:r>
      <w:r>
        <w:t xml:space="preserve">A.</w:t>
      </w:r>
      <w:r>
        <w:t xml:space="preserve"> </w:t>
      </w:r>
      <w:r>
        <w:t xml:space="preserve">Hernandez</w:t>
      </w:r>
    </w:p>
    <w:p>
      <w:pPr>
        <w:framePr w:w="5040" w:hSpace="0" w:wrap="around" w:vAnchor="margin" w:hAnchor="page" w:x="5760" w:yAlign="bottom"/>
        <w:spacing w:before="0" w:after="0" w:line="336" w:lineRule="exact"/>
      </w:pPr>
      <w:r>
        <w:t xml:space="preserve">Lieutenant,</w:t>
      </w:r>
      <w:r>
        <w:t xml:space="preserve"> </w:t>
      </w:r>
      <w:r>
        <w:t xml:space="preserve">JAGC,</w:t>
      </w:r>
      <w:r>
        <w:t xml:space="preserve"> </w:t>
      </w:r>
      <w:r>
        <w:t xml:space="preserve">USN</w:t>
      </w:r>
    </w:p>
    <w:p>
      <w:pPr>
        <w:framePr w:w="5040" w:hSpace="0" w:wrap="around" w:vAnchor="margin" w:hAnchor="page" w:x="5760" w:yAlign="bottom"/>
        <w:spacing w:before="0" w:after="0" w:line="336" w:lineRule="exact"/>
      </w:pPr>
      <w:r>
        <w:t xml:space="preserve">Appellate</w:t>
      </w:r>
      <w:r>
        <w:t xml:space="preserve"> </w:t>
      </w:r>
      <w:r>
        <w:t xml:space="preserve">Defense</w:t>
      </w:r>
      <w:r>
        <w:t xml:space="preserve"> </w:t>
      </w:r>
      <w:r>
        <w:t xml:space="preserve">Counsel</w:t>
      </w:r>
    </w:p>
    <w:p>
      <w:pPr>
        <w:framePr w:w="5040" w:hSpace="0" w:wrap="around" w:vAnchor="margin" w:hAnchor="page" w:x="5760" w:yAlign="bottom"/>
        <w:spacing w:before="0" w:after="0" w:line="336" w:lineRule="exact"/>
      </w:pPr>
      <w:r>
        <w:t xml:space="preserve">Navy</w:t>
      </w:r>
      <w:r>
        <w:t xml:space="preserve"> </w:t>
      </w:r>
      <w:r>
        <w:t xml:space="preserve">Marine</w:t>
      </w:r>
      <w:r>
        <w:t xml:space="preserve"> </w:t>
      </w:r>
      <w:r>
        <w:t xml:space="preserve">Corps</w:t>
      </w:r>
    </w:p>
    <w:p>
      <w:pPr>
        <w:framePr w:w="5040" w:hSpace="0" w:wrap="around" w:vAnchor="margin" w:hAnchor="page" w:x="5760" w:yAlign="bottom"/>
        <w:spacing w:before="0" w:after="0" w:line="336" w:lineRule="exact"/>
      </w:pPr>
      <w:r>
        <w:t xml:space="preserve">Appellate</w:t>
      </w:r>
      <w:r>
        <w:t xml:space="preserve"> </w:t>
      </w:r>
      <w:r>
        <w:t xml:space="preserve">Review</w:t>
      </w:r>
      <w:r>
        <w:t xml:space="preserve"> </w:t>
      </w:r>
      <w:r>
        <w:t xml:space="preserve">Activity</w:t>
      </w:r>
    </w:p>
    <w:p>
      <w:pPr>
        <w:framePr w:w="5040" w:hSpace="0" w:wrap="around" w:vAnchor="margin" w:hAnchor="page" w:x="5760" w:yAlign="bottom"/>
        <w:spacing w:before="0" w:after="0" w:line="336" w:lineRule="exact"/>
      </w:pPr>
      <w:r>
        <w:t xml:space="preserve">1254</w:t>
      </w:r>
      <w:r>
        <w:t xml:space="preserve"> </w:t>
      </w:r>
      <w:r>
        <w:t xml:space="preserve">Charles</w:t>
      </w:r>
      <w:r>
        <w:t xml:space="preserve"> </w:t>
      </w:r>
      <w:r>
        <w:t xml:space="preserve">Morris</w:t>
      </w:r>
      <w:r>
        <w:t xml:space="preserve"> </w:t>
      </w:r>
      <w:r>
        <w:t xml:space="preserve">Street</w:t>
      </w:r>
      <w:r>
        <w:t xml:space="preserve"> </w:t>
      </w:r>
      <w:r>
        <w:t xml:space="preserve">SE,</w:t>
      </w:r>
      <w:r>
        <w:t xml:space="preserve"> </w:t>
      </w:r>
      <w:r>
        <w:t xml:space="preserve">Suite</w:t>
      </w:r>
      <w:r>
        <w:t xml:space="preserve"> </w:t>
      </w:r>
      <w:r>
        <w:t xml:space="preserve">100</w:t>
      </w:r>
    </w:p>
    <w:p>
      <w:pPr>
        <w:framePr w:w="5040" w:hSpace="0" w:wrap="around" w:vAnchor="margin" w:hAnchor="page" w:x="5760" w:yAlign="bottom"/>
        <w:spacing w:before="0" w:after="0" w:line="336" w:lineRule="exact"/>
      </w:pPr>
      <w:r>
        <w:t xml:space="preserve">Washington,</w:t>
      </w:r>
      <w:r>
        <w:t xml:space="preserve"> </w:t>
      </w:r>
      <w:r>
        <w:t xml:space="preserve">D.C.</w:t>
      </w:r>
      <w:r>
        <w:t xml:space="preserve"> </w:t>
      </w:r>
      <w:r>
        <w:t xml:space="preserve">20374</w:t>
        <w:noBreakHyphen/>
        <w:t xml:space="preserve">5124</w:t>
      </w:r>
    </w:p>
    <w:p>
      <w:pPr>
        <w:framePr w:w="5040" w:hSpace="0" w:wrap="around" w:vAnchor="margin" w:hAnchor="page" w:x="5760" w:yAlign="bottom"/>
        <w:spacing w:before="0" w:after="0" w:line="336" w:lineRule="exact"/>
      </w:pPr>
      <w:r>
        <w:t xml:space="preserve">(202)</w:t>
      </w:r>
      <w:r>
        <w:t xml:space="preserve"> </w:t>
      </w:r>
      <w:r>
        <w:t xml:space="preserve">685</w:t>
        <w:noBreakHyphen/>
        <w:t xml:space="preserve">7389</w:t>
      </w:r>
    </w:p>
    <w:p>
      <w:pPr>
        <w:spacing w:before="0" w:after="0" w:line="20" w:lineRule="exact"/>
        <w:sectPr>
          <w:footerReference w:type="default" r:id="rIdFtrNone"/>
          <w:pgSz w:w="12240" w:h="15840"/>
          <w:pgMar w:top="1440" w:right="1440" w:bottom="2880" w:left="1440" w:header="720" w:footer="727" w:gutter="0"/>
        </w:sectPr>
      </w:pPr>
    </w:p>
    <w:p>
      <w:pPr>
        <w:spacing w:before="0" w:after="0" w:line="336" w:lineRule="exact"/>
        <w:jc w:val="center"/>
      </w:pPr>
      <w:r>
        <w:rPr>
          <w:b/>
          <w:bCs/>
        </w:rPr>
        <w:t xml:space="preserve">INDEX OF BRIEF</w:t>
      </w:r>
    </w:p>
    <w:p>
      <w:pPr>
        <w:keepLines/>
        <w:tabs>
          <w:tab w:val="right" w:leader="dot" w:pos="9360"/>
        </w:tabs>
        <w:spacing w:before="336" w:after="0" w:line="336" w:lineRule="exact"/>
        <w:ind w:left="0" w:right="720"/>
      </w:pPr>
      <w:r>
        <w:t xml:space="preserve">Assignments</w:t>
      </w:r>
      <w:r>
        <w:t xml:space="preserve"> </w:t>
      </w:r>
      <w:r>
        <w:t xml:space="preserve">of</w:t>
      </w:r>
      <w:r>
        <w:t xml:space="preserve"> </w:t>
      </w:r>
      <w:r>
        <w:t xml:space="preserve">Error</w:t>
      </w:r>
      <w:r>
        <w:rPr>
          <w:spacing w:val="42"/>
        </w:rPr>
        <w:t xml:space="preserve"> </w:t>
      </w:r>
      <w:r>
        <w:tab/>
      </w:r>
      <w:r>
        <w:t xml:space="preserve">1</w:t>
      </w:r>
    </w:p>
    <w:p>
      <w:pPr>
        <w:keepLines/>
        <w:tabs>
          <w:tab w:val="right" w:leader="dot" w:pos="9360"/>
        </w:tabs>
        <w:spacing w:before="168" w:after="0" w:line="336" w:lineRule="exact"/>
        <w:ind w:left="0" w:right="720"/>
      </w:pPr>
      <w:r>
        <w:t xml:space="preserve">Statement</w:t>
      </w:r>
      <w:r>
        <w:t xml:space="preserve"> </w:t>
      </w:r>
      <w:r>
        <w:t xml:space="preserve">of</w:t>
      </w:r>
      <w:r>
        <w:t xml:space="preserve"> </w:t>
      </w:r>
      <w:r>
        <w:t xml:space="preserve">Statutory</w:t>
      </w:r>
      <w:r>
        <w:t xml:space="preserve"> </w:t>
      </w:r>
      <w:r>
        <w:t xml:space="preserve">Jurisdiction</w:t>
      </w:r>
      <w:r>
        <w:rPr>
          <w:spacing w:val="42"/>
        </w:rPr>
        <w:t xml:space="preserve"> </w:t>
      </w:r>
      <w:r>
        <w:tab/>
      </w:r>
      <w:r>
        <w:t xml:space="preserve">1</w:t>
      </w:r>
    </w:p>
    <w:p>
      <w:pPr>
        <w:keepLines/>
        <w:tabs>
          <w:tab w:val="right" w:leader="dot" w:pos="9360"/>
        </w:tabs>
        <w:spacing w:before="168" w:after="0" w:line="336" w:lineRule="exact"/>
        <w:ind w:left="0" w:right="720"/>
      </w:pPr>
      <w:r>
        <w:t xml:space="preserve">Statement</w:t>
      </w:r>
      <w:r>
        <w:t xml:space="preserve"> </w:t>
      </w:r>
      <w:r>
        <w:t xml:space="preserve">of</w:t>
      </w:r>
      <w:r>
        <w:t xml:space="preserve"> </w:t>
      </w:r>
      <w:r>
        <w:t xml:space="preserve">the</w:t>
      </w:r>
      <w:r>
        <w:t xml:space="preserve"> </w:t>
      </w:r>
      <w:r>
        <w:t xml:space="preserve">Case</w:t>
      </w:r>
      <w:r>
        <w:rPr>
          <w:spacing w:val="42"/>
        </w:rPr>
        <w:t xml:space="preserve"> </w:t>
      </w:r>
      <w:r>
        <w:tab/>
      </w:r>
      <w:r>
        <w:t xml:space="preserve">2</w:t>
      </w:r>
    </w:p>
    <w:p>
      <w:pPr>
        <w:keepLines/>
        <w:tabs>
          <w:tab w:val="right" w:leader="dot" w:pos="9360"/>
        </w:tabs>
        <w:spacing w:before="168" w:after="0" w:line="336" w:lineRule="exact"/>
        <w:ind w:left="0" w:right="720"/>
      </w:pPr>
      <w:r>
        <w:t xml:space="preserve">Statement</w:t>
      </w:r>
      <w:r>
        <w:t xml:space="preserve"> </w:t>
      </w:r>
      <w:r>
        <w:t xml:space="preserve">of</w:t>
      </w:r>
      <w:r>
        <w:t xml:space="preserve"> </w:t>
      </w:r>
      <w:r>
        <w:t xml:space="preserve">Facts</w:t>
      </w:r>
      <w:r>
        <w:rPr>
          <w:spacing w:val="42"/>
        </w:rPr>
        <w:t xml:space="preserve"> </w:t>
      </w:r>
      <w:r>
        <w:tab/>
      </w:r>
      <w:r>
        <w:t xml:space="preserve">3</w:t>
      </w:r>
    </w:p>
    <w:p>
      <w:pPr>
        <w:keepLines/>
        <w:tabs>
          <w:tab w:val="right" w:leader="dot" w:pos="9360"/>
        </w:tabs>
        <w:spacing w:before="168" w:after="0" w:line="336" w:lineRule="exact"/>
        <w:ind w:left="0" w:right="720"/>
      </w:pPr>
      <w:r>
        <w:t xml:space="preserve">Summary</w:t>
      </w:r>
      <w:r>
        <w:t xml:space="preserve"> </w:t>
      </w:r>
      <w:r>
        <w:t xml:space="preserve">of</w:t>
      </w:r>
      <w:r>
        <w:t xml:space="preserve"> </w:t>
      </w:r>
      <w:r>
        <w:t xml:space="preserve">Argument</w:t>
      </w:r>
      <w:r>
        <w:rPr>
          <w:spacing w:val="42"/>
        </w:rPr>
        <w:t xml:space="preserve"> </w:t>
      </w:r>
      <w:r>
        <w:tab/>
      </w:r>
      <w:r>
        <w:t xml:space="preserve">7</w:t>
      </w:r>
    </w:p>
    <w:p>
      <w:pPr>
        <w:keepLines/>
        <w:tabs>
          <w:tab w:val="right" w:leader="dot" w:pos="9360"/>
        </w:tabs>
        <w:spacing w:before="168" w:after="0" w:line="336" w:lineRule="exact"/>
        <w:ind w:left="0" w:right="720"/>
      </w:pPr>
      <w:r>
        <w:t xml:space="preserve">Argument</w:t>
      </w:r>
      <w:r>
        <w:rPr>
          <w:spacing w:val="42"/>
        </w:rPr>
        <w:t xml:space="preserve"> </w:t>
      </w:r>
      <w:r>
        <w:tab/>
      </w:r>
      <w:r>
        <w:t xml:space="preserve">9</w:t>
      </w:r>
    </w:p>
    <w:p>
      <w:pPr>
        <w:keepLines/>
        <w:tabs>
          <w:tab w:val="right" w:leader="dot" w:pos="9360"/>
        </w:tabs>
        <w:spacing w:before="168" w:after="0" w:line="336" w:lineRule="exact"/>
        <w:ind w:left="987" w:right="720" w:hanging="567"/>
      </w:pPr>
      <w:r>
        <w:t xml:space="preserve">I.</w:t>
      </w:r>
      <w:r>
        <w:tab/>
      </w:r>
      <w:r>
        <w:t xml:space="preserve">THE</w:t>
      </w:r>
      <w:r>
        <w:t xml:space="preserve"> </w:t>
      </w:r>
      <w:r>
        <w:t xml:space="preserve">GOVERNMENT</w:t>
      </w:r>
      <w:r>
        <w:t xml:space="preserve"> </w:t>
      </w:r>
      <w:r>
        <w:t xml:space="preserve">SUBJECTED</w:t>
      </w:r>
      <w:r>
        <w:t xml:space="preserve"> </w:t>
      </w:r>
      <w:r>
        <w:t xml:space="preserve">LCPL</w:t>
      </w:r>
      <w:r>
        <w:t xml:space="preserve"> </w:t>
      </w:r>
      <w:r>
        <w:t xml:space="preserve">MILES</w:t>
      </w:r>
      <w:r>
        <w:t xml:space="preserve"> </w:t>
      </w:r>
      <w:r>
        <w:t xml:space="preserve">TO</w:t>
      </w:r>
      <w:r>
        <w:t xml:space="preserve"> </w:t>
      </w:r>
      <w:r>
        <w:t xml:space="preserve">AN</w:t>
      </w:r>
      <w:r>
        <w:t xml:space="preserve"> </w:t>
      </w:r>
      <w:r>
        <w:t xml:space="preserve">UNREASONABLE</w:t>
      </w:r>
      <w:r>
        <w:t xml:space="preserve"> </w:t>
      </w:r>
      <w:r>
        <w:t xml:space="preserve">MULTIPLICATION</w:t>
      </w:r>
      <w:r>
        <w:t xml:space="preserve"> </w:t>
      </w:r>
      <w:r>
        <w:t xml:space="preserve">OF</w:t>
      </w:r>
      <w:r>
        <w:t xml:space="preserve"> </w:t>
      </w:r>
      <w:r>
        <w:t xml:space="preserve">CHARGES.</w:t>
      </w:r>
      <w:r>
        <w:rPr>
          <w:spacing w:val="42"/>
        </w:rPr>
        <w:t xml:space="preserve"> </w:t>
      </w:r>
      <w:r>
        <w:tab/>
      </w:r>
      <w:r>
        <w:t xml:space="preserve">9</w:t>
      </w:r>
    </w:p>
    <w:p>
      <w:pPr>
        <w:keepLines/>
        <w:tabs>
          <w:tab w:val="right" w:leader="dot" w:pos="9360"/>
        </w:tabs>
        <w:spacing w:before="168" w:after="0" w:line="336" w:lineRule="exact"/>
        <w:ind w:left="0" w:right="720"/>
      </w:pPr>
      <w:r>
        <w:t xml:space="preserve">Conclusion</w:t>
      </w:r>
      <w:r>
        <w:rPr>
          <w:spacing w:val="42"/>
        </w:rPr>
        <w:t xml:space="preserve"> </w:t>
      </w:r>
      <w:r>
        <w:tab/>
      </w:r>
      <w:r>
        <w:t xml:space="preserve">13</w:t>
      </w:r>
    </w:p>
    <w:p>
      <w:pPr>
        <w:spacing w:before="0" w:after="0" w:line="20" w:lineRule="exact"/>
        <w:sectPr>
          <w:footerReference w:type="default" r:id="rIdFtrPage"/>
          <w:pgSz w:w="12240" w:h="15840"/>
          <w:pgMar w:top="1440" w:right="1440" w:bottom="1520" w:left="1440" w:header="720" w:footer="727" w:gutter="0"/>
          <w:pgNumType w:fmt="lowerRoman" w:start="2"/>
        </w:sectPr>
      </w:pPr>
    </w:p>
    <w:p>
      <w:pPr>
        <w:pStyle w:val="Heading1"/>
        <w:keepNext/>
        <w:keepLines/>
        <w:spacing w:before="0" w:after="0" w:line="336" w:lineRule="exact"/>
        <w:ind w:left="0"/>
        <w:jc w:val="center"/>
      </w:pPr>
      <w:r>
        <w:rPr>
          <w:b/>
          <w:bCs/>
        </w:rPr>
        <w:t xml:space="preserve">ASSIGNMENTS</w:t>
      </w:r>
      <w:r>
        <w:rPr>
          <w:b/>
          <w:bCs/>
        </w:rPr>
        <w:t xml:space="preserve"> </w:t>
      </w:r>
      <w:r>
        <w:rPr>
          <w:b/>
          <w:bCs/>
        </w:rPr>
        <w:t xml:space="preserve">OF</w:t>
      </w:r>
      <w:r>
        <w:rPr>
          <w:b/>
          <w:bCs/>
        </w:rPr>
        <w:t xml:space="preserve"> </w:t>
      </w:r>
      <w:r>
        <w:rPr>
          <w:b/>
          <w:bCs/>
        </w:rPr>
        <w:t xml:space="preserve">ERROR</w:t>
      </w:r>
    </w:p>
    <w:p>
      <w:pPr>
        <w:pStyle w:val="FirstParagraph"/>
      </w:pPr>
      <w:r>
        <w:t xml:space="preserve">I. TOGETHER, BNC AND EED ENGAGED IN CONSENSUAL SEXUAL CONDUCT WITH LCPL MILES. LCPL MILES WAS THEN CHARGED UNDER ARTICLES 120 AND 125, UCMJ FOR THIS ONE ACT. THIS WAS AN UNREASONABLE MULTIPLICATION OF CHARGES.</w:t>
      </w:r>
    </w:p>
    <w:p>
      <w:pPr>
        <w:pStyle w:val="BodyText"/>
      </w:pPr>
      <w:r>
        <w:t xml:space="preserve">II.</w:t>
      </w:r>
      <w:r>
        <w:t xml:space="preserve"> </w:t>
      </w:r>
      <w:r>
        <w:t xml:space="preserve">“INDECENT ACT”</w:t>
      </w:r>
      <w:r>
        <w:t xml:space="preserve">, AS DEFINED BY ARTICLE 120(k), UCMJ, IS UNCONSTITUTIONALLY VAGUE AND OVERBROAD.</w:t>
      </w:r>
    </w:p>
    <w:p>
      <w:pPr>
        <w:pStyle w:val="BodyText"/>
      </w:pPr>
      <w:r>
        <w:t xml:space="preserve">III.</w:t>
      </w:r>
      <w:r>
        <w:t xml:space="preserve"> </w:t>
      </w:r>
      <w:r>
        <w:t xml:space="preserve">“INDECENT ACT”</w:t>
      </w:r>
      <w:r>
        <w:t xml:space="preserve">, AS DEFINED BY ARTICLE 120(k), UCMJ, IS UNCONSTITUTIONAL AS APPLIED TO LCPL MILES.</w:t>
      </w:r>
    </w:p>
    <w:p>
      <w:pPr>
        <w:pStyle w:val="BodyText"/>
      </w:pPr>
      <w:r>
        <w:t xml:space="preserve">IV.</w:t>
      </w:r>
      <w:r>
        <w:t xml:space="preserve"> </w:t>
      </w:r>
      <w:r>
        <w:t xml:space="preserve">“SODOMY”</w:t>
      </w:r>
      <w:r>
        <w:t xml:space="preserve">, AS DEFINED BY ARTICLE 125, UCMJ, IS UNCONSTITUTIONALLY VAGUE AND OVERBROAD.</w:t>
      </w:r>
    </w:p>
    <w:p>
      <w:pPr>
        <w:pStyle w:val="BodyText"/>
      </w:pPr>
      <w:r>
        <w:t xml:space="preserve">V.</w:t>
      </w:r>
      <w:r>
        <w:t xml:space="preserve"> </w:t>
      </w:r>
      <w:r>
        <w:t xml:space="preserve">“SODOMY”</w:t>
      </w:r>
      <w:r>
        <w:t xml:space="preserve">, AS DEFINED BY ARTICLE 125, UCMJ, IS UNCONSTITUTIONAL AS APPLIED TO LCPL MILES.</w:t>
      </w:r>
    </w:p>
    <w:p>
      <w:pPr>
        <w:pStyle w:val="Heading1"/>
        <w:keepNext/>
        <w:keepLines/>
        <w:spacing w:before="392" w:after="0" w:line="336" w:lineRule="exact"/>
        <w:ind w:left="0"/>
        <w:jc w:val="center"/>
      </w:pPr>
      <w:r>
        <w:rPr>
          <w:b/>
          <w:bCs/>
        </w:rPr>
        <w:t xml:space="preserve">STATEMENT</w:t>
      </w:r>
      <w:r>
        <w:rPr>
          <w:b/>
          <w:bCs/>
        </w:rPr>
        <w:t xml:space="preserve"> </w:t>
      </w:r>
      <w:r>
        <w:rPr>
          <w:b/>
          <w:bCs/>
        </w:rPr>
        <w:t xml:space="preserve">OF</w:t>
      </w:r>
      <w:r>
        <w:rPr>
          <w:b/>
          <w:bCs/>
        </w:rPr>
        <w:t xml:space="preserve"> </w:t>
      </w:r>
      <w:r>
        <w:rPr>
          <w:b/>
          <w:bCs/>
        </w:rPr>
        <w:t xml:space="preserve">STATUTORY</w:t>
      </w:r>
      <w:r>
        <w:rPr>
          <w:b/>
          <w:bCs/>
        </w:rPr>
        <w:t xml:space="preserve"> </w:t>
      </w:r>
      <w:r>
        <w:rPr>
          <w:b/>
          <w:bCs/>
        </w:rPr>
        <w:t xml:space="preserve">JURISDICTION</w:t>
      </w:r>
    </w:p>
    <w:p>
      <w:pPr>
        <w:pStyle w:val="FirstParagraph"/>
      </w:pPr>
      <w:r>
        <w:t xml:space="preserve">Lance Corporal (LCpl) Gregory T. Miles received an approved court-martial sentence that included confinement for one year and a punitive discharge. Accordingly, his case falls within this Court’s Article 66(b)(1), Uniform Code of Military Justice (UCMJ), 10 U.S.C. § 866(b)(1), jurisdiction.</w:t>
      </w:r>
    </w:p>
    <w:p>
      <w:pPr>
        <w:pStyle w:val="Heading1"/>
        <w:keepNext/>
        <w:keepLines/>
        <w:spacing w:before="392" w:after="0" w:line="336" w:lineRule="exact"/>
        <w:ind w:left="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FirstParagraph"/>
      </w:pPr>
      <w:r>
        <w:t xml:space="preserve">LCpl Miles was charged with violating Articles 107, 120, 125, and 134, UCMJ. But a general court-martial, consisting of military judge alone, acquitted LCpl Miles of the most serious offenses charged. In fact, LCpl Miles was found not guilty, in whole or in part, of all charges except adultery.</w:t>
      </w:r>
      <w:r>
        <w:rPr>
          <w:rStyle w:val="FootnoteReference"/>
        </w:rPr>
        <w:footnoteReference w:id="9"/>
      </w:r>
      <w:r>
        <w:t xml:space="preserve"> </w:t>
      </w:r>
      <w:r>
        <w:t xml:space="preserve">Specifically, LCpl Miles was found not guilty of making a false official statement in violation of Article 107, UCMJ. He was also found not guilty of aggravated sexual assault, abusive sexual assault, and wrongful sexual contact in violation of Article 120, UCMJ. And LCpl Miles was found not guilty of consensual sodomy in violation of Article 125, UCMJ. LCpl Miles was convicted of attempted consensual sodomy and adultery in violation of Articles 80 and 134, UCMJ. Also, he was convicted of indecent acts for consensual sexual conduct between adults in violation of Article 120(k), UCMJ.</w:t>
      </w:r>
      <w:r>
        <w:rPr>
          <w:rStyle w:val="FootnoteReference"/>
        </w:rPr>
        <w:footnoteReference w:id="10"/>
      </w:r>
    </w:p>
    <w:p>
      <w:pPr>
        <w:pStyle w:val="BodyText"/>
      </w:pPr>
      <w:r>
        <w:t xml:space="preserve">This resulted in a sentence of a reduction to pay grade E1, forfeiture of all pay and allowances, confinement for one year and a bad-conduct discharge that the convening authority subsequently approved.</w:t>
      </w:r>
      <w:r>
        <w:rPr>
          <w:rStyle w:val="FootnoteReference"/>
        </w:rPr>
        <w:footnoteReference w:id="11"/>
      </w:r>
    </w:p>
    <w:p>
      <w:pPr>
        <w:pStyle w:val="Heading1"/>
        <w:keepNext/>
        <w:keepLines/>
        <w:spacing w:before="392" w:after="0" w:line="336" w:lineRule="exact"/>
        <w:ind w:left="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FirstParagraph"/>
      </w:pPr>
      <w:r>
        <w:t xml:space="preserve">BNC was angry with her husband.</w:t>
      </w:r>
      <w:r>
        <w:rPr>
          <w:rStyle w:val="FootnoteReference"/>
        </w:rPr>
        <w:footnoteReference w:id="12"/>
      </w:r>
      <w:r>
        <w:t xml:space="preserve"> </w:t>
      </w:r>
      <w:r>
        <w:t xml:space="preserve">This was not the first time they had fought since arriving to Okinawa.</w:t>
      </w:r>
      <w:r>
        <w:rPr>
          <w:rStyle w:val="FootnoteReference"/>
        </w:rPr>
        <w:footnoteReference w:id="13"/>
      </w:r>
      <w:r>
        <w:t xml:space="preserve"> </w:t>
      </w:r>
      <w:r>
        <w:t xml:space="preserve">They had bickered over money, their marriage, and a recent miscarriage.</w:t>
      </w:r>
      <w:r>
        <w:rPr>
          <w:rStyle w:val="FootnoteReference"/>
        </w:rPr>
        <w:footnoteReference w:id="14"/>
      </w:r>
      <w:r>
        <w:t xml:space="preserve"> </w:t>
      </w:r>
      <w:r>
        <w:t xml:space="preserve">But this night was supposed to be different.</w:t>
      </w:r>
      <w:r>
        <w:rPr>
          <w:rStyle w:val="FootnoteReference"/>
        </w:rPr>
        <w:footnoteReference w:id="15"/>
      </w:r>
      <w:r>
        <w:t xml:space="preserve"> </w:t>
      </w:r>
      <w:r>
        <w:t xml:space="preserve">This night was a</w:t>
      </w:r>
      <w:r>
        <w:t xml:space="preserve"> </w:t>
      </w:r>
      <w:r>
        <w:t xml:space="preserve">“girl’s night”</w:t>
      </w:r>
      <w:r>
        <w:t xml:space="preserve"> </w:t>
      </w:r>
      <w:r>
        <w:t xml:space="preserve">that had been planned for weeks and BNC was going to have fun.</w:t>
      </w:r>
      <w:r>
        <w:rPr>
          <w:rStyle w:val="FootnoteReference"/>
        </w:rPr>
        <w:footnoteReference w:id="16"/>
      </w:r>
      <w:r>
        <w:t xml:space="preserve"> </w:t>
      </w:r>
      <w:r>
        <w:t xml:space="preserve">It didn’t matter if she was only eighteen years old and underage; she was going to drink in the club.</w:t>
      </w:r>
      <w:r>
        <w:rPr>
          <w:rStyle w:val="FootnoteReference"/>
        </w:rPr>
        <w:footnoteReference w:id="17"/>
      </w:r>
      <w:r>
        <w:t xml:space="preserve"> </w:t>
      </w:r>
      <w:r>
        <w:t xml:space="preserve">She was out with her best friend EED; and they were going to drink, and dance, and flirt the night away.</w:t>
      </w:r>
      <w:r>
        <w:rPr>
          <w:rStyle w:val="FootnoteReference"/>
        </w:rPr>
        <w:footnoteReference w:id="18"/>
      </w:r>
      <w:r>
        <w:t xml:space="preserve"> </w:t>
      </w:r>
      <w:r>
        <w:t xml:space="preserve">So after loading up on drinks in town, the girls headed to</w:t>
      </w:r>
      <w:r>
        <w:t xml:space="preserve"> </w:t>
      </w:r>
      <w:r>
        <w:t xml:space="preserve">“The Palms.”</w:t>
      </w:r>
      <w:r>
        <w:rPr>
          <w:rStyle w:val="FootnoteReference"/>
        </w:rPr>
        <w:footnoteReference w:id="19"/>
      </w:r>
    </w:p>
    <w:p>
      <w:pPr>
        <w:pStyle w:val="BodyText"/>
      </w:pPr>
      <w:r>
        <w:t xml:space="preserve">The Palms is the on-base enlisted club; it was there that they met LCpl Miles.</w:t>
      </w:r>
      <w:r>
        <w:rPr>
          <w:rStyle w:val="FootnoteReference"/>
        </w:rPr>
        <w:footnoteReference w:id="20"/>
      </w:r>
      <w:r>
        <w:t xml:space="preserve"> </w:t>
      </w:r>
      <w:r>
        <w:t xml:space="preserve">LCpl Miles arrived with a few of his friends just as BNC and EED were about to leave The Palms.</w:t>
      </w:r>
      <w:r>
        <w:rPr>
          <w:rStyle w:val="FootnoteReference"/>
        </w:rPr>
        <w:footnoteReference w:id="21"/>
      </w:r>
      <w:r>
        <w:t xml:space="preserve"> </w:t>
      </w:r>
      <w:r>
        <w:t xml:space="preserve">The three hit it off immediately so BNC and EED decided to stay at the club to dance and talk to this Marine.</w:t>
      </w:r>
      <w:r>
        <w:rPr>
          <w:rStyle w:val="FootnoteReference"/>
        </w:rPr>
        <w:footnoteReference w:id="22"/>
      </w:r>
      <w:r>
        <w:t xml:space="preserve"> </w:t>
      </w:r>
      <w:r>
        <w:t xml:space="preserve">LCpl Miles was clearly flirting with the girls and he believed they were flirting back.</w:t>
      </w:r>
      <w:r>
        <w:rPr>
          <w:rStyle w:val="FootnoteReference"/>
        </w:rPr>
        <w:footnoteReference w:id="23"/>
      </w:r>
      <w:r>
        <w:t xml:space="preserve"> </w:t>
      </w:r>
      <w:r>
        <w:t xml:space="preserve">There was playful poking and grabbing and EED knew that her actions could be perceived as flirtatious.</w:t>
      </w:r>
      <w:r>
        <w:rPr>
          <w:rStyle w:val="FootnoteReference"/>
        </w:rPr>
        <w:footnoteReference w:id="24"/>
      </w:r>
      <w:r>
        <w:t xml:space="preserve"> </w:t>
      </w:r>
      <w:r>
        <w:t xml:space="preserve">BNC was throwing out flirtatious signs as well.</w:t>
      </w:r>
      <w:r>
        <w:rPr>
          <w:rStyle w:val="FootnoteReference"/>
        </w:rPr>
        <w:footnoteReference w:id="25"/>
      </w:r>
      <w:r>
        <w:t xml:space="preserve"> </w:t>
      </w:r>
      <w:r>
        <w:t xml:space="preserve">The atmosphere was definitely friendly.</w:t>
      </w:r>
      <w:r>
        <w:rPr>
          <w:rStyle w:val="FootnoteReference"/>
        </w:rPr>
        <w:footnoteReference w:id="26"/>
      </w:r>
      <w:r>
        <w:t xml:space="preserve"> </w:t>
      </w:r>
      <w:r>
        <w:t xml:space="preserve">After flirting with LCpl Miles, the group went to the dance floor.</w:t>
      </w:r>
      <w:r>
        <w:rPr>
          <w:rStyle w:val="FootnoteReference"/>
        </w:rPr>
        <w:footnoteReference w:id="27"/>
      </w:r>
      <w:r>
        <w:t xml:space="preserve"> </w:t>
      </w:r>
      <w:r>
        <w:t xml:space="preserve">That’s when the girls began dancing together.</w:t>
      </w:r>
      <w:r>
        <w:rPr>
          <w:rStyle w:val="FootnoteReference"/>
        </w:rPr>
        <w:footnoteReference w:id="28"/>
      </w:r>
      <w:r>
        <w:t xml:space="preserve"> </w:t>
      </w:r>
      <w:r>
        <w:t xml:space="preserve">And just when the music was pumping, BNC threw her hands up and everybody saw it: no wristband.</w:t>
      </w:r>
      <w:r>
        <w:rPr>
          <w:rStyle w:val="FootnoteReference"/>
        </w:rPr>
        <w:footnoteReference w:id="29"/>
      </w:r>
    </w:p>
    <w:p>
      <w:pPr>
        <w:pStyle w:val="BodyText"/>
      </w:pPr>
      <w:r>
        <w:t xml:space="preserve">The bouncers pulled BNC off the dance floor and, since she was caught drinking underage, kicked her out of the club.</w:t>
      </w:r>
      <w:r>
        <w:rPr>
          <w:rStyle w:val="FootnoteReference"/>
        </w:rPr>
        <w:footnoteReference w:id="30"/>
      </w:r>
      <w:r>
        <w:t xml:space="preserve"> </w:t>
      </w:r>
      <w:r>
        <w:t xml:space="preserve">One of the bouncers confiscated BNC’s ID, escorted her to the front desk, and made her call her husband.</w:t>
      </w:r>
      <w:r>
        <w:rPr>
          <w:rStyle w:val="FootnoteReference"/>
        </w:rPr>
        <w:footnoteReference w:id="31"/>
      </w:r>
      <w:r>
        <w:t xml:space="preserve"> </w:t>
      </w:r>
      <w:r>
        <w:t xml:space="preserve">But BNC wasn’t ready to leave yet, so she talked her way back into the club and gave LCpl Miles her phone number.</w:t>
      </w:r>
      <w:r>
        <w:rPr>
          <w:rStyle w:val="FootnoteReference"/>
        </w:rPr>
        <w:footnoteReference w:id="32"/>
      </w:r>
      <w:r>
        <w:t xml:space="preserve"> </w:t>
      </w:r>
      <w:r>
        <w:t xml:space="preserve">After flirting all night, EED and BNC gave LCpl Miles their phone number.</w:t>
      </w:r>
      <w:r>
        <w:rPr>
          <w:rStyle w:val="FootnoteReference"/>
        </w:rPr>
        <w:footnoteReference w:id="33"/>
      </w:r>
      <w:r>
        <w:t xml:space="preserve"> </w:t>
      </w:r>
      <w:r>
        <w:t xml:space="preserve">After all, BNC had a party at her house next weekend so if LCpl Miles wanted to see EED again, he needed their digits.</w:t>
      </w:r>
      <w:r>
        <w:rPr>
          <w:rStyle w:val="FootnoteReference"/>
        </w:rPr>
        <w:footnoteReference w:id="34"/>
      </w:r>
      <w:r>
        <w:t xml:space="preserve"> </w:t>
      </w:r>
      <w:r>
        <w:t xml:space="preserve">BNC told him that she was always with EED, and if you hang out with EED, you’ll always get the both of them.</w:t>
      </w:r>
      <w:r>
        <w:rPr>
          <w:rStyle w:val="FootnoteReference"/>
        </w:rPr>
        <w:footnoteReference w:id="35"/>
      </w:r>
      <w:r>
        <w:t xml:space="preserve"> </w:t>
      </w:r>
      <w:r>
        <w:t xml:space="preserve">After the girls left, LCpl Miles began texting back and forth with EED.</w:t>
      </w:r>
      <w:r>
        <w:rPr>
          <w:rStyle w:val="FootnoteReference"/>
        </w:rPr>
        <w:footnoteReference w:id="36"/>
      </w:r>
      <w:r>
        <w:t xml:space="preserve"> </w:t>
      </w:r>
      <w:r>
        <w:t xml:space="preserve">Not wanting the night to be over, EED invited LCpl Miles to the barracks where the girls were staying.</w:t>
      </w:r>
      <w:r>
        <w:rPr>
          <w:rStyle w:val="FootnoteReference"/>
        </w:rPr>
        <w:footnoteReference w:id="37"/>
      </w:r>
      <w:r>
        <w:t xml:space="preserve"> </w:t>
      </w:r>
      <w:r>
        <w:t xml:space="preserve">After talking and hanging out for a bit, the group went to the</w:t>
      </w:r>
      <w:r>
        <w:t xml:space="preserve"> </w:t>
      </w:r>
      <w:r>
        <w:t xml:space="preserve">“mat room”</w:t>
      </w:r>
      <w:r>
        <w:t xml:space="preserve"> </w:t>
      </w:r>
      <w:r>
        <w:t xml:space="preserve">to wrestle.</w:t>
      </w:r>
      <w:r>
        <w:rPr>
          <w:rStyle w:val="FootnoteReference"/>
        </w:rPr>
        <w:footnoteReference w:id="38"/>
      </w:r>
    </w:p>
    <w:p>
      <w:pPr>
        <w:pStyle w:val="Heading1"/>
        <w:keepNext/>
        <w:keepLines/>
        <w:spacing w:before="392" w:after="0" w:line="336" w:lineRule="exact"/>
        <w:ind w:left="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FirstParagraph"/>
      </w:pPr>
      <w:r>
        <w:t xml:space="preserve">I. Together, BNC and EED engaged in consensual sexual conduct with LCpl Miles. BNC, fearing that her husband would find out, reported the act as a sexual assault. Because of that, LCpl Miles was charged</w:t>
      </w:r>
      <w:r>
        <w:t xml:space="preserve"> </w:t>
      </w:r>
      <w:r>
        <w:t xml:space="preserve">“six ways from Sunday”</w:t>
      </w:r>
      <w:r>
        <w:t xml:space="preserve">. The evidence did not sustain any of the sexual assault claims made by BNC and LCpl Miles was found not guilty of the most serious charges. But, the government had charged several</w:t>
      </w:r>
      <w:r>
        <w:t xml:space="preserve"> </w:t>
      </w:r>
      <w:r>
        <w:t xml:space="preserve">“catch-all crimes”</w:t>
      </w:r>
      <w:r>
        <w:t xml:space="preserve"> </w:t>
      </w:r>
      <w:r>
        <w:t xml:space="preserve">in order to ensure a conviction. Two of those offenses, indecent acts and sodomy, consisted of the same conduct. Since this charging decision misrepresented LCpl Miles’ criminality and unreasonably increased his punitive exposure. This was an unreasonable multiplication of charges. Thus, this Court should dismiss the conviction for indecent acts and reassess the sentence accordingly.</w:t>
      </w:r>
    </w:p>
    <w:p>
      <w:pPr>
        <w:pStyle w:val="BodyText"/>
      </w:pPr>
      <w:r>
        <w:t xml:space="preserve">II. Article 120(k), UCMJ, Indecent Act, is unconstitutionally vague and overbroad. Precedent pertaining to</w:t>
      </w:r>
      <w:r>
        <w:t xml:space="preserve"> </w:t>
      </w:r>
      <w:r>
        <w:t xml:space="preserve">“Article 134 style”</w:t>
      </w:r>
      <w:r>
        <w:t xml:space="preserve"> </w:t>
      </w:r>
      <w:r>
        <w:t xml:space="preserve">indecent acts is inapplicable. Precedent upholding Article 120(k) is wrongly decided.</w:t>
      </w:r>
    </w:p>
    <w:p>
      <w:pPr>
        <w:pStyle w:val="BodyText"/>
      </w:pPr>
      <w:r>
        <w:t xml:space="preserve">III. Article 120(k), UCMJ, Indecent Act, is unconstitutional as applied to LCpl Miles. Consensual sexual conduct between three partners is not</w:t>
      </w:r>
      <w:r>
        <w:t xml:space="preserve"> </w:t>
      </w:r>
      <w:r>
        <w:t xml:space="preserve">“vulgar, obscene, and repugnant to common propriety”</w:t>
      </w:r>
      <w:r>
        <w:t xml:space="preserve"> </w:t>
      </w:r>
      <w:r>
        <w:t xml:space="preserve">when applying contemporary community standards. Congress itself has already removed indecent acts from Article 120.</w:t>
      </w:r>
      <w:r>
        <w:rPr>
          <w:rStyle w:val="FootnoteReference"/>
        </w:rPr>
        <w:footnoteReference w:id="39"/>
      </w:r>
      <w:r>
        <w:t xml:space="preserve"> </w:t>
      </w:r>
      <w:r>
        <w:t xml:space="preserve">In fact, as of June 28, 2012,</w:t>
      </w:r>
      <w:r>
        <w:t xml:space="preserve"> </w:t>
      </w:r>
      <w:r>
        <w:t xml:space="preserve">“Indecent Acts”</w:t>
      </w:r>
      <w:r>
        <w:t xml:space="preserve"> </w:t>
      </w:r>
      <w:r>
        <w:t xml:space="preserve">is no longer an enumerated crime at all.</w:t>
      </w:r>
      <w:r>
        <w:rPr>
          <w:rStyle w:val="FootnoteReference"/>
        </w:rPr>
        <w:footnoteReference w:id="40"/>
      </w:r>
    </w:p>
    <w:p>
      <w:pPr>
        <w:pStyle w:val="BodyText"/>
      </w:pPr>
      <w:r>
        <w:t xml:space="preserve">IV.</w:t>
      </w:r>
      <w:r>
        <w:t xml:space="preserve"> </w:t>
      </w:r>
      <w:r>
        <w:t xml:space="preserve">“Sodomy”</w:t>
      </w:r>
      <w:r>
        <w:t xml:space="preserve">, as defined by Article 125, UCMJ, is unconstitutionally vague and overbroad.</w:t>
      </w:r>
    </w:p>
    <w:p>
      <w:pPr>
        <w:pStyle w:val="BodyText"/>
      </w:pPr>
      <w:r>
        <w:t xml:space="preserve">V.</w:t>
      </w:r>
      <w:r>
        <w:t xml:space="preserve"> </w:t>
      </w:r>
      <w:r>
        <w:t xml:space="preserve">“Sodomy”</w:t>
      </w:r>
      <w:r>
        <w:t xml:space="preserve">, as defined by Article 125, UCMJ, is unconstitutional as applied to LCpl Miles. LCpl Miles was convicted of attempted consensual sodomy. The government never alleged force in this case and the military judge did not articulate</w:t>
      </w:r>
      <w:r>
        <w:t xml:space="preserve"> </w:t>
      </w:r>
      <w:r>
        <w:rPr>
          <w:i/>
          <w:iCs/>
        </w:rPr>
        <w:t xml:space="preserve">Marcum</w:t>
      </w:r>
      <w:r>
        <w:t xml:space="preserve"> </w:t>
      </w:r>
      <w:r>
        <w:t xml:space="preserve">factors for sodomy.</w:t>
      </w:r>
    </w:p>
    <w:p>
      <w:pPr>
        <w:pStyle w:val="Heading1"/>
        <w:keepNext/>
        <w:keepLines/>
        <w:spacing w:before="392" w:after="0" w:line="336" w:lineRule="exact"/>
        <w:ind w:left="0"/>
        <w:jc w:val="center"/>
      </w:pPr>
      <w:r>
        <w:rPr>
          <w:b/>
          <w:bCs/>
        </w:rPr>
        <w:t xml:space="preserve">ARGUMENT</w:t>
      </w:r>
    </w:p>
    <w:p>
      <w:pPr>
        <w:pStyle w:val="Heading2"/>
        <w:keepNext/>
        <w:keepLines/>
        <w:spacing w:before="308" w:after="0" w:line="336" w:lineRule="exact"/>
        <w:ind w:left="567" w:hanging="567"/>
        <w:jc w:val="left"/>
      </w:pPr>
      <w:r>
        <w:rPr>
          <w:b/>
          <w:bCs/>
        </w:rPr>
        <w:t xml:space="preserve">I.</w:t>
      </w:r>
      <w:r>
        <w:rPr>
          <w:b/>
          <w:bCs/>
        </w:rPr>
        <w:tab/>
      </w:r>
      <w:r>
        <w:rPr>
          <w:b/>
          <w:bCs/>
          <w:i/>
          <w:iCs/>
        </w:rPr>
        <w:t xml:space="preserve">THE</w:t>
      </w:r>
      <w:r>
        <w:rPr>
          <w:b/>
          <w:bCs/>
          <w:i/>
          <w:iCs/>
        </w:rPr>
        <w:t xml:space="preserve"> </w:t>
      </w:r>
      <w:r>
        <w:rPr>
          <w:b/>
          <w:bCs/>
          <w:i/>
          <w:iCs/>
        </w:rPr>
        <w:t xml:space="preserve">GOVERNMENT</w:t>
      </w:r>
      <w:r>
        <w:rPr>
          <w:b/>
          <w:bCs/>
          <w:i/>
          <w:iCs/>
        </w:rPr>
        <w:t xml:space="preserve"> </w:t>
      </w:r>
      <w:r>
        <w:rPr>
          <w:b/>
          <w:bCs/>
          <w:i/>
          <w:iCs/>
        </w:rPr>
        <w:t xml:space="preserve">SUBJECTED</w:t>
      </w:r>
      <w:r>
        <w:rPr>
          <w:b/>
          <w:bCs/>
          <w:i/>
          <w:iCs/>
        </w:rPr>
        <w:t xml:space="preserve"> </w:t>
      </w:r>
      <w:r>
        <w:rPr>
          <w:b/>
          <w:bCs/>
          <w:i/>
          <w:iCs/>
        </w:rPr>
        <w:t xml:space="preserve">LCPL</w:t>
      </w:r>
      <w:r>
        <w:rPr>
          <w:b/>
          <w:bCs/>
          <w:i/>
          <w:iCs/>
        </w:rPr>
        <w:t xml:space="preserve"> </w:t>
      </w:r>
      <w:r>
        <w:rPr>
          <w:b/>
          <w:bCs/>
          <w:i/>
          <w:iCs/>
        </w:rPr>
        <w:t xml:space="preserve">MILES</w:t>
      </w:r>
      <w:r>
        <w:rPr>
          <w:b/>
          <w:bCs/>
          <w:i/>
          <w:iCs/>
        </w:rPr>
        <w:t xml:space="preserve"> </w:t>
      </w:r>
      <w:r>
        <w:rPr>
          <w:b/>
          <w:bCs/>
          <w:i/>
          <w:iCs/>
        </w:rPr>
        <w:t xml:space="preserve">TO</w:t>
      </w:r>
      <w:r>
        <w:rPr>
          <w:b/>
          <w:bCs/>
          <w:i/>
          <w:iCs/>
        </w:rPr>
        <w:t xml:space="preserve"> </w:t>
      </w:r>
      <w:r>
        <w:rPr>
          <w:b/>
          <w:bCs/>
          <w:i/>
          <w:iCs/>
        </w:rPr>
        <w:t xml:space="preserve">AN</w:t>
      </w:r>
      <w:r>
        <w:rPr>
          <w:b/>
          <w:bCs/>
          <w:i/>
          <w:iCs/>
        </w:rPr>
        <w:t xml:space="preserve"> </w:t>
      </w:r>
      <w:r>
        <w:rPr>
          <w:b/>
          <w:bCs/>
          <w:i/>
          <w:iCs/>
        </w:rPr>
        <w:t xml:space="preserve">UNREASONABLE</w:t>
      </w:r>
      <w:r>
        <w:rPr>
          <w:b/>
          <w:bCs/>
          <w:i/>
          <w:iCs/>
        </w:rPr>
        <w:t xml:space="preserve"> </w:t>
      </w:r>
      <w:r>
        <w:rPr>
          <w:b/>
          <w:bCs/>
          <w:i/>
          <w:iCs/>
        </w:rPr>
        <w:t xml:space="preserve">MULTIPLICATION</w:t>
      </w:r>
      <w:r>
        <w:rPr>
          <w:b/>
          <w:bCs/>
          <w:i/>
          <w:iCs/>
        </w:rPr>
        <w:t xml:space="preserve"> </w:t>
      </w:r>
      <w:r>
        <w:rPr>
          <w:b/>
          <w:bCs/>
          <w:i/>
          <w:iCs/>
        </w:rPr>
        <w:t xml:space="preserve">OF</w:t>
      </w:r>
      <w:r>
        <w:rPr>
          <w:b/>
          <w:bCs/>
          <w:i/>
          <w:iCs/>
        </w:rPr>
        <w:t xml:space="preserve"> </w:t>
      </w:r>
      <w:r>
        <w:rPr>
          <w:b/>
          <w:bCs/>
          <w:i/>
          <w:iCs/>
        </w:rPr>
        <w:t xml:space="preserve">CHARGES.</w:t>
      </w:r>
    </w:p>
    <w:p>
      <w:pPr>
        <w:pStyle w:val="Heading3"/>
        <w:keepNext/>
        <w:keepLines/>
        <w:spacing w:before="308" w:after="0" w:line="336" w:lineRule="exact"/>
        <w:ind w:left="0"/>
        <w:jc w:val="left"/>
      </w:pPr>
      <w:r>
        <w:rPr>
          <w:b/>
          <w:bCs/>
        </w:rPr>
        <w:t xml:space="preserve">Standard</w:t>
      </w:r>
      <w:r>
        <w:rPr>
          <w:b/>
          <w:bCs/>
        </w:rPr>
        <w:t xml:space="preserve"> </w:t>
      </w:r>
      <w:r>
        <w:rPr>
          <w:b/>
          <w:bCs/>
        </w:rPr>
        <w:t xml:space="preserve">of</w:t>
      </w:r>
      <w:r>
        <w:rPr>
          <w:b/>
          <w:bCs/>
        </w:rPr>
        <w:t xml:space="preserve"> </w:t>
      </w:r>
      <w:r>
        <w:rPr>
          <w:b/>
          <w:bCs/>
        </w:rPr>
        <w:t xml:space="preserve">Review</w:t>
      </w:r>
    </w:p>
    <w:p>
      <w:pPr>
        <w:pStyle w:val="FirstParagraph"/>
      </w:pPr>
      <w:r>
        <w:t xml:space="preserve">An unreasonable multiplication of charges is reviewed under an abuse of discretion standard.</w:t>
      </w:r>
      <w:r>
        <w:rPr>
          <w:rStyle w:val="FootnoteReference"/>
        </w:rPr>
        <w:footnoteReference w:id="41"/>
      </w:r>
    </w:p>
    <w:p>
      <w:pPr>
        <w:pStyle w:val="Heading3"/>
        <w:keepNext/>
        <w:keepLines/>
        <w:spacing w:before="308" w:after="0" w:line="336" w:lineRule="exact"/>
        <w:ind w:left="0"/>
        <w:jc w:val="left"/>
      </w:pPr>
      <w:r>
        <w:rPr>
          <w:b/>
          <w:bCs/>
        </w:rPr>
        <w:t xml:space="preserve">Principles</w:t>
      </w:r>
      <w:r>
        <w:rPr>
          <w:b/>
          <w:bCs/>
        </w:rPr>
        <w:t xml:space="preserve"> </w:t>
      </w:r>
      <w:r>
        <w:rPr>
          <w:b/>
          <w:bCs/>
        </w:rPr>
        <w:t xml:space="preserve">of</w:t>
      </w:r>
      <w:r>
        <w:rPr>
          <w:b/>
          <w:bCs/>
        </w:rPr>
        <w:t xml:space="preserve"> </w:t>
      </w:r>
      <w:r>
        <w:rPr>
          <w:b/>
          <w:bCs/>
        </w:rPr>
        <w:t xml:space="preserve">Law</w:t>
      </w:r>
    </w:p>
    <w:p>
      <w:pPr>
        <w:pStyle w:val="FirstParagraph"/>
      </w:pPr>
      <w:r>
        <w:t xml:space="preserve">The Manual for Courts-Martial states, and courts have agreed that,</w:t>
      </w:r>
      <w:r>
        <w:t xml:space="preserve"> </w:t>
      </w:r>
      <w:r>
        <w:t xml:space="preserve">“what is substantially one transaction should not be made the basis for an unreasonable multiplication of charges.”</w:t>
      </w:r>
      <w:r>
        <w:rPr>
          <w:rStyle w:val="FootnoteReference"/>
        </w:rPr>
        <w:footnoteReference w:id="42"/>
      </w:r>
      <w:r>
        <w:t xml:space="preserve"> </w:t>
      </w:r>
      <w:r>
        <w:t xml:space="preserve">A claim based on unreasonable multiplication of charges is conceptually different than a claim of multiplicity.</w:t>
      </w:r>
      <w:r>
        <w:rPr>
          <w:rStyle w:val="FootnoteReference"/>
        </w:rPr>
        <w:footnoteReference w:id="43"/>
      </w:r>
      <w:r>
        <w:t xml:space="preserve"> </w:t>
      </w:r>
      <w:r>
        <w:t xml:space="preserve">The concept of unreasonable multiplication of charges</w:t>
      </w:r>
      <w:r>
        <w:t xml:space="preserve"> </w:t>
      </w:r>
      <w:r>
        <w:t xml:space="preserve">“promotes fairness considerations separate from an analysis of the statutes, their elements, and the intent of Congress.”</w:t>
      </w:r>
      <w:r>
        <w:rPr>
          <w:rStyle w:val="FootnoteReference"/>
        </w:rPr>
        <w:footnoteReference w:id="44"/>
      </w:r>
      <w:r>
        <w:t xml:space="preserve"> </w:t>
      </w:r>
      <w:r>
        <w:t xml:space="preserve">This issue may be raised for the first time on appeal.</w:t>
      </w:r>
      <w:r>
        <w:rPr>
          <w:rStyle w:val="FootnoteReference"/>
        </w:rPr>
        <w:footnoteReference w:id="45"/>
      </w:r>
    </w:p>
    <w:p>
      <w:pPr>
        <w:pStyle w:val="BodyText"/>
      </w:pPr>
      <w:r>
        <w:t xml:space="preserve">In</w:t>
      </w:r>
      <w:r>
        <w:t xml:space="preserve"> </w:t>
      </w:r>
      <w:r>
        <w:rPr>
          <w:i/>
          <w:iCs/>
        </w:rPr>
        <w:t xml:space="preserve">United States v. Quiroz</w:t>
      </w:r>
      <w:r>
        <w:t xml:space="preserve">, this Court applied five factors to determine whether a multiplication of charges or specifications was unreasonable.</w:t>
      </w:r>
    </w:p>
    <w:p>
      <w:pPr>
        <w:pStyle w:val="ListItem"/>
      </w:pPr>
      <w:r>
        <w:t xml:space="preserve">1.</w:t>
      </w:r>
      <w:r>
        <w:tab/>
      </w:r>
      <w:r>
        <w:t xml:space="preserve">Did the accused object at trial that there was an unreasonable multiplication of charges and/or specifications?</w:t>
      </w:r>
    </w:p>
    <w:p>
      <w:pPr>
        <w:pStyle w:val="ListItem"/>
      </w:pPr>
      <w:r>
        <w:t xml:space="preserve">2.</w:t>
      </w:r>
      <w:r>
        <w:tab/>
      </w:r>
      <w:r>
        <w:t xml:space="preserve">Is each charge and specification aimed at distinctly separate criminal acts?</w:t>
      </w:r>
    </w:p>
    <w:p>
      <w:pPr>
        <w:pStyle w:val="ListItem"/>
      </w:pPr>
      <w:r>
        <w:t xml:space="preserve">3.</w:t>
      </w:r>
      <w:r>
        <w:tab/>
      </w:r>
      <w:r>
        <w:t xml:space="preserve">Does the number of charges and specifications misrepresent or exaggerate the appellant’s criminality?</w:t>
      </w:r>
    </w:p>
    <w:p>
      <w:pPr>
        <w:pStyle w:val="ListItem"/>
      </w:pPr>
      <w:r>
        <w:t xml:space="preserve">4.</w:t>
      </w:r>
      <w:r>
        <w:tab/>
      </w:r>
      <w:r>
        <w:t xml:space="preserve">Does the number of charges and specifications unreasonably increase the appellant’s punitive exposure? and;</w:t>
      </w:r>
    </w:p>
    <w:p>
      <w:pPr>
        <w:pStyle w:val="ListItem"/>
      </w:pPr>
      <w:r>
        <w:t xml:space="preserve">5.</w:t>
      </w:r>
      <w:r>
        <w:tab/>
      </w:r>
      <w:r>
        <w:t xml:space="preserve">Is there any evidence of prosecutorial overreaching or abuse in the drafting of the charges?</w:t>
      </w:r>
    </w:p>
    <w:p>
      <w:pPr>
        <w:pStyle w:val="FirstParagraph"/>
      </w:pPr>
      <w:r>
        <w:t xml:space="preserve">When charges refer to the same factual conduct, they are not directed at</w:t>
      </w:r>
      <w:r>
        <w:t xml:space="preserve"> </w:t>
      </w:r>
      <w:r>
        <w:t xml:space="preserve">“distinctly separate”</w:t>
      </w:r>
      <w:r>
        <w:t xml:space="preserve"> </w:t>
      </w:r>
      <w:r>
        <w:t xml:space="preserve">criminal acts. Similarly, an accused’s criminality is exaggerated when punished separately for charges that are based upon the same factual conduct. In</w:t>
      </w:r>
      <w:r>
        <w:t xml:space="preserve"> </w:t>
      </w:r>
      <w:r>
        <w:rPr>
          <w:i/>
          <w:iCs/>
        </w:rPr>
        <w:t xml:space="preserve">Quiroz</w:t>
      </w:r>
      <w:r>
        <w:t xml:space="preserve">, the defendant’s criminality was exaggerated because charges that were based on the same conduct were considered separate offenses for findings and sentencing.</w:t>
      </w:r>
    </w:p>
    <w:p>
      <w:pPr>
        <w:pStyle w:val="Heading3"/>
        <w:keepNext/>
        <w:keepLines/>
        <w:spacing w:before="308" w:after="0" w:line="336" w:lineRule="exact"/>
        <w:ind w:left="0"/>
        <w:jc w:val="left"/>
      </w:pPr>
      <w:r>
        <w:rPr>
          <w:b/>
          <w:bCs/>
        </w:rPr>
        <w:t xml:space="preserve">Discussion</w:t>
      </w:r>
    </w:p>
    <w:p>
      <w:pPr>
        <w:pStyle w:val="Heading3"/>
        <w:keepNext/>
        <w:keepLines/>
        <w:spacing w:before="308" w:after="0" w:line="336" w:lineRule="exact"/>
        <w:ind w:left="567" w:hanging="567"/>
        <w:jc w:val="left"/>
      </w:pPr>
      <w:r>
        <w:rPr>
          <w:b/>
          <w:bCs/>
        </w:rPr>
        <w:t xml:space="preserve">A.</w:t>
      </w:r>
      <w:r>
        <w:rPr>
          <w:b/>
          <w:bCs/>
        </w:rPr>
        <w:tab/>
      </w:r>
      <w:r>
        <w:rPr>
          <w:b/>
          <w:bCs/>
        </w:rPr>
        <w:t xml:space="preserve">Charged</w:t>
      </w:r>
      <w:r>
        <w:rPr>
          <w:b/>
          <w:bCs/>
        </w:rPr>
        <w:t xml:space="preserve"> </w:t>
      </w:r>
      <w:r>
        <w:rPr>
          <w:b/>
          <w:bCs/>
        </w:rPr>
        <w:t xml:space="preserve">and</w:t>
      </w:r>
      <w:r>
        <w:rPr>
          <w:b/>
          <w:bCs/>
        </w:rPr>
        <w:t xml:space="preserve"> </w:t>
      </w:r>
      <w:r>
        <w:rPr>
          <w:b/>
          <w:bCs/>
        </w:rPr>
        <w:t xml:space="preserve">punished</w:t>
      </w:r>
      <w:r>
        <w:rPr>
          <w:b/>
          <w:bCs/>
        </w:rPr>
        <w:t xml:space="preserve"> </w:t>
      </w:r>
      <w:r>
        <w:rPr>
          <w:b/>
          <w:bCs/>
        </w:rPr>
        <w:t xml:space="preserve">separately</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same</w:t>
      </w:r>
      <w:r>
        <w:rPr>
          <w:b/>
          <w:bCs/>
        </w:rPr>
        <w:t xml:space="preserve"> </w:t>
      </w:r>
      <w:r>
        <w:rPr>
          <w:b/>
          <w:bCs/>
        </w:rPr>
        <w:t xml:space="preserve">offense.</w:t>
      </w:r>
    </w:p>
    <w:p>
      <w:pPr>
        <w:pStyle w:val="FirstParagraph"/>
      </w:pPr>
      <w:r>
        <w:t xml:space="preserve">Here, LCpl Miles was charged and punished two separate ways for one act, consensual sexual conduct with EED and BNC.</w:t>
      </w:r>
    </w:p>
    <w:p>
      <w:pPr>
        <w:pStyle w:val="Heading3"/>
        <w:keepNext/>
        <w:keepLines/>
        <w:spacing w:before="308" w:after="0" w:line="336" w:lineRule="exact"/>
        <w:ind w:left="0"/>
        <w:jc w:val="left"/>
      </w:pPr>
      <w:r>
        <w:rPr>
          <w:b/>
          <w:bCs/>
        </w:rPr>
        <w:t xml:space="preserve">Conclusion</w:t>
      </w:r>
    </w:p>
    <w:p>
      <w:pPr>
        <w:pStyle w:val="FirstParagraph"/>
      </w:pPr>
      <w:r>
        <w:t xml:space="preserve">Here, there is an unreasonable multiplication of charges for findings and sentencing. Dismissal of the unreasonable charge is an appropriate remedy.</w:t>
      </w:r>
      <w:r>
        <w:rPr>
          <w:rStyle w:val="FootnoteReference"/>
        </w:rPr>
        <w:footnoteReference w:id="46"/>
      </w:r>
      <w:r>
        <w:t xml:space="preserve"> </w:t>
      </w:r>
      <w:r>
        <w:t xml:space="preserve">Therefore, this Court should set aside the indecent acts charge and reassess the sentence accordingly. If instead this Court finds that there is an unreasonable multiplication of charges for sentencing alone, then this Court should reassess the sentence by setting aside the punitive discharge.</w:t>
      </w:r>
    </w:p>
    <w:p>
      <w:pPr>
        <w:pStyle w:val="Heading1"/>
        <w:keepNext/>
        <w:keepLines/>
        <w:spacing w:before="392" w:after="0" w:line="336" w:lineRule="exact"/>
        <w:ind w:left="0"/>
        <w:jc w:val="center"/>
      </w:pPr>
      <w:r>
        <w:rPr>
          <w:b/>
          <w:bCs/>
        </w:rPr>
        <w:t xml:space="preserve">CONCLUSION</w:t>
      </w:r>
    </w:p>
    <w:p>
      <w:pPr>
        <w:pStyle w:val="FirstKeep"/>
      </w:pPr>
      <w:r>
        <w:t xml:space="preserve">LCpl Miles was found guilty for attempting an act that is not criminal. This Court should set aside his conviction for attempted consensual sodomy and reassess the sentence by disapproving the bad-conduct discharge.</w:t>
      </w:r>
    </w:p>
    <w:p>
      <w:pPr>
        <w:keepNext/>
        <w:keepLines/>
        <w:spacing w:before="336" w:after="0" w:line="336" w:lineRule="exact"/>
        <w:ind w:left="4320"/>
      </w:pPr>
      <w:r>
        <w:t xml:space="preserve">Respectfully submitted.</w:t>
      </w:r>
    </w:p>
    <w:p>
      <w:pPr>
        <w:keepNext/>
        <w:keepLines/>
        <w:tabs>
          <w:tab w:val="left" w:pos="8640"/>
        </w:tabs>
        <w:spacing w:before="672" w:after="0" w:line="336" w:lineRule="exact"/>
        <w:ind w:left="4320"/>
      </w:pPr>
      <w:r>
        <w:rPr>
          <w:u w:val="single"/>
        </w:rPr>
        <w:tab/>
      </w:r>
    </w:p>
    <w:p>
      <w:pPr>
        <w:keepNext/>
        <w:keepLines/>
        <w:spacing w:before="0" w:after="0" w:line="336" w:lineRule="exact"/>
        <w:ind w:left="4320"/>
      </w:pPr>
      <w:r>
        <w:t xml:space="preserve">JARED</w:t>
      </w:r>
      <w:r>
        <w:t xml:space="preserve"> </w:t>
      </w:r>
      <w:r>
        <w:t xml:space="preserve">A.</w:t>
      </w:r>
      <w:r>
        <w:t xml:space="preserve"> </w:t>
      </w:r>
      <w:r>
        <w:t xml:space="preserve">HERNANDEZ</w:t>
      </w:r>
    </w:p>
    <w:p>
      <w:pPr>
        <w:keepNext/>
        <w:keepLines/>
        <w:spacing w:before="0" w:after="0" w:line="336" w:lineRule="exact"/>
        <w:ind w:left="4320"/>
      </w:pPr>
      <w:r>
        <w:rPr>
          <w:i/>
          <w:iCs/>
        </w:rPr>
        <w:t xml:space="preserve">Lieutenant,</w:t>
      </w:r>
      <w:r>
        <w:rPr>
          <w:i/>
          <w:iCs/>
        </w:rPr>
        <w:t xml:space="preserve"> </w:t>
      </w:r>
      <w:r>
        <w:rPr>
          <w:i/>
          <w:iCs/>
        </w:rPr>
        <w:t xml:space="preserve">JAGC,</w:t>
      </w:r>
      <w:r>
        <w:rPr>
          <w:i/>
          <w:iCs/>
        </w:rPr>
        <w:t xml:space="preserve"> </w:t>
      </w:r>
      <w:r>
        <w:rPr>
          <w:i/>
          <w:iCs/>
        </w:rPr>
        <w:t xml:space="preserve">USN</w:t>
      </w:r>
    </w:p>
    <w:p>
      <w:pPr>
        <w:keepNext/>
        <w:keepLines/>
        <w:spacing w:before="0" w:after="0" w:line="336" w:lineRule="exact"/>
        <w:ind w:left="4320"/>
      </w:pPr>
      <w:r>
        <w:rPr>
          <w:i/>
          <w:iCs/>
        </w:rPr>
        <w:t xml:space="preserve">Appellate</w:t>
      </w:r>
      <w:r>
        <w:rPr>
          <w:i/>
          <w:iCs/>
        </w:rPr>
        <w:t xml:space="preserve"> </w:t>
      </w:r>
      <w:r>
        <w:rPr>
          <w:i/>
          <w:iCs/>
        </w:rPr>
        <w:t xml:space="preserve">Defense</w:t>
      </w:r>
      <w:r>
        <w:rPr>
          <w:i/>
          <w:iCs/>
        </w:rPr>
        <w:t xml:space="preserve"> </w:t>
      </w:r>
      <w:r>
        <w:rPr>
          <w:i/>
          <w:iCs/>
        </w:rPr>
        <w:t xml:space="preserve">Counsel</w:t>
      </w:r>
    </w:p>
    <w:p>
      <w:pPr>
        <w:keepNext/>
        <w:keepLines/>
        <w:spacing w:before="0" w:after="0" w:line="336" w:lineRule="exact"/>
        <w:ind w:left="4320"/>
      </w:pPr>
      <w:r>
        <w:rPr>
          <w:i/>
          <w:iCs/>
        </w:rPr>
        <w:t xml:space="preserve">Navy</w:t>
      </w:r>
      <w:r>
        <w:rPr>
          <w:i/>
          <w:iCs/>
        </w:rPr>
        <w:t xml:space="preserve"> </w:t>
      </w:r>
      <w:r>
        <w:rPr>
          <w:i/>
          <w:iCs/>
        </w:rPr>
        <w:t xml:space="preserve">Marine</w:t>
      </w:r>
      <w:r>
        <w:rPr>
          <w:i/>
          <w:iCs/>
        </w:rPr>
        <w:t xml:space="preserve"> </w:t>
      </w:r>
      <w:r>
        <w:rPr>
          <w:i/>
          <w:iCs/>
        </w:rPr>
        <w:t xml:space="preserve">Corps</w:t>
      </w:r>
    </w:p>
    <w:p>
      <w:pPr>
        <w:keepNext/>
        <w:keepLines/>
        <w:spacing w:before="0" w:after="0" w:line="336" w:lineRule="exact"/>
        <w:ind w:left="4320"/>
      </w:pPr>
      <w:r>
        <w:rPr>
          <w:i/>
          <w:iCs/>
        </w:rPr>
        <w:t xml:space="preserve">Appellate</w:t>
      </w:r>
      <w:r>
        <w:rPr>
          <w:i/>
          <w:iCs/>
        </w:rPr>
        <w:t xml:space="preserve"> </w:t>
      </w:r>
      <w:r>
        <w:rPr>
          <w:i/>
          <w:iCs/>
        </w:rPr>
        <w:t xml:space="preserve">Review</w:t>
      </w:r>
      <w:r>
        <w:rPr>
          <w:i/>
          <w:iCs/>
        </w:rPr>
        <w:t xml:space="preserve"> </w:t>
      </w:r>
      <w:r>
        <w:rPr>
          <w:i/>
          <w:iCs/>
        </w:rPr>
        <w:t xml:space="preserve">Activity</w:t>
      </w:r>
    </w:p>
    <w:p>
      <w:pPr>
        <w:keepNext/>
        <w:keepLines/>
        <w:spacing w:before="0" w:after="0" w:line="336" w:lineRule="exact"/>
        <w:ind w:left="4320"/>
      </w:pPr>
      <w:r>
        <w:rPr>
          <w:i/>
          <w:iCs/>
        </w:rPr>
        <w:t xml:space="preserve">1254</w:t>
      </w:r>
      <w:r>
        <w:rPr>
          <w:i/>
          <w:iCs/>
        </w:rPr>
        <w:t xml:space="preserve"> </w:t>
      </w:r>
      <w:r>
        <w:rPr>
          <w:i/>
          <w:iCs/>
        </w:rPr>
        <w:t xml:space="preserve">Charles</w:t>
      </w:r>
      <w:r>
        <w:rPr>
          <w:i/>
          <w:iCs/>
        </w:rPr>
        <w:t xml:space="preserve"> </w:t>
      </w:r>
      <w:r>
        <w:rPr>
          <w:i/>
          <w:iCs/>
        </w:rPr>
        <w:t xml:space="preserve">Morris</w:t>
      </w:r>
      <w:r>
        <w:rPr>
          <w:i/>
          <w:iCs/>
        </w:rPr>
        <w:t xml:space="preserve"> </w:t>
      </w:r>
      <w:r>
        <w:rPr>
          <w:i/>
          <w:iCs/>
        </w:rPr>
        <w:t xml:space="preserve">Street</w:t>
      </w:r>
      <w:r>
        <w:rPr>
          <w:i/>
          <w:iCs/>
        </w:rPr>
        <w:t xml:space="preserve"> </w:t>
      </w:r>
      <w:r>
        <w:rPr>
          <w:i/>
          <w:iCs/>
        </w:rPr>
        <w:t xml:space="preserve">SE,</w:t>
      </w:r>
      <w:r>
        <w:rPr>
          <w:i/>
          <w:iCs/>
        </w:rPr>
        <w:t xml:space="preserve"> </w:t>
      </w:r>
      <w:r>
        <w:rPr>
          <w:i/>
          <w:iCs/>
        </w:rPr>
        <w:t xml:space="preserve">Suite</w:t>
      </w:r>
      <w:r>
        <w:rPr>
          <w:i/>
          <w:iCs/>
        </w:rPr>
        <w:t xml:space="preserve"> </w:t>
      </w:r>
      <w:r>
        <w:rPr>
          <w:i/>
          <w:iCs/>
        </w:rPr>
        <w:t xml:space="preserve">100</w:t>
      </w:r>
    </w:p>
    <w:p>
      <w:pPr>
        <w:keepNext/>
        <w:keepLines/>
        <w:spacing w:before="0" w:after="0" w:line="336" w:lineRule="exact"/>
        <w:ind w:left="4320"/>
      </w:pPr>
      <w:r>
        <w:rPr>
          <w:i/>
          <w:iCs/>
        </w:rPr>
        <w:t xml:space="preserve">Washington,</w:t>
      </w:r>
      <w:r>
        <w:rPr>
          <w:i/>
          <w:iCs/>
        </w:rPr>
        <w:t xml:space="preserve"> </w:t>
      </w:r>
      <w:r>
        <w:rPr>
          <w:i/>
          <w:iCs/>
        </w:rPr>
        <w:t xml:space="preserve">D.C.</w:t>
      </w:r>
      <w:r>
        <w:rPr>
          <w:i/>
          <w:iCs/>
        </w:rPr>
        <w:t xml:space="preserve"> </w:t>
      </w:r>
      <w:r>
        <w:rPr>
          <w:i/>
          <w:iCs/>
        </w:rPr>
        <w:t xml:space="preserve">20374</w:t>
        <w:noBreakHyphen/>
        <w:t xml:space="preserve">5124</w:t>
      </w:r>
    </w:p>
    <w:p>
      <w:pPr>
        <w:spacing w:before="0" w:after="0" w:line="336" w:lineRule="exact"/>
        <w:ind w:left="4320"/>
      </w:pPr>
      <w:r>
        <w:rPr>
          <w:i/>
          <w:iCs/>
        </w:rPr>
        <w:t xml:space="preserve">(202)</w:t>
      </w:r>
      <w:r>
        <w:rPr>
          <w:i/>
          <w:iCs/>
        </w:rPr>
        <w:t xml:space="preserve"> </w:t>
      </w:r>
      <w:r>
        <w:rPr>
          <w:i/>
          <w:iCs/>
        </w:rPr>
        <w:t xml:space="preserve">685</w:t>
        <w:noBreakHyphen/>
        <w:t xml:space="preserve">7389</w:t>
      </w:r>
    </w:p>
    <w:p>
      <w:pPr>
        <w:keepNext/>
        <w:keepLines/>
        <w:pageBreakBefore/>
        <w:spacing w:before="0" w:after="0" w:line="336" w:lineRule="exact"/>
        <w:jc w:val="center"/>
      </w:pPr>
      <w:r>
        <w:rPr>
          <w:b/>
          <w:bCs/>
        </w:rPr>
        <w:t xml:space="preserve">CERTIFICATE OF FILING AND SERVICE</w:t>
      </w:r>
    </w:p>
    <w:p>
      <w:pPr>
        <w:keepNext/>
        <w:keepLines/>
        <w:spacing w:before="336" w:after="0" w:line="672" w:lineRule="exact"/>
        <w:ind w:left="0" w:firstLine="720"/>
      </w:pPr>
      <w:r>
        <w:t xml:space="preserve">I certify that the foregoing was delivered to the Navy-Marine Corps Court of Criminal Appeals, and that a copy was served on </w:t>
      </w:r>
      <w:r>
        <w:t xml:space="preserve">Appellate</w:t>
      </w:r>
      <w:r>
        <w:t xml:space="preserve"> </w:t>
      </w:r>
      <w:r>
        <w:t xml:space="preserve">Government</w:t>
      </w:r>
      <w:r>
        <w:t xml:space="preserve"> </w:t>
      </w:r>
      <w:r>
        <w:t xml:space="preserve">Division</w:t>
      </w:r>
      <w:r>
        <w:t xml:space="preserve"> on </w:t>
      </w:r>
      <w:r>
        <w:t xml:space="preserve">16</w:t>
      </w:r>
      <w:r>
        <w:t xml:space="preserve"> </w:t>
      </w:r>
      <w:r>
        <w:t xml:space="preserve">December</w:t>
      </w:r>
      <w:r>
        <w:t xml:space="preserve"> </w:t>
      </w:r>
      <w:r>
        <w:t xml:space="preserve">2013</w:t>
      </w:r>
      <w:r>
        <w:t xml:space="preserve">.</w:t>
      </w:r>
    </w:p>
    <w:p>
      <w:pPr>
        <w:keepNext/>
        <w:keepLines/>
        <w:tabs>
          <w:tab w:val="left" w:pos="8640"/>
        </w:tabs>
        <w:spacing w:before="672" w:after="0" w:line="336" w:lineRule="exact"/>
        <w:ind w:left="4320"/>
      </w:pPr>
      <w:r>
        <w:rPr>
          <w:u w:val="single"/>
        </w:rPr>
        <w:tab/>
      </w:r>
    </w:p>
    <w:p>
      <w:pPr>
        <w:keepNext/>
        <w:keepLines/>
        <w:spacing w:before="0" w:after="0" w:line="336" w:lineRule="exact"/>
        <w:ind w:left="4320"/>
      </w:pPr>
      <w:r>
        <w:t xml:space="preserve">JARED</w:t>
      </w:r>
      <w:r>
        <w:t xml:space="preserve"> </w:t>
      </w:r>
      <w:r>
        <w:t xml:space="preserve">A.</w:t>
      </w:r>
      <w:r>
        <w:t xml:space="preserve"> </w:t>
      </w:r>
      <w:r>
        <w:t xml:space="preserve">HERNANDEZ</w:t>
      </w:r>
    </w:p>
    <w:p>
      <w:pPr>
        <w:keepNext/>
        <w:keepLines/>
        <w:spacing w:before="0" w:after="0" w:line="336" w:lineRule="exact"/>
        <w:ind w:left="4320"/>
      </w:pPr>
      <w:r>
        <w:rPr>
          <w:i/>
          <w:iCs/>
        </w:rPr>
        <w:t xml:space="preserve">Lieutenant,</w:t>
      </w:r>
      <w:r>
        <w:rPr>
          <w:i/>
          <w:iCs/>
        </w:rPr>
        <w:t xml:space="preserve"> </w:t>
      </w:r>
      <w:r>
        <w:rPr>
          <w:i/>
          <w:iCs/>
        </w:rPr>
        <w:t xml:space="preserve">JAGC,</w:t>
      </w:r>
      <w:r>
        <w:rPr>
          <w:i/>
          <w:iCs/>
        </w:rPr>
        <w:t xml:space="preserve"> </w:t>
      </w:r>
      <w:r>
        <w:rPr>
          <w:i/>
          <w:iCs/>
        </w:rPr>
        <w:t xml:space="preserve">USN</w:t>
      </w:r>
    </w:p>
    <w:p>
      <w:pPr>
        <w:keepNext/>
        <w:keepLines/>
        <w:spacing w:before="0" w:after="0" w:line="336" w:lineRule="exact"/>
        <w:ind w:left="4320"/>
      </w:pPr>
      <w:r>
        <w:rPr>
          <w:i/>
          <w:iCs/>
        </w:rPr>
        <w:t xml:space="preserve">Appellate</w:t>
      </w:r>
      <w:r>
        <w:rPr>
          <w:i/>
          <w:iCs/>
        </w:rPr>
        <w:t xml:space="preserve"> </w:t>
      </w:r>
      <w:r>
        <w:rPr>
          <w:i/>
          <w:iCs/>
        </w:rPr>
        <w:t xml:space="preserve">Defense</w:t>
      </w:r>
      <w:r>
        <w:rPr>
          <w:i/>
          <w:iCs/>
        </w:rPr>
        <w:t xml:space="preserve"> </w:t>
      </w:r>
      <w:r>
        <w:rPr>
          <w:i/>
          <w:iCs/>
        </w:rPr>
        <w:t xml:space="preserve">Counsel</w:t>
      </w:r>
    </w:p>
    <w:p>
      <w:pPr>
        <w:keepNext/>
        <w:keepLines/>
        <w:spacing w:before="0" w:after="0" w:line="336" w:lineRule="exact"/>
        <w:ind w:left="4320"/>
      </w:pPr>
      <w:r>
        <w:rPr>
          <w:i/>
          <w:iCs/>
        </w:rPr>
        <w:t xml:space="preserve">Navy</w:t>
      </w:r>
      <w:r>
        <w:rPr>
          <w:i/>
          <w:iCs/>
        </w:rPr>
        <w:t xml:space="preserve"> </w:t>
      </w:r>
      <w:r>
        <w:rPr>
          <w:i/>
          <w:iCs/>
        </w:rPr>
        <w:t xml:space="preserve">Marine</w:t>
      </w:r>
      <w:r>
        <w:rPr>
          <w:i/>
          <w:iCs/>
        </w:rPr>
        <w:t xml:space="preserve"> </w:t>
      </w:r>
      <w:r>
        <w:rPr>
          <w:i/>
          <w:iCs/>
        </w:rPr>
        <w:t xml:space="preserve">Corps</w:t>
      </w:r>
    </w:p>
    <w:p>
      <w:pPr>
        <w:keepNext/>
        <w:keepLines/>
        <w:spacing w:before="0" w:after="0" w:line="336" w:lineRule="exact"/>
        <w:ind w:left="4320"/>
      </w:pPr>
      <w:r>
        <w:rPr>
          <w:i/>
          <w:iCs/>
        </w:rPr>
        <w:t xml:space="preserve">Appellate</w:t>
      </w:r>
      <w:r>
        <w:rPr>
          <w:i/>
          <w:iCs/>
        </w:rPr>
        <w:t xml:space="preserve"> </w:t>
      </w:r>
      <w:r>
        <w:rPr>
          <w:i/>
          <w:iCs/>
        </w:rPr>
        <w:t xml:space="preserve">Review</w:t>
      </w:r>
      <w:r>
        <w:rPr>
          <w:i/>
          <w:iCs/>
        </w:rPr>
        <w:t xml:space="preserve"> </w:t>
      </w:r>
      <w:r>
        <w:rPr>
          <w:i/>
          <w:iCs/>
        </w:rPr>
        <w:t xml:space="preserve">Activity</w:t>
      </w:r>
    </w:p>
    <w:p>
      <w:pPr>
        <w:keepNext/>
        <w:keepLines/>
        <w:spacing w:before="0" w:after="0" w:line="336" w:lineRule="exact"/>
        <w:ind w:left="4320"/>
      </w:pPr>
      <w:r>
        <w:rPr>
          <w:i/>
          <w:iCs/>
        </w:rPr>
        <w:t xml:space="preserve">1254</w:t>
      </w:r>
      <w:r>
        <w:rPr>
          <w:i/>
          <w:iCs/>
        </w:rPr>
        <w:t xml:space="preserve"> </w:t>
      </w:r>
      <w:r>
        <w:rPr>
          <w:i/>
          <w:iCs/>
        </w:rPr>
        <w:t xml:space="preserve">Charles</w:t>
      </w:r>
      <w:r>
        <w:rPr>
          <w:i/>
          <w:iCs/>
        </w:rPr>
        <w:t xml:space="preserve"> </w:t>
      </w:r>
      <w:r>
        <w:rPr>
          <w:i/>
          <w:iCs/>
        </w:rPr>
        <w:t xml:space="preserve">Morris</w:t>
      </w:r>
      <w:r>
        <w:rPr>
          <w:i/>
          <w:iCs/>
        </w:rPr>
        <w:t xml:space="preserve"> </w:t>
      </w:r>
      <w:r>
        <w:rPr>
          <w:i/>
          <w:iCs/>
        </w:rPr>
        <w:t xml:space="preserve">Street</w:t>
      </w:r>
      <w:r>
        <w:rPr>
          <w:i/>
          <w:iCs/>
        </w:rPr>
        <w:t xml:space="preserve"> </w:t>
      </w:r>
      <w:r>
        <w:rPr>
          <w:i/>
          <w:iCs/>
        </w:rPr>
        <w:t xml:space="preserve">SE,</w:t>
      </w:r>
      <w:r>
        <w:rPr>
          <w:i/>
          <w:iCs/>
        </w:rPr>
        <w:t xml:space="preserve"> </w:t>
      </w:r>
      <w:r>
        <w:rPr>
          <w:i/>
          <w:iCs/>
        </w:rPr>
        <w:t xml:space="preserve">Suite</w:t>
      </w:r>
      <w:r>
        <w:rPr>
          <w:i/>
          <w:iCs/>
        </w:rPr>
        <w:t xml:space="preserve"> </w:t>
      </w:r>
      <w:r>
        <w:rPr>
          <w:i/>
          <w:iCs/>
        </w:rPr>
        <w:t xml:space="preserve">100</w:t>
      </w:r>
    </w:p>
    <w:p>
      <w:pPr>
        <w:keepNext/>
        <w:keepLines/>
        <w:spacing w:before="0" w:after="0" w:line="336" w:lineRule="exact"/>
        <w:ind w:left="4320"/>
      </w:pPr>
      <w:r>
        <w:rPr>
          <w:i/>
          <w:iCs/>
        </w:rPr>
        <w:t xml:space="preserve">Washington,</w:t>
      </w:r>
      <w:r>
        <w:rPr>
          <w:i/>
          <w:iCs/>
        </w:rPr>
        <w:t xml:space="preserve"> </w:t>
      </w:r>
      <w:r>
        <w:rPr>
          <w:i/>
          <w:iCs/>
        </w:rPr>
        <w:t xml:space="preserve">D.C.</w:t>
      </w:r>
      <w:r>
        <w:rPr>
          <w:i/>
          <w:iCs/>
        </w:rPr>
        <w:t xml:space="preserve"> </w:t>
      </w:r>
      <w:r>
        <w:rPr>
          <w:i/>
          <w:iCs/>
        </w:rPr>
        <w:t xml:space="preserve">20374</w:t>
        <w:noBreakHyphen/>
        <w:t xml:space="preserve">5124</w:t>
      </w:r>
    </w:p>
    <w:p>
      <w:pPr>
        <w:spacing w:before="0" w:after="0" w:line="336" w:lineRule="exact"/>
        <w:ind w:left="4320"/>
      </w:pPr>
      <w:r>
        <w:rPr>
          <w:i/>
          <w:iCs/>
        </w:rPr>
        <w:t xml:space="preserve">(202)</w:t>
      </w:r>
      <w:r>
        <w:rPr>
          <w:i/>
          <w:iCs/>
        </w:rPr>
        <w:t xml:space="preserve"> </w:t>
      </w:r>
      <w:r>
        <w:rPr>
          <w:i/>
          <w:iCs/>
        </w:rPr>
        <w:t xml:space="preserve">685</w:t>
        <w:noBreakHyphen/>
        <w:t xml:space="preserve">7389</w:t>
      </w:r>
    </w:p>
    <w:sectPr>
      <w:footerReference w:type="default" r:id="rIdFtrPage"/>
      <w:pgSz w:w="12240" w:h="15840"/>
      <w:pgMar w:top="1440" w:right="1440" w:bottom="1520" w:left="1440" w:header="720" w:footer="727"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 at 234</w:t>
      </w:r>
      <w:r>
        <w:noBreakHyphen/>
      </w:r>
      <w:r>
        <w:t xml:space="preserve">35.</w:t>
      </w:r>
    </w:p>
  </w:footnote>
  <w:footnote w:id="10">
    <w:p>
      <w:pPr>
        <w:pStyle w:val="FootnoteText"/>
      </w:pPr>
      <w:r>
        <w:rPr>
          <w:rStyle w:val="FootnoteReference"/>
        </w:rPr>
        <w:footnoteRef/>
      </w:r>
      <w:r>
        <w:t xml:space="preserve"> </w:t>
      </w:r>
      <w:r>
        <w:t xml:space="preserve">10 U.S.C. § 920(k) (2006).</w:t>
      </w:r>
    </w:p>
  </w:footnote>
  <w:footnote w:id="11">
    <w:p>
      <w:pPr>
        <w:pStyle w:val="FootnoteText"/>
      </w:pPr>
      <w:r>
        <w:rPr>
          <w:rStyle w:val="FootnoteReference"/>
        </w:rPr>
        <w:footnoteRef/>
      </w:r>
      <w:r>
        <w:t xml:space="preserve"> </w:t>
      </w:r>
      <w:r>
        <w:t xml:space="preserve">R. at 268; Convening Authority’s Action of 8 Jul 13.</w:t>
      </w:r>
    </w:p>
  </w:footnote>
  <w:footnote w:id="12">
    <w:p>
      <w:pPr>
        <w:pStyle w:val="FootnoteText"/>
      </w:pPr>
      <w:r>
        <w:rPr>
          <w:rStyle w:val="FootnoteReference"/>
        </w:rPr>
        <w:footnoteRef/>
      </w:r>
      <w:r>
        <w:t xml:space="preserve"> </w:t>
      </w:r>
      <w:r>
        <w:t xml:space="preserve">R. at 57.</w:t>
      </w:r>
    </w:p>
  </w:footnote>
  <w:footnote w:id="13">
    <w:p>
      <w:pPr>
        <w:pStyle w:val="FootnoteText"/>
      </w:pPr>
      <w:r>
        <w:rPr>
          <w:rStyle w:val="FootnoteReference"/>
        </w:rPr>
        <w:footnoteRef/>
      </w:r>
      <w:r>
        <w:t xml:space="preserve"> </w:t>
      </w:r>
      <w:r>
        <w:t xml:space="preserve">R. at 70, 108; Appellate Exhibit VIII.</w:t>
      </w:r>
    </w:p>
  </w:footnote>
  <w:footnote w:id="14">
    <w:p>
      <w:pPr>
        <w:pStyle w:val="FootnoteText"/>
      </w:pPr>
      <w:r>
        <w:rPr>
          <w:rStyle w:val="FootnoteReference"/>
        </w:rPr>
        <w:footnoteRef/>
      </w:r>
      <w:r>
        <w:t xml:space="preserve"> </w:t>
      </w:r>
      <w:r>
        <w:rPr>
          <w:i/>
          <w:iCs/>
        </w:rPr>
        <w:t xml:space="preserve">Id.</w:t>
      </w:r>
    </w:p>
  </w:footnote>
  <w:footnote w:id="15">
    <w:p>
      <w:pPr>
        <w:pStyle w:val="FootnoteText"/>
      </w:pPr>
      <w:r>
        <w:rPr>
          <w:rStyle w:val="FootnoteReference"/>
        </w:rPr>
        <w:footnoteRef/>
      </w:r>
      <w:r>
        <w:t xml:space="preserve"> </w:t>
      </w:r>
      <w:r>
        <w:t xml:space="preserve">R. at 52, 77, 107, 154.</w:t>
      </w:r>
    </w:p>
  </w:footnote>
  <w:footnote w:id="16">
    <w:p>
      <w:pPr>
        <w:pStyle w:val="FootnoteText"/>
      </w:pPr>
      <w:r>
        <w:rPr>
          <w:rStyle w:val="FootnoteReference"/>
        </w:rPr>
        <w:footnoteRef/>
      </w:r>
      <w:r>
        <w:t xml:space="preserve"> </w:t>
      </w:r>
      <w:r>
        <w:rPr>
          <w:i/>
          <w:iCs/>
        </w:rPr>
        <w:t xml:space="preserve">Id.</w:t>
      </w:r>
    </w:p>
  </w:footnote>
  <w:footnote w:id="17">
    <w:p>
      <w:pPr>
        <w:pStyle w:val="FootnoteText"/>
      </w:pPr>
      <w:r>
        <w:rPr>
          <w:rStyle w:val="FootnoteReference"/>
        </w:rPr>
        <w:footnoteRef/>
      </w:r>
      <w:r>
        <w:t xml:space="preserve"> </w:t>
      </w:r>
      <w:r>
        <w:t xml:space="preserve">R. at 56, 158.</w:t>
      </w:r>
    </w:p>
  </w:footnote>
  <w:footnote w:id="18">
    <w:p>
      <w:pPr>
        <w:pStyle w:val="FootnoteText"/>
      </w:pPr>
      <w:r>
        <w:rPr>
          <w:rStyle w:val="FootnoteReference"/>
        </w:rPr>
        <w:footnoteRef/>
      </w:r>
      <w:r>
        <w:t xml:space="preserve"> </w:t>
      </w:r>
      <w:r>
        <w:t xml:space="preserve">R. at 77, 80, 100, 106, 154, 157</w:t>
      </w:r>
      <w:r>
        <w:noBreakHyphen/>
      </w:r>
      <w:r>
        <w:t xml:space="preserve">58. Prosecution Exhibit 14 at 14</w:t>
      </w:r>
      <w:r>
        <w:noBreakHyphen/>
      </w:r>
      <w:r>
        <w:t xml:space="preserve">16.</w:t>
      </w:r>
    </w:p>
  </w:footnote>
  <w:footnote w:id="19">
    <w:p>
      <w:pPr>
        <w:pStyle w:val="FootnoteText"/>
      </w:pPr>
      <w:r>
        <w:rPr>
          <w:rStyle w:val="FootnoteReference"/>
        </w:rPr>
        <w:footnoteRef/>
      </w:r>
      <w:r>
        <w:t xml:space="preserve"> </w:t>
      </w:r>
      <w:r>
        <w:t xml:space="preserve">R. at 53; Appellate Exhibit X at 1 (</w:t>
      </w:r>
      <w:r>
        <w:t xml:space="preserve">“I think I had two shots of liquor while I was in this bar, one of Bailey’s, and one Tequila. I also had two mixed drinks, both of them were Peach Schnapps and Sprite. We then went to Yumi’s and stayed for about fifteen or twenty minutes. During that time I had a shot called a</w:t>
      </w:r>
      <w:r>
        <w:t xml:space="preserve"> </w:t>
      </w:r>
      <w:r>
        <w:t xml:space="preserve">‘snake bite.’</w:t>
      </w:r>
      <w:r>
        <w:t xml:space="preserve"> </w:t>
      </w:r>
      <w:r>
        <w:t xml:space="preserve">It’s a mixture of Southern Comfort and Red Bull. … We left and then went to East Coast and stayed until 11:00. I had one mixed drink at this bar, a vodka and orange juice drink.”</w:t>
      </w:r>
      <w:r>
        <w:t xml:space="preserve">).</w:t>
      </w:r>
    </w:p>
  </w:footnote>
  <w:footnote w:id="20">
    <w:p>
      <w:pPr>
        <w:pStyle w:val="FootnoteText"/>
      </w:pPr>
      <w:r>
        <w:rPr>
          <w:rStyle w:val="FootnoteReference"/>
        </w:rPr>
        <w:footnoteRef/>
      </w:r>
      <w:r>
        <w:t xml:space="preserve"> </w:t>
      </w:r>
      <w:r>
        <w:t xml:space="preserve">Prosecution Exhibit 14 at 11</w:t>
      </w:r>
      <w:r>
        <w:noBreakHyphen/>
      </w:r>
      <w:r>
        <w:t xml:space="preserve">15. Appellate Exhibit X at 2.</w:t>
      </w:r>
    </w:p>
  </w:footnote>
  <w:footnote w:id="21">
    <w:p>
      <w:pPr>
        <w:pStyle w:val="FootnoteText"/>
      </w:pPr>
      <w:r>
        <w:rPr>
          <w:rStyle w:val="FootnoteReference"/>
        </w:rPr>
        <w:footnoteRef/>
      </w:r>
      <w:r>
        <w:t xml:space="preserve"> </w:t>
      </w:r>
      <w:r>
        <w:t xml:space="preserve">Prosecution Exhibit 14 at 11</w:t>
      </w:r>
      <w:r>
        <w:noBreakHyphen/>
      </w:r>
      <w:r>
        <w:t xml:space="preserve">15, 64.</w:t>
      </w:r>
    </w:p>
  </w:footnote>
  <w:footnote w:id="22">
    <w:p>
      <w:pPr>
        <w:pStyle w:val="FootnoteText"/>
      </w:pPr>
      <w:r>
        <w:rPr>
          <w:rStyle w:val="FootnoteReference"/>
        </w:rPr>
        <w:footnoteRef/>
      </w:r>
      <w:r>
        <w:t xml:space="preserve"> </w:t>
      </w:r>
      <w:r>
        <w:t xml:space="preserve">Prosecution Exhibit 14 at 11.</w:t>
      </w:r>
    </w:p>
  </w:footnote>
  <w:footnote w:id="23">
    <w:p>
      <w:pPr>
        <w:pStyle w:val="FootnoteText"/>
      </w:pPr>
      <w:r>
        <w:rPr>
          <w:rStyle w:val="FootnoteReference"/>
        </w:rPr>
        <w:footnoteRef/>
      </w:r>
      <w:r>
        <w:t xml:space="preserve"> </w:t>
      </w:r>
      <w:r>
        <w:t xml:space="preserve">Prosecution Exhibit 14 at 11</w:t>
      </w:r>
      <w:r>
        <w:noBreakHyphen/>
      </w:r>
      <w:r>
        <w:t xml:space="preserve">15.</w:t>
      </w:r>
    </w:p>
  </w:footnote>
  <w:footnote w:id="24">
    <w:p>
      <w:pPr>
        <w:pStyle w:val="FootnoteText"/>
      </w:pPr>
      <w:r>
        <w:rPr>
          <w:rStyle w:val="FootnoteReference"/>
        </w:rPr>
        <w:footnoteRef/>
      </w:r>
      <w:r>
        <w:t xml:space="preserve"> </w:t>
      </w:r>
      <w:r>
        <w:t xml:space="preserve">R. at 100; Prosecution Exhibit 14 at 15, 65.</w:t>
      </w:r>
    </w:p>
  </w:footnote>
  <w:footnote w:id="25">
    <w:p>
      <w:pPr>
        <w:pStyle w:val="FootnoteText"/>
      </w:pPr>
      <w:r>
        <w:rPr>
          <w:rStyle w:val="FootnoteReference"/>
        </w:rPr>
        <w:footnoteRef/>
      </w:r>
      <w:r>
        <w:t xml:space="preserve"> </w:t>
      </w:r>
      <w:r>
        <w:t xml:space="preserve">Prosecution Exhibit 14 at 15.</w:t>
      </w:r>
    </w:p>
  </w:footnote>
  <w:footnote w:id="26">
    <w:p>
      <w:pPr>
        <w:pStyle w:val="FootnoteText"/>
      </w:pPr>
      <w:r>
        <w:rPr>
          <w:rStyle w:val="FootnoteReference"/>
        </w:rPr>
        <w:footnoteRef/>
      </w:r>
      <w:r>
        <w:t xml:space="preserve"> </w:t>
      </w:r>
      <w:r>
        <w:t xml:space="preserve">R. at 57.</w:t>
      </w:r>
    </w:p>
  </w:footnote>
  <w:footnote w:id="27">
    <w:p>
      <w:pPr>
        <w:pStyle w:val="FootnoteText"/>
      </w:pPr>
      <w:r>
        <w:rPr>
          <w:rStyle w:val="FootnoteReference"/>
        </w:rPr>
        <w:footnoteRef/>
      </w:r>
      <w:r>
        <w:t xml:space="preserve"> </w:t>
      </w:r>
      <w:r>
        <w:t xml:space="preserve">Appellate Exhibit IX at 1.</w:t>
      </w:r>
    </w:p>
  </w:footnote>
  <w:footnote w:id="28">
    <w:p>
      <w:pPr>
        <w:pStyle w:val="FootnoteText"/>
      </w:pPr>
      <w:r>
        <w:rPr>
          <w:rStyle w:val="FootnoteReference"/>
        </w:rPr>
        <w:footnoteRef/>
      </w:r>
      <w:r>
        <w:t xml:space="preserve"> </w:t>
      </w:r>
      <w:r>
        <w:t xml:space="preserve">R. at 157.</w:t>
      </w:r>
    </w:p>
  </w:footnote>
  <w:footnote w:id="29">
    <w:p>
      <w:pPr>
        <w:pStyle w:val="FootnoteText"/>
      </w:pPr>
      <w:r>
        <w:rPr>
          <w:rStyle w:val="FootnoteReference"/>
        </w:rPr>
        <w:footnoteRef/>
      </w:r>
      <w:r>
        <w:t xml:space="preserve"> </w:t>
      </w:r>
      <w:r>
        <w:t xml:space="preserve">Prosecution Exhibit 14 at 67.</w:t>
      </w:r>
    </w:p>
  </w:footnote>
  <w:footnote w:id="30">
    <w:p>
      <w:pPr>
        <w:pStyle w:val="FootnoteText"/>
      </w:pPr>
      <w:r>
        <w:rPr>
          <w:rStyle w:val="FootnoteReference"/>
        </w:rPr>
        <w:footnoteRef/>
      </w:r>
      <w:r>
        <w:t xml:space="preserve"> </w:t>
      </w:r>
      <w:r>
        <w:t xml:space="preserve">R. at 56, 158; Prosecution Exhibit 14 at 67.</w:t>
      </w:r>
    </w:p>
  </w:footnote>
  <w:footnote w:id="31">
    <w:p>
      <w:pPr>
        <w:pStyle w:val="FootnoteText"/>
      </w:pPr>
      <w:r>
        <w:rPr>
          <w:rStyle w:val="FootnoteReference"/>
        </w:rPr>
        <w:footnoteRef/>
      </w:r>
      <w:r>
        <w:t xml:space="preserve"> </w:t>
      </w:r>
      <w:r>
        <w:t xml:space="preserve">Appellate Exhibit X at 2.</w:t>
      </w:r>
    </w:p>
  </w:footnote>
  <w:footnote w:id="32">
    <w:p>
      <w:pPr>
        <w:pStyle w:val="FootnoteText"/>
      </w:pPr>
      <w:r>
        <w:rPr>
          <w:rStyle w:val="FootnoteReference"/>
        </w:rPr>
        <w:footnoteRef/>
      </w:r>
      <w:r>
        <w:t xml:space="preserve"> </w:t>
      </w:r>
      <w:r>
        <w:t xml:space="preserve">Appellate Exhibit X at 2; Prosecution Exhibit 14 at 68.</w:t>
      </w:r>
    </w:p>
  </w:footnote>
  <w:footnote w:id="33">
    <w:p>
      <w:pPr>
        <w:pStyle w:val="FootnoteText"/>
      </w:pPr>
      <w:r>
        <w:rPr>
          <w:rStyle w:val="FootnoteReference"/>
        </w:rPr>
        <w:footnoteRef/>
      </w:r>
      <w:r>
        <w:t xml:space="preserve"> </w:t>
      </w:r>
      <w:r>
        <w:t xml:space="preserve">Prosecution Exhibit 14 at 16, 69.</w:t>
      </w:r>
    </w:p>
  </w:footnote>
  <w:footnote w:id="34">
    <w:p>
      <w:pPr>
        <w:pStyle w:val="FootnoteText"/>
      </w:pPr>
      <w:r>
        <w:rPr>
          <w:rStyle w:val="FootnoteReference"/>
        </w:rPr>
        <w:footnoteRef/>
      </w:r>
      <w:r>
        <w:t xml:space="preserve"> </w:t>
      </w:r>
      <w:r>
        <w:t xml:space="preserve">R. at 82; Prosecution Exhibit 14 at 16, 69.</w:t>
      </w:r>
    </w:p>
  </w:footnote>
  <w:footnote w:id="35">
    <w:p>
      <w:pPr>
        <w:pStyle w:val="FootnoteText"/>
      </w:pPr>
      <w:r>
        <w:rPr>
          <w:rStyle w:val="FootnoteReference"/>
        </w:rPr>
        <w:footnoteRef/>
      </w:r>
      <w:r>
        <w:t xml:space="preserve"> </w:t>
      </w:r>
      <w:r>
        <w:t xml:space="preserve">Prosecution Exhibit 14 at 69.</w:t>
      </w:r>
    </w:p>
  </w:footnote>
  <w:footnote w:id="36">
    <w:p>
      <w:pPr>
        <w:pStyle w:val="FootnoteText"/>
      </w:pPr>
      <w:r>
        <w:rPr>
          <w:rStyle w:val="FootnoteReference"/>
        </w:rPr>
        <w:footnoteRef/>
      </w:r>
      <w:r>
        <w:t xml:space="preserve"> </w:t>
      </w:r>
      <w:r>
        <w:t xml:space="preserve">Prosecution Exhibits 11</w:t>
      </w:r>
      <w:r>
        <w:noBreakHyphen/>
      </w:r>
      <w:r>
        <w:t xml:space="preserve">13, 16</w:t>
      </w:r>
      <w:r>
        <w:noBreakHyphen/>
      </w:r>
      <w:r>
        <w:t xml:space="preserve">19; Prosecution Exhibit 14 at 17.</w:t>
      </w:r>
    </w:p>
  </w:footnote>
  <w:footnote w:id="37">
    <w:p>
      <w:pPr>
        <w:pStyle w:val="FootnoteText"/>
      </w:pPr>
      <w:r>
        <w:rPr>
          <w:rStyle w:val="FootnoteReference"/>
        </w:rPr>
        <w:footnoteRef/>
      </w:r>
      <w:r>
        <w:t xml:space="preserve"> </w:t>
      </w:r>
      <w:r>
        <w:t xml:space="preserve">R. at 84; Prosecution Exhibit 14 at 18.</w:t>
      </w:r>
    </w:p>
  </w:footnote>
  <w:footnote w:id="38">
    <w:p>
      <w:pPr>
        <w:pStyle w:val="FootnoteText"/>
      </w:pPr>
      <w:r>
        <w:rPr>
          <w:rStyle w:val="FootnoteReference"/>
        </w:rPr>
        <w:footnoteRef/>
      </w:r>
      <w:r>
        <w:t xml:space="preserve"> </w:t>
      </w:r>
      <w:r>
        <w:t xml:space="preserve">R. at 84</w:t>
      </w:r>
      <w:r>
        <w:noBreakHyphen/>
      </w:r>
      <w:r>
        <w:t xml:space="preserve">85.</w:t>
      </w:r>
    </w:p>
  </w:footnote>
  <w:footnote w:id="39">
    <w:p>
      <w:pPr>
        <w:pStyle w:val="FootnoteText"/>
      </w:pPr>
      <w:r>
        <w:rPr>
          <w:rStyle w:val="FootnoteReference"/>
        </w:rPr>
        <w:footnoteRef/>
      </w:r>
      <w:r>
        <w:t xml:space="preserve"> </w:t>
      </w:r>
      <w:r>
        <w:t xml:space="preserve">National Defense Authorization Act for Fiscal Year 2012, Pub. L. No. 112</w:t>
      </w:r>
      <w:r>
        <w:noBreakHyphen/>
      </w:r>
      <w:r>
        <w:t xml:space="preserve">81, § 541, 125 Stat. 1298 (2011).</w:t>
      </w:r>
    </w:p>
  </w:footnote>
  <w:footnote w:id="40">
    <w:p>
      <w:pPr>
        <w:pStyle w:val="FootnoteText"/>
      </w:pPr>
      <w:r>
        <w:rPr>
          <w:rStyle w:val="FootnoteReference"/>
        </w:rPr>
        <w:footnoteRef/>
      </w:r>
      <w:r>
        <w:t xml:space="preserve"> </w:t>
      </w:r>
      <w:r>
        <w:t xml:space="preserve">LCpl Miles was alleged to have committed these acts on February 3, 2012. This means that just five months later, his conduct would not have been criminal under Article 120.</w:t>
      </w:r>
    </w:p>
  </w:footnote>
  <w:footnote w:id="41">
    <w:p>
      <w:pPr>
        <w:pStyle w:val="FootnoteText"/>
      </w:pPr>
      <w:r>
        <w:rPr>
          <w:rStyle w:val="FootnoteReference"/>
        </w:rPr>
        <w:footnoteRef/>
      </w:r>
      <w:r>
        <w:t xml:space="preserve"> </w:t>
      </w:r>
      <w:r>
        <w:rPr>
          <w:i/>
          <w:iCs/>
        </w:rPr>
        <w:t xml:space="preserve">United States v. Pauling</w:t>
      </w:r>
      <w:r>
        <w:t xml:space="preserve">, 60 M.J. 91, 95 (C.A.A.F. 2004) (quoting</w:t>
      </w:r>
      <w:r>
        <w:t xml:space="preserve"> </w:t>
      </w:r>
      <w:r>
        <w:rPr>
          <w:i/>
          <w:iCs/>
        </w:rPr>
        <w:t xml:space="preserve">United States v. Monday</w:t>
      </w:r>
      <w:r>
        <w:t xml:space="preserve">, 52 M.J. 625, 628 n.8 (A. Ct. Crim. App. 1999)).</w:t>
      </w:r>
    </w:p>
  </w:footnote>
  <w:footnote w:id="42">
    <w:p>
      <w:pPr>
        <w:pStyle w:val="FootnoteText"/>
      </w:pPr>
      <w:r>
        <w:rPr>
          <w:rStyle w:val="FootnoteReference"/>
        </w:rPr>
        <w:footnoteRef/>
      </w:r>
      <w:r>
        <w:t xml:space="preserve"> </w:t>
      </w:r>
      <w:r>
        <w:t xml:space="preserve">See R.C.M. 307(c)(4), Discussion.</w:t>
      </w:r>
    </w:p>
  </w:footnote>
  <w:footnote w:id="43">
    <w:p>
      <w:pPr>
        <w:pStyle w:val="FootnoteText"/>
      </w:pPr>
      <w:r>
        <w:rPr>
          <w:rStyle w:val="FootnoteReference"/>
        </w:rPr>
        <w:footnoteRef/>
      </w:r>
      <w:r>
        <w:t xml:space="preserve"> </w:t>
      </w:r>
      <w:r>
        <w:t xml:space="preserve">See</w:t>
      </w:r>
      <w:r>
        <w:t xml:space="preserve"> </w:t>
      </w:r>
      <w:r>
        <w:rPr>
          <w:i/>
          <w:iCs/>
        </w:rPr>
        <w:t xml:space="preserve">United States v. Joyce</w:t>
      </w:r>
      <w:r>
        <w:t xml:space="preserve">, 50 M.J. 567, 568 (N-M. Ct. Crim. App. 1999).</w:t>
      </w:r>
    </w:p>
  </w:footnote>
  <w:footnote w:id="44">
    <w:p>
      <w:pPr>
        <w:pStyle w:val="FootnoteText"/>
      </w:pPr>
      <w:r>
        <w:rPr>
          <w:rStyle w:val="FootnoteReference"/>
        </w:rPr>
        <w:footnoteRef/>
      </w:r>
      <w:r>
        <w:t xml:space="preserve"> </w:t>
      </w:r>
      <w:r>
        <w:rPr>
          <w:i/>
          <w:iCs/>
        </w:rPr>
        <w:t xml:space="preserve">United States v. Quiroz</w:t>
      </w:r>
      <w:r>
        <w:t xml:space="preserve">, 55 M.J. 334, 337 (C.A.A.F. 2001).</w:t>
      </w:r>
    </w:p>
  </w:footnote>
  <w:footnote w:id="45">
    <w:p>
      <w:pPr>
        <w:pStyle w:val="FootnoteText"/>
      </w:pPr>
      <w:r>
        <w:rPr>
          <w:rStyle w:val="FootnoteReference"/>
        </w:rPr>
        <w:footnoteRef/>
      </w:r>
      <w:r>
        <w:t xml:space="preserve"> </w:t>
      </w:r>
      <w:r>
        <w:rPr>
          <w:i/>
          <w:iCs/>
        </w:rPr>
        <w:t xml:space="preserve">Id.</w:t>
      </w:r>
      <w:r>
        <w:t xml:space="preserve"> </w:t>
      </w:r>
      <w:r>
        <w:t xml:space="preserve">at 338.</w:t>
      </w:r>
    </w:p>
  </w:footnote>
  <w:footnote w:id="46">
    <w:p>
      <w:pPr>
        <w:pStyle w:val="FootnoteText"/>
      </w:pPr>
      <w:r>
        <w:rPr>
          <w:rStyle w:val="FootnoteReference"/>
        </w:rPr>
        <w:footnoteRef/>
      </w:r>
      <w:r>
        <w:t xml:space="preserve"> </w:t>
      </w:r>
      <w:r>
        <w:rPr>
          <w:i/>
          <w:iCs/>
        </w:rPr>
        <w:t xml:space="preserve">Campbell</w:t>
      </w:r>
      <w:r>
        <w:t xml:space="preserve">, 71 M.J. at 22</w:t>
      </w:r>
      <w:r>
        <w:noBreakHyphen/>
      </w:r>
      <w:r>
        <w:t xml:space="preserve">23; cf.</w:t>
      </w:r>
      <w:r>
        <w:t xml:space="preserve"> </w:t>
      </w:r>
      <w:r>
        <w:rPr>
          <w:i/>
          <w:iCs/>
        </w:rPr>
        <w:t xml:space="preserve">United States v. Ducharme</w:t>
      </w:r>
      <w:r>
        <w:t xml:space="preserve">, 59 M.J. 816, 819</w:t>
      </w:r>
      <w:r>
        <w:noBreakHyphen/>
      </w:r>
      <w:r>
        <w:t xml:space="preserve">20 (N-M. Ct. Crim. App. 2004) (court dismissed the conviction deciding it was an unreasonable multiplication of charges and merged specifications).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Mono" w:hAnsi="Liberation Mono" w:eastAsia="Liberation Mono" w:cs="Liberation Mono"/>
        <w:sz w:val="28"/>
        <w:szCs w:val="28"/>
        <w:lang w:val="en-US" w:eastAsia="en-US" w:bidi="ar-SA"/>
      </w:rPr>
    </w:rPrDefault>
    <w:pPrDefault>
      <w:pPr>
        <w:widowControl w:val="0"/>
        <w:spacing w:before="0" w:after="0" w:line="336" w:lineRule="exact"/>
      </w:pPr>
    </w:pPrDefault>
  </w:docDefaults>
  <w:latentStyles w:defLockedState="0" w:defUIPriority="0" w:defSemiHidden="0" w:defUnhideWhenUsed="0" w:defQFormat="0" w:count="276"/>
  <w:style w:type="paragraph" w:default="1" w:styleId="Normal">
    <w:name w:val="Normal"/>
    <w:qFormat/>
    <w:pPr>
      <w:widowControl w:val="0"/>
      <w:spacing w:before="0" w:after="0" w:line="336" w:lineRule="exact"/>
    </w:pPr>
    <w:rPr>
      <w:rFonts w:ascii="Liberation Mono" w:hAnsi="Liberation Mono" w:eastAsia="Liberation Mono" w:cs="Liberation Mono"/>
      <w:sz w:val="28"/>
      <w:szCs w:val="28"/>
    </w:rPr>
  </w:style>
  <w:style w:type="paragraph" w:styleId="BodyText">
    <w:name w:val="Body Text"/>
    <w:basedOn w:val="Normal"/>
    <w:qFormat/>
    <w:pPr>
      <w:spacing w:before="0" w:after="0" w:line="672" w:lineRule="exact"/>
      <w:ind w:firstLine="720"/>
    </w:pPr>
  </w:style>
  <w:style w:type="paragraph" w:customStyle="1" w:styleId="FirstParagraph">
    <w:name w:val="First Paragraph"/>
    <w:basedOn w:val="Normal"/>
    <w:next w:val="BodyText"/>
    <w:qFormat/>
    <w:pPr>
      <w:spacing w:before="0" w:after="0" w:line="672" w:lineRule="exact"/>
    </w:pPr>
  </w:style>
  <w:style w:type="paragraph" w:customStyle="1" w:styleId="Compact">
    <w:name w:val="Compact"/>
    <w:basedOn w:val="FirstParagraph"/>
    <w:qFormat/>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FirstParagraph"/>
    <w:qFormat/>
    <w:pPr>
      <w:keepNext/>
      <w:keepLines/>
      <w:spacing w:before="392" w:after="0" w:line="336" w:lineRule="exact"/>
      <w:jc w:val="center"/>
      <w:outlineLvl w:val="0"/>
    </w:pPr>
    <w:rPr>
      <w:b/>
      <w:bCs/>
      <w:color w:val="000000"/>
      <w:sz w:val="28"/>
      <w:szCs w:val="28"/>
    </w:rPr>
  </w:style>
  <w:style w:type="paragraph" w:styleId="Heading2">
    <w:name w:val="heading 2"/>
    <w:basedOn w:val="Normal"/>
    <w:next w:val="FirstParagraph"/>
    <w:qFormat/>
    <w:pPr>
      <w:keepNext/>
      <w:keepLines/>
      <w:spacing w:before="308" w:after="0" w:line="336" w:lineRule="exact"/>
      <w:outlineLvl w:val="1"/>
    </w:pPr>
    <w:rPr>
      <w:b/>
      <w:bCs/>
      <w:color w:val="000000"/>
      <w:sz w:val="28"/>
      <w:szCs w:val="28"/>
    </w:rPr>
  </w:style>
  <w:style w:type="paragraph" w:styleId="Heading3">
    <w:name w:val="heading 3"/>
    <w:basedOn w:val="Heading2"/>
    <w:next w:val="FirstParagraph"/>
    <w:qFormat/>
    <w:pPr>
      <w:outlineLvl w:val="2"/>
    </w:pPr>
  </w:style>
  <w:style w:type="paragraph" w:styleId="Heading4">
    <w:name w:val="heading 4"/>
    <w:basedOn w:val="Heading2"/>
    <w:next w:val="FirstParagraph"/>
    <w:qFormat/>
    <w:pPr>
      <w:outlineLvl w:val="3"/>
    </w:pPr>
  </w:style>
  <w:style w:type="paragraph" w:styleId="Heading5">
    <w:name w:val="heading 5"/>
    <w:basedOn w:val="Heading2"/>
    <w:next w:val="FirstParagraph"/>
    <w:qFormat/>
    <w:pPr>
      <w:outlineLvl w:val="4"/>
    </w:p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BlockText">
    <w:name w:val="Block Text"/>
    <w:basedOn w:val="Normal"/>
    <w:next w:val="BodyText"/>
    <w:qFormat/>
    <w:pPr>
      <w:spacing w:before="224" w:after="224" w:line="336" w:lineRule="exact"/>
      <w:ind w:left="720" w:right="720"/>
    </w:pPr>
  </w:style>
  <w:style w:type="paragraph" w:styleId="FootnoteText">
    <w:name w:val="footnote text"/>
    <w:basedOn w:val="Normal"/>
    <w:qFormat/>
    <w:pPr>
      <w:spacing w:before="0" w:after="140" w:line="336" w:lineRule="exact"/>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rPr>
      <w:vertAlign w:val="superscript"/>
    </w:rPr>
  </w:style>
  <w:style w:type="character" w:styleId="Hyperlink">
    <w:name w:val="Hyperlink"/>
    <w:rPr>
      <w:color w:val="000000"/>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BodyKeep">
    <w:name w:val="Body Keep"/>
    <w:basedOn w:val="BodyText"/>
    <w:qFormat/>
    <w:pPr>
      <w:keepNext/>
      <w:keepLines/>
    </w:pPr>
  </w:style>
  <w:style w:type="paragraph" w:customStyle="1" w:styleId="FirstKeep">
    <w:name w:val="First Keep"/>
    <w:basedOn w:val="FirstParagraph"/>
    <w:qFormat/>
    <w:pPr>
      <w:keepNext/>
      <w:keepLines/>
    </w:pPr>
  </w:style>
  <w:style w:type="paragraph" w:customStyle="1" w:styleId="ListItem">
    <w:name w:val="List Item"/>
    <w:basedOn w:val="Normal"/>
    <w:qFormat/>
    <w:pPr>
      <w:spacing w:before="0" w:after="0" w:line="672" w:lineRule="exact"/>
      <w:ind w:lef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Liberation Mono"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Liberation Mono"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