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No. 25-0792</w:t>
      </w:r>
    </w:p>
    <w:p>
      <w:pPr>
        <w:pStyle w:val="Gap648"/>
      </w:pPr>
    </w:p>
    <w:p>
      <w:pPr>
        <w:pStyle w:val="CenteredHeading"/>
      </w:pPr>
      <w:r>
        <w:rPr>
          <w:b/>
          <w:bCs/>
        </w:rPr>
        <w:t xml:space="preserve">IN THE SUPREME COURT OF TEXAS</w:t>
      </w:r>
    </w:p>
    <w:p>
      <w:pPr>
        <w:pStyle w:val="Gap504"/>
      </w:pPr>
    </w:p>
    <w:p>
      <w:pPr>
        <w:pStyle w:val="Centered"/>
      </w:pPr>
      <w:r>
        <w:t xml:space="preserve">State of Texas, Petitioner</w:t>
      </w:r>
    </w:p>
    <w:p>
      <w:pPr>
        <w:pStyle w:val="Gap288"/>
      </w:pPr>
    </w:p>
    <w:p>
      <w:pPr>
        <w:pStyle w:val="Centered"/>
      </w:pPr>
      <w:r>
        <w:t xml:space="preserve">v.</w:t>
      </w:r>
    </w:p>
    <w:p>
      <w:pPr>
        <w:pStyle w:val="Gap288"/>
      </w:pPr>
    </w:p>
    <w:p>
      <w:pPr>
        <w:pStyle w:val="Centered"/>
      </w:pPr>
      <w:r>
        <w:t xml:space="preserve">F.M.V., a Juvenile, Respondent</w:t>
      </w:r>
    </w:p>
    <w:p>
      <w:pPr>
        <w:pStyle w:val="Gap504"/>
      </w:pPr>
    </w:p>
    <w:p>
      <w:pPr>
        <w:pStyle w:val="Centered"/>
      </w:pPr>
      <w:r>
        <w:t xml:space="preserve">On Petition for Review from the Eighth Court of Appeals, El Paso</w:t>
      </w:r>
    </w:p>
    <w:p>
      <w:pPr>
        <w:pStyle w:val="Gap504"/>
      </w:pPr>
    </w:p>
    <w:p>
      <w:pPr>
        <w:pStyle w:val="CoverTitle"/>
      </w:pPr>
      <w:r>
        <w:rPr>
          <w:b/>
          <w:bCs/>
        </w:rPr>
        <w:t xml:space="preserve">PETITIONER’S BRIEF ON THE MERITS</w:t>
      </w:r>
    </w:p>
    <w:p>
      <w:pPr>
        <w:pStyle w:val="Gap504"/>
      </w:pPr>
    </w:p>
    <w:p>
      <w:pPr>
        <w:pStyle w:val="CounselFrame"/>
        <w:framePr w:w="9360" w:hSpace="0" w:wrap="around" w:vAnchor="margin" w:hAnchor="margin" w:yAlign="bottom"/>
      </w:pPr>
      <w:r>
        <w:t xml:space="preserve">Assistant County Attorney</w:t>
      </w:r>
    </w:p>
    <w:p>
      <w:pPr>
        <w:pStyle w:val="CounselFrame"/>
        <w:framePr w:w="9360" w:hSpace="0" w:wrap="around" w:vAnchor="margin" w:hAnchor="margin" w:yAlign="bottom"/>
      </w:pPr>
      <w:r>
        <w:t xml:space="preserve">320 S. Campbell St, Ste. 200</w:t>
      </w:r>
    </w:p>
    <w:p>
      <w:pPr>
        <w:pStyle w:val="CounselFrame"/>
        <w:framePr w:w="9360" w:hSpace="0" w:wrap="around" w:vAnchor="margin" w:hAnchor="margin" w:yAlign="bottom"/>
      </w:pPr>
      <w:r>
        <w:t xml:space="preserve">El Paso, Texas 79901</w:t>
      </w:r>
    </w:p>
    <w:p>
      <w:pPr>
        <w:pStyle w:val="CounselFrame"/>
        <w:framePr w:w="9360" w:hSpace="0" w:wrap="around" w:vAnchor="margin" w:hAnchor="margin" w:yAlign="bottom"/>
      </w:pPr>
      <w:r>
        <w:t xml:space="preserve">Kevin McCary</w:t>
      </w:r>
    </w:p>
    <w:p>
      <w:pPr>
        <w:pStyle w:val="CounselFrame"/>
        <w:framePr w:w="9360" w:hSpace="0" w:wrap="around" w:vAnchor="margin" w:hAnchor="margin" w:yAlign="bottom"/>
      </w:pPr>
      <w:r>
        <w:t xml:space="preserve">Tel: (915) 273-3248</w:t>
      </w:r>
    </w:p>
    <w:p>
      <w:pPr>
        <w:pStyle w:val="CounselFrame"/>
        <w:framePr w:w="9360" w:hSpace="0" w:wrap="around" w:vAnchor="margin" w:hAnchor="margin" w:yAlign="bottom"/>
      </w:pPr>
      <w:r>
        <w:t xml:space="preserve">K.McCary@epcountytx.gov</w:t>
      </w:r>
    </w:p>
    <w:p>
      <w:pPr>
        <w:pStyle w:val="CounselFrame"/>
        <w:framePr w:w="9360" w:hSpace="0" w:wrap="around" w:vAnchor="margin" w:hAnchor="margin" w:yAlign="bottom"/>
      </w:pPr>
      <w:r>
        <w:t xml:space="preserve">Texas Bar No. 24046381</w:t>
      </w:r>
    </w:p>
    <w:p>
      <w:pPr>
        <w:pStyle w:val="CounselFrame"/>
        <w:framePr w:w="9360" w:hSpace="0" w:wrap="around" w:vAnchor="margin" w:hAnchor="margin" w:yAlign="bottom"/>
      </w:pPr>
      <w:r>
        <w:t xml:space="preserve">Attorneys for Petitioner</w:t>
      </w:r>
    </w:p>
    <w:p>
      <w:pPr>
        <w:pStyle w:val="SectionBreak"/>
        <w:sectPr>
          <w:pgSz w:w="12240" w:h="15840"/>
          <w:pgMar w:top="1440" w:right="1440" w:bottom="1440" w:left="1440" w:header="720" w:footer="720" w:gutter="0"/>
        </w:sectPr>
      </w:pPr>
    </w:p>
    <w:p>
      <w:pPr>
        <w:pStyle w:val="Heading1"/>
      </w:pPr>
      <w:bookmarkStart w:id="109" w:name="_tocentry1"/>
      <w:r>
        <w:t xml:space="preserve">IDENTITIES OF PARTIES AND COUNSEL</w:t>
      </w:r>
      <w:bookmarkEnd w:id="109"/>
    </w:p>
    <w:p>
      <w:pPr>
        <w:pStyle w:val="Single"/>
      </w:pPr>
      <w:r>
        <w:t xml:space="preserve">Trial Court Judge: Hon. Yahara Lisa Gutierrez, Judge, 65th District Court, 500 E. San Antonio, Suite 1105, El Paso, TX 79901.</w:t>
      </w:r>
    </w:p>
    <w:p>
      <w:pPr>
        <w:pStyle w:val="Single"/>
      </w:pPr>
      <w:r>
        <w:t xml:space="preserve">For Respondent/Appellee F.M.V., a juvenile: Kelli Childress, Public Defender; Rene Alberto Vargas, Deputy Public Defender; Todd Morten, Deputy Public Defender; 500 E. San Antonio Avenue, Suite 501, El Paso, Texas 79901.</w:t>
      </w:r>
    </w:p>
    <w:p>
      <w:pPr>
        <w:pStyle w:val="Single"/>
      </w:pPr>
      <w:r>
        <w:t xml:space="preserve">For Petitioner, the State of Texas: Christina Sanchez, County Attorney, Appellate Counsel; Kevin McCary, Assistant County Attorney, Appellate Counsel; April Galvan, Assistant County Attorney, Trial and Appellate Counsel; 320 S. Campbell Street, Suite 200, El Paso, Texas 79901; Dimitri N. Rocha, Assistant Solicitor General, Dimitri.Rocha@oag.texas.gov, State Bar No. 24147002.</w:t>
      </w:r>
    </w:p>
    <w:p>
      <w:r>
        <w:br w:type="page"/>
      </w:r>
    </w:p>
    <w:p>
      <w:pPr>
        <w:pStyle w:val="CenteredHeading"/>
      </w:pPr>
      <w:r>
        <w:rPr>
          <w:b/>
          <w:bCs/>
        </w:rPr>
        <w:t xml:space="preserve">TABLE OF CONTENTS</w:t>
      </w:r>
    </w:p>
    <w:p>
      <w:pPr>
        <w:pStyle w:val="TOC1"/>
      </w:pPr>
      <w:r>
        <w:fldChar w:fldCharType="begin"/>
      </w:r>
      <w:r>
        <w:instrText xml:space="preserve"> TOC \o "1-2" \h \z \u </w:instrText>
      </w:r>
      <w:r>
        <w:fldChar w:fldCharType="separate"/>
      </w:r>
      <w:r>
        <w:t xml:space="preserve">IDENTITIES OF PARTIES AND COUNSEL</w:t>
      </w:r>
      <w:r>
        <w:tab/>
      </w:r>
      <w:r>
        <w:fldChar w:fldCharType="begin"/>
      </w:r>
      <w:r>
        <w:instrText xml:space="preserve"> PAGEREF _tocentry1 \h </w:instrText>
      </w:r>
      <w:r>
        <w:fldChar w:fldCharType="separate"/>
      </w:r>
      <w:r>
        <w:t xml:space="preserve">ii</w:t>
      </w:r>
      <w:r>
        <w:fldChar w:fldCharType="end"/>
      </w:r>
    </w:p>
    <w:p>
      <w:pPr>
        <w:pStyle w:val="TOC1"/>
      </w:pPr>
      <w:r>
        <w:t xml:space="preserve">INDEX OF AUTHORITIES</w:t>
      </w:r>
      <w:r>
        <w:tab/>
      </w:r>
      <w:r>
        <w:fldChar w:fldCharType="begin"/>
      </w:r>
      <w:r>
        <w:instrText xml:space="preserve"> PAGEREF _tocindex \h </w:instrText>
      </w:r>
      <w:r>
        <w:fldChar w:fldCharType="separate"/>
      </w:r>
      <w:r>
        <w:t xml:space="preserve">iv</w:t>
      </w:r>
      <w:r>
        <w:fldChar w:fldCharType="end"/>
      </w:r>
    </w:p>
    <w:p>
      <w:pPr>
        <w:pStyle w:val="TOC1"/>
      </w:pPr>
      <w:r>
        <w:t xml:space="preserve">STATEMENT OF THE CASE</w:t>
      </w:r>
      <w:r>
        <w:tab/>
      </w:r>
      <w:r>
        <w:fldChar w:fldCharType="begin"/>
      </w:r>
      <w:r>
        <w:instrText xml:space="preserve"> PAGEREF _tocentry3 \h </w:instrText>
      </w:r>
      <w:r>
        <w:fldChar w:fldCharType="separate"/>
      </w:r>
      <w:r>
        <w:t xml:space="preserve">1</w:t>
      </w:r>
      <w:r>
        <w:fldChar w:fldCharType="end"/>
      </w:r>
    </w:p>
    <w:p>
      <w:pPr>
        <w:pStyle w:val="TOC1"/>
      </w:pPr>
      <w:r>
        <w:t xml:space="preserve">STATEMENT OF JURISDICTION</w:t>
      </w:r>
      <w:r>
        <w:tab/>
      </w:r>
      <w:r>
        <w:fldChar w:fldCharType="begin"/>
      </w:r>
      <w:r>
        <w:instrText xml:space="preserve"> PAGEREF _tocentry4 \h </w:instrText>
      </w:r>
      <w:r>
        <w:fldChar w:fldCharType="separate"/>
      </w:r>
      <w:r>
        <w:t xml:space="preserve">2</w:t>
      </w:r>
      <w:r>
        <w:fldChar w:fldCharType="end"/>
      </w:r>
    </w:p>
    <w:p>
      <w:pPr>
        <w:pStyle w:val="TOC1"/>
      </w:pPr>
      <w:r>
        <w:t xml:space="preserve">ISSUES PRESENTED</w:t>
      </w:r>
      <w:r>
        <w:tab/>
      </w:r>
      <w:r>
        <w:fldChar w:fldCharType="begin"/>
      </w:r>
      <w:r>
        <w:instrText xml:space="preserve"> PAGEREF _tocentry5 \h </w:instrText>
      </w:r>
      <w:r>
        <w:fldChar w:fldCharType="separate"/>
      </w:r>
      <w:r>
        <w:t xml:space="preserve">2</w:t>
      </w:r>
      <w:r>
        <w:fldChar w:fldCharType="end"/>
      </w:r>
    </w:p>
    <w:p>
      <w:pPr>
        <w:pStyle w:val="TOC1"/>
      </w:pPr>
      <w:r>
        <w:t xml:space="preserve">INTRODUCTION</w:t>
      </w:r>
      <w:r>
        <w:tab/>
      </w:r>
      <w:r>
        <w:fldChar w:fldCharType="begin"/>
      </w:r>
      <w:r>
        <w:instrText xml:space="preserve"> PAGEREF _tocentry6 \h </w:instrText>
      </w:r>
      <w:r>
        <w:fldChar w:fldCharType="separate"/>
      </w:r>
      <w:r>
        <w:t xml:space="preserve">3</w:t>
      </w:r>
      <w:r>
        <w:fldChar w:fldCharType="end"/>
      </w:r>
    </w:p>
    <w:p>
      <w:pPr>
        <w:pStyle w:val="TOC1"/>
      </w:pPr>
      <w:r>
        <w:t xml:space="preserve">STATEMENT OF FACTS</w:t>
      </w:r>
      <w:r>
        <w:tab/>
      </w:r>
      <w:r>
        <w:fldChar w:fldCharType="begin"/>
      </w:r>
      <w:r>
        <w:instrText xml:space="preserve"> PAGEREF _tocentry7 \h </w:instrText>
      </w:r>
      <w:r>
        <w:fldChar w:fldCharType="separate"/>
      </w:r>
      <w:r>
        <w:t xml:space="preserve">5</w:t>
      </w:r>
      <w:r>
        <w:fldChar w:fldCharType="end"/>
      </w:r>
    </w:p>
    <w:p>
      <w:pPr>
        <w:pStyle w:val="TOC2"/>
      </w:pPr>
      <w:r>
        <w:t xml:space="preserve">The Offense and Investigation</w:t>
      </w:r>
      <w:r>
        <w:tab/>
      </w:r>
      <w:r>
        <w:fldChar w:fldCharType="begin"/>
      </w:r>
      <w:r>
        <w:instrText xml:space="preserve"> PAGEREF _tocentry8 \h </w:instrText>
      </w:r>
      <w:r>
        <w:fldChar w:fldCharType="separate"/>
      </w:r>
      <w:r>
        <w:t xml:space="preserve">5</w:t>
      </w:r>
      <w:r>
        <w:fldChar w:fldCharType="end"/>
      </w:r>
    </w:p>
    <w:p>
      <w:pPr>
        <w:pStyle w:val="TOC2"/>
      </w:pPr>
      <w:r>
        <w:t xml:space="preserve">Detention, Interrogation, and Magistration Timeline</w:t>
      </w:r>
      <w:r>
        <w:tab/>
      </w:r>
      <w:r>
        <w:fldChar w:fldCharType="begin"/>
      </w:r>
      <w:r>
        <w:instrText xml:space="preserve"> PAGEREF _tocentry9 \h </w:instrText>
      </w:r>
      <w:r>
        <w:fldChar w:fldCharType="separate"/>
      </w:r>
      <w:r>
        <w:t xml:space="preserve">6</w:t>
      </w:r>
      <w:r>
        <w:fldChar w:fldCharType="end"/>
      </w:r>
    </w:p>
    <w:p>
      <w:pPr>
        <w:pStyle w:val="TOC2"/>
      </w:pPr>
      <w:r>
        <w:t xml:space="preserve">Procedural History and Disposition</w:t>
      </w:r>
      <w:r>
        <w:tab/>
      </w:r>
      <w:r>
        <w:fldChar w:fldCharType="begin"/>
      </w:r>
      <w:r>
        <w:instrText xml:space="preserve"> PAGEREF _tocentry10 \h </w:instrText>
      </w:r>
      <w:r>
        <w:fldChar w:fldCharType="separate"/>
      </w:r>
      <w:r>
        <w:t xml:space="preserve">8</w:t>
      </w:r>
      <w:r>
        <w:fldChar w:fldCharType="end"/>
      </w:r>
      <w:r>
        <w:fldChar w:fldCharType="end"/>
      </w:r>
    </w:p>
    <w:p>
      <w:r>
        <w:br w:type="page"/>
      </w:r>
    </w:p>
    <w:p>
      <w:pPr>
        <w:pStyle w:val="Heading1"/>
      </w:pPr>
      <w:bookmarkStart w:id="110" w:name="_tocindex"/>
      <w:r>
        <w:t xml:space="preserve">INDEX OF AUTHORITIES</w:t>
      </w:r>
      <w:bookmarkEnd w:id="110"/>
    </w:p>
    <w:p>
      <w:pPr>
        <w:pStyle w:val="AuthorityGroup"/>
      </w:pPr>
      <w:r>
        <w:t xml:space="preserve">Cases</w:t>
      </w:r>
    </w:p>
    <w:p>
      <w:pPr>
        <w:pStyle w:val="AuthorityEntry"/>
      </w:pPr>
      <w:r>
        <w:rPr>
          <w:i/>
          <w:iCs/>
        </w:rPr>
        <w:t xml:space="preserve">Matter of F.M.V.</w:t>
      </w:r>
      <w:r>
        <w:t xml:space="preserve">, 720 S.W.3d 494 (Tex. App.—El Paso 2025, pet. filed)</w:t>
      </w:r>
      <w:r>
        <w:tab/>
      </w:r>
      <w:r>
        <w:t xml:space="preserve">1</w:t>
      </w:r>
    </w:p>
    <w:p>
      <w:pPr>
        <w:pStyle w:val="AuthorityGroup"/>
      </w:pPr>
      <w:r>
        <w:t xml:space="preserve">Statutes</w:t>
      </w:r>
    </w:p>
    <w:p>
      <w:pPr>
        <w:pStyle w:val="AuthorityEntry"/>
      </w:pPr>
      <w:r>
        <w:t xml:space="preserve">Tex. Fam. Code § 51.095</w:t>
      </w:r>
      <w:r>
        <w:t xml:space="preserve"/>
      </w:r>
      <w:r>
        <w:tab/>
      </w:r>
      <w:r>
        <w:t xml:space="preserve">2, 4, 5, 7, 8</w:t>
      </w:r>
    </w:p>
    <w:p>
      <w:pPr>
        <w:pStyle w:val="AuthorityEntry"/>
      </w:pPr>
      <w:r>
        <w:t xml:space="preserve">Tex. Fam. Code § 51.12(f)</w:t>
      </w:r>
      <w:r>
        <w:t xml:space="preserve"/>
      </w:r>
      <w:r>
        <w:tab/>
      </w:r>
      <w:r>
        <w:t xml:space="preserve">3</w:t>
      </w:r>
    </w:p>
    <w:p>
      <w:pPr>
        <w:pStyle w:val="AuthorityEntry"/>
      </w:pPr>
      <w:r>
        <w:t xml:space="preserve">Tex. Gov’t Code § 22.001(a), (b)</w:t>
      </w:r>
      <w:r>
        <w:t xml:space="preserve"/>
      </w:r>
      <w:r>
        <w:tab/>
      </w:r>
      <w:r>
        <w:t xml:space="preserve">2</w:t>
      </w:r>
    </w:p>
    <w:p>
      <w:pPr>
        <w:pStyle w:val="AuthorityGroup"/>
      </w:pPr>
      <w:r>
        <w:t xml:space="preserve">Rules</w:t>
      </w:r>
    </w:p>
    <w:p>
      <w:pPr>
        <w:pStyle w:val="AuthorityEntry"/>
      </w:pPr>
      <w:r>
        <w:t xml:space="preserve">Tex. R. App. P. 56.1(a)(5)</w:t>
      </w:r>
      <w:r>
        <w:t xml:space="preserve"/>
      </w:r>
      <w:r>
        <w:tab/>
      </w:r>
      <w:r>
        <w:t xml:space="preserve">4</w:t>
      </w:r>
    </w:p>
    <w:p>
      <w:pPr>
        <w:pStyle w:val="AuthorityEntry"/>
      </w:pPr>
      <w:r>
        <w:t xml:space="preserve">Tex. R. App. P. 56.1(a)(6)</w:t>
      </w:r>
      <w:r>
        <w:t xml:space="preserve"/>
      </w:r>
      <w:r>
        <w:tab/>
      </w:r>
      <w:r>
        <w:t xml:space="preserve">4</w:t>
      </w:r>
    </w:p>
    <w:p>
      <w:pPr>
        <w:pStyle w:val="SectionBreak"/>
        <w:sectPr>
          <w:footerReference w:type="default" r:id="rId100"/>
          <w:pgSz w:w="12240" w:h="15840"/>
          <w:pgMar w:top="1440" w:right="1440" w:bottom="1440" w:left="1440" w:header="720" w:footer="720" w:gutter="0"/>
          <w:pgNumType w:fmt="lowerRoman" w:start="2"/>
        </w:sectPr>
      </w:pPr>
    </w:p>
    <w:p>
      <w:pPr>
        <w:pStyle w:val="Heading1"/>
      </w:pPr>
      <w:bookmarkStart w:id="111" w:name="_tocentry3"/>
      <w:r>
        <w:t xml:space="preserve">STATEMENT OF THE CASE</w:t>
      </w:r>
      <w:bookmarkEnd w:id="111"/>
    </w:p>
    <w:p>
      <w:pPr>
        <w:pStyle w:val="FirstParagraph"/>
      </w:pPr>
      <w:r>
        <w:rPr>
          <w:i/>
          <w:iCs/>
        </w:rPr>
        <w:t xml:space="preserve">Nature of the Case:</w:t>
      </w:r>
      <w:r>
        <w:t xml:space="preserve"> </w:t>
      </w:r>
      <w:r>
        <w:t xml:space="preserve">This is a civil juvenile prosecution under the Texas Family Code.</w:t>
      </w:r>
    </w:p>
    <w:p>
      <w:pPr>
        <w:pStyle w:val="BodyText"/>
      </w:pPr>
      <w:r>
        <w:rPr>
          <w:i/>
          <w:iCs/>
        </w:rPr>
        <w:t xml:space="preserve">Trial Court Judge:</w:t>
      </w:r>
      <w:r>
        <w:t xml:space="preserve"> </w:t>
      </w:r>
      <w:r>
        <w:t xml:space="preserve">Hon. Yahara Lisa Gutierrez.</w:t>
      </w:r>
    </w:p>
    <w:p>
      <w:pPr>
        <w:pStyle w:val="BodyText"/>
      </w:pPr>
      <w:r>
        <w:rPr>
          <w:i/>
          <w:iCs/>
        </w:rPr>
        <w:t xml:space="preserve">Trial Court:</w:t>
      </w:r>
      <w:r>
        <w:t xml:space="preserve"> </w:t>
      </w:r>
      <w:r>
        <w:t xml:space="preserve">65th District Court, El Paso County, Texas.</w:t>
      </w:r>
    </w:p>
    <w:p>
      <w:pPr>
        <w:pStyle w:val="BodyText"/>
      </w:pPr>
      <w:r>
        <w:rPr>
          <w:i/>
          <w:iCs/>
        </w:rPr>
        <w:t xml:space="preserve">Course of the Proceedings:</w:t>
      </w:r>
      <w:r>
        <w:t xml:space="preserve"> </w:t>
      </w:r>
      <w:r>
        <w:t xml:space="preserve">The State charged the juvenile via a determinate sentence petition with five counts of deadly conduct and discharge of a firearm in civil proceedings in the 65th District Court, a designated juvenile court. (C.R. 44-46). A jury adjudicated him delinquent on all five counts on March 22, 2024. (C.R. 229-233). The trial court conducted a disposition hearing and sentenced him to three years in the Texas Juvenile Justice Department. (C.R. 244-246). This appeal followed.</w:t>
      </w:r>
    </w:p>
    <w:p>
      <w:pPr>
        <w:pStyle w:val="BodyText"/>
      </w:pPr>
      <w:r>
        <w:rPr>
          <w:i/>
          <w:iCs/>
        </w:rPr>
        <w:t xml:space="preserve">Trial Court Disposition:</w:t>
      </w:r>
      <w:r>
        <w:t xml:space="preserve"> </w:t>
      </w:r>
      <w:r>
        <w:t xml:space="preserve">The trial court adjudicated the juvenile delinquent and ordered him to serve three years in the Texas Juvenile Justice Department. (C.R. 244-246).</w:t>
      </w:r>
    </w:p>
    <w:p>
      <w:pPr>
        <w:pStyle w:val="BodyText"/>
      </w:pPr>
      <w:r>
        <w:rPr>
          <w:i/>
          <w:iCs/>
        </w:rPr>
        <w:t xml:space="preserve">Parties in the Court of Appeals:</w:t>
      </w:r>
      <w:r>
        <w:t xml:space="preserve"> </w:t>
      </w:r>
      <w:r>
        <w:t xml:space="preserve">F.M.V. (the juvenile) and the State of Texas.</w:t>
      </w:r>
    </w:p>
    <w:p>
      <w:pPr>
        <w:pStyle w:val="BodyText"/>
      </w:pPr>
      <w:r>
        <w:rPr>
          <w:i/>
          <w:iCs/>
        </w:rPr>
        <w:t xml:space="preserve">Appellate Court District:</w:t>
      </w:r>
      <w:r>
        <w:t xml:space="preserve"> </w:t>
      </w:r>
      <w:r>
        <w:t xml:space="preserve">8th Appellate District.</w:t>
      </w:r>
    </w:p>
    <w:p>
      <w:pPr>
        <w:pStyle w:val="BodyText"/>
      </w:pPr>
      <w:r>
        <w:rPr>
          <w:i/>
          <w:iCs/>
        </w:rPr>
        <w:t xml:space="preserve">Appellate Justices:</w:t>
      </w:r>
      <w:r>
        <w:t xml:space="preserve"> </w:t>
      </w:r>
      <w:r>
        <w:t xml:space="preserve">Salas Mendoza, C.J., Soto, Palafox, JJ.</w:t>
      </w:r>
    </w:p>
    <w:p>
      <w:pPr>
        <w:pStyle w:val="BodyText"/>
      </w:pPr>
      <w:r>
        <w:rPr>
          <w:i/>
          <w:iCs/>
        </w:rPr>
        <w:t xml:space="preserve">Citation of the Appellate Opinion:</w:t>
      </w:r>
      <w:r>
        <w:t xml:space="preserve"> </w:t>
      </w:r>
      <w:r>
        <w:rPr>
          <w:i/>
          <w:iCs/>
        </w:rPr>
        <w:t xml:space="preserve">Matter of F.M.V.</w:t>
      </w:r>
      <w:r>
        <w:t xml:space="preserve">, 720 S.W.3d 494 (Tex. App.—El Paso 2025, pet. filed).</w:t>
      </w:r>
    </w:p>
    <w:p>
      <w:pPr>
        <w:pStyle w:val="BodyBeforeHeading"/>
      </w:pPr>
      <w:r>
        <w:rPr>
          <w:i/>
          <w:iCs/>
        </w:rPr>
        <w:t xml:space="preserve">Appellate Court Disposition:</w:t>
      </w:r>
      <w:r>
        <w:t xml:space="preserve"> </w:t>
      </w:r>
      <w:r>
        <w:t xml:space="preserve">The Eighth Court of Appeals reversed and remanded the case for further proceedings. No hearings or motions are pending before the Court of Appeals. The State now moves the Supreme Court to review the opinion and judgment of the Court of Appeals.</w:t>
      </w:r>
    </w:p>
    <w:p>
      <w:pPr>
        <w:pStyle w:val="Heading1"/>
      </w:pPr>
      <w:bookmarkStart w:id="112" w:name="_tocentry4"/>
      <w:r>
        <w:t xml:space="preserve">STATEMENT OF JURISDICTION</w:t>
      </w:r>
      <w:bookmarkEnd w:id="112"/>
    </w:p>
    <w:p>
      <w:pPr>
        <w:pStyle w:val="BodyBeforeHeadingFirst"/>
      </w:pPr>
      <w:r>
        <w:t xml:space="preserve">This Court has jurisdiction over this appeal because the issue raised is important to the jurisprudence of the state, and it has already been considered by a court of appeals. Tex. Gov’t Code § 22.001(a), (b).</w:t>
      </w:r>
    </w:p>
    <w:p>
      <w:pPr>
        <w:pStyle w:val="Heading1"/>
      </w:pPr>
      <w:bookmarkStart w:id="113" w:name="_tocentry5"/>
      <w:r>
        <w:t xml:space="preserve">ISSUES PRESENTED</w:t>
      </w:r>
      <w:bookmarkEnd w:id="113"/>
    </w:p>
    <w:p>
      <w:pPr>
        <w:pStyle w:val="FirstParagraph"/>
        <w:numPr>
          <w:ilvl w:val="0"/>
          <w:numId w:val="1001"/>
        </w:numPr>
      </w:pPr>
      <w:r>
        <w:t xml:space="preserve">Whether a juvenile’s signed incriminating statement is admissible under Texas Family Code § 51.095 where law enforcement officers were located within sight during the magistration process but were unable to hear or interact with the juvenile.</w:t>
      </w:r>
    </w:p>
    <w:p>
      <w:pPr>
        <w:pStyle w:val="FirstParagraph"/>
        <w:numPr>
          <w:ilvl w:val="0"/>
          <w:numId w:val="1001"/>
        </w:numPr>
      </w:pPr>
      <w:r>
        <w:t xml:space="preserve">Whether the Court of Appeals violated established standards of appellate review by conducting a de novo visual review of bodycam footage and substituting its own judgment for the trial court’s explicit, record-supported findings of historical fact.</w:t>
      </w:r>
    </w:p>
    <w:p>
      <w:pPr>
        <w:pStyle w:val="Gap460"/>
      </w:pPr>
    </w:p>
    <w:p>
      <w:pPr>
        <w:pStyle w:val="Heading1"/>
      </w:pPr>
      <w:bookmarkStart w:id="114" w:name="_tocentry6"/>
      <w:r>
        <w:t xml:space="preserve">INTRODUCTION</w:t>
      </w:r>
      <w:bookmarkEnd w:id="114"/>
    </w:p>
    <w:p>
      <w:pPr>
        <w:pStyle w:val="FirstParagraph"/>
      </w:pPr>
      <w:r>
        <w:t xml:space="preserve">On a November evening in 2022, gunmen fired more than thirty bullets into the home of Maria de Los Angeles Ramirez and Leonardo Ramirez Torres. Fourteen-year-old juvenile F.M.V. later confessed to guiding two, armed accomplices to the home and pointing it out before the shooting began. These substantive facts are undisputed.</w:t>
      </w:r>
    </w:p>
    <w:p>
      <w:pPr>
        <w:pStyle w:val="BodyText"/>
      </w:pPr>
      <w:r>
        <w:t xml:space="preserve">The procedural facts are equally straightforward. Following his detention, F.M.V. was thoroughly advised of his</w:t>
      </w:r>
      <w:r>
        <w:t xml:space="preserve"> </w:t>
      </w:r>
      <w:r>
        <w:rPr>
          <w:i/>
          <w:iCs/>
        </w:rPr>
        <w:t xml:space="preserve">Miranda</w:t>
      </w:r>
      <w:r>
        <w:t xml:space="preserve"> </w:t>
      </w:r>
      <w:r>
        <w:t xml:space="preserve">rights; provided a written confession; and brought before a magistrate to review and sign the statement.</w:t>
      </w:r>
    </w:p>
    <w:p>
      <w:pPr>
        <w:pStyle w:val="BodyText"/>
      </w:pPr>
      <w:r>
        <w:t xml:space="preserve">When he was magistrated, the judge conducted the examination outside on the premises to keep him out of an adult facility.</w:t>
      </w:r>
      <w:r>
        <w:t xml:space="preserve"> </w:t>
      </w:r>
      <w:r>
        <w:rPr>
          <w:i/>
          <w:iCs/>
        </w:rPr>
        <w:t xml:space="preserve">See</w:t>
      </w:r>
      <w:r>
        <w:t xml:space="preserve"> </w:t>
      </w:r>
      <w:r>
        <w:t xml:space="preserve">Tex. Fam. Code § 51.12(f) (requiring that “a child detained in a building that contains a jail, ….be separated…from adults detained in the same building.”). Because F.M.V. was unrestrained on an open sidewalk, officers maintained a visual line-of-sight to fulfill their duty of keeping physical custody over a juvenile accused of a violent felony, a security precaution Magistrate Priddy judged necessary because she could not assume responsibility for preventing an escape.</w:t>
      </w:r>
    </w:p>
    <w:p>
      <w:pPr>
        <w:pStyle w:val="BodyText"/>
      </w:pPr>
      <w:r>
        <w:t xml:space="preserve">To guarantee an independent process, investigating officers remained stationed approximately 30 feet away, entirely out of earshot and unable to interact with F.M.V. while the magistrate conducted her examination. F.M.V. felt comfortable enough to make corrections to his statement before signing it.</w:t>
      </w:r>
    </w:p>
    <w:p>
      <w:pPr>
        <w:pStyle w:val="BodyText"/>
      </w:pPr>
      <w:r>
        <w:t xml:space="preserve">At trial, F.M.V. moved to suppress his confession, arguing that the mere sight of distant officers violated Texas Family Code § 51.095(a)(1)(B)(i), which mandates that no law enforcement officer be “present” during the magistrate’s examination. The trial court conducted a full evidentiary hearing, issued explicit findings of fact, and concluded the statute was satisfied because the officers exerted no physical or auditory influence over the process.</w:t>
      </w:r>
    </w:p>
    <w:p>
      <w:pPr>
        <w:pStyle w:val="BodyText"/>
      </w:pPr>
      <w:r>
        <w:t xml:space="preserve">The Eighth Court of Appeals reversed, holding that visual line-of-sight (“in view”) alone constitutes law enforcement “presence.” In doing so, the court created an inflexible, bright-line rule, ignoring the broader statutory framework. It also improperly discarded the trial court’s record-supported factual findings by conducting its own independent video review.</w:t>
      </w:r>
    </w:p>
    <w:p>
      <w:pPr>
        <w:pStyle w:val="BodyBeforeHeading"/>
      </w:pPr>
      <w:r>
        <w:t xml:space="preserve">This case thus presents an issue of first impression regarding the proper statutory construction of Texas Family Code § 51.095. In adopting a rigid line-of-sight test, “[t]he court of appeals appears to have committed an error of law of such importance to the state’s jurisprudence that it should be corrected.” Tex. R. App. P. 56.1(a)(5). And, by replacing a fact-bound inquiry with an inflexible rule and stripping trial courts of historical fact-finding deference, the Court of Appeals “has decided an important question of state law that should be resolved by this Court.” Tex. R. App. P. 56.1(a)(6). This Court should grant review to correct the Court of Appeals’ inflexible standard; restore proper deference to trial court fact-finding; and clarify that Section 51.095 requires a contextual inquiry as to whether the magistrate’s examination was free from law enforcement influence.</w:t>
      </w:r>
    </w:p>
    <w:p>
      <w:pPr>
        <w:pStyle w:val="Heading1"/>
      </w:pPr>
      <w:bookmarkStart w:id="115" w:name="_tocentry7"/>
      <w:r>
        <w:t xml:space="preserve">STATEMENT OF FACTS</w:t>
      </w:r>
      <w:bookmarkEnd w:id="115"/>
    </w:p>
    <w:p>
      <w:pPr>
        <w:pStyle w:val="Heading2"/>
      </w:pPr>
      <w:bookmarkStart w:id="116" w:name="_tocentry8"/>
      <w:r>
        <w:t xml:space="preserve">The Offense and Investigation</w:t>
      </w:r>
      <w:bookmarkEnd w:id="116"/>
    </w:p>
    <w:p>
      <w:pPr>
        <w:pStyle w:val="FirstParagraph"/>
      </w:pPr>
      <w:r>
        <w:t xml:space="preserve">On November 22, 2022, El Paso County Sheriff’s deputies responded to a shooting in Canutillo, Texas, where more than thirty bullets struck the home of Maria De Los Angeles Ramirez and Leonardo Ramirez Torres. (R.R. Vol. II 160:1; R.R. Vol. III 54:24–55:6). Torres sustained an eye injury from metal shrapnel. (R.R. Vol. III 58:25). Investigating detectives located scene ballistics and surveillance video of a suspect, white Dodge Charger driven by an adult co-actor, Andre Gilmer. (R.R. Vol. III 78:16–18, 81:3–5, 84:15). A subsequent search warrant recovered weapons matching the scene’s shell casings. (R.R. Vol. III 89:22–23).</w:t>
      </w:r>
    </w:p>
    <w:p>
      <w:pPr>
        <w:pStyle w:val="BodyBeforeHeading"/>
      </w:pPr>
      <w:r>
        <w:t xml:space="preserve">The investigation focused on F.M.V.’s actions arising from an earlier altercation between F.M.V.’s friends and the victims’ son. (R.R. Vol. III 78:7–12). F.M.V.’s mother, who had reported him as a runaway, provided information to Sheriff’s Detective Bastardo. (R.R. Vol. III 37:19–22). Additionally, F.M.V.’s girlfriend stated that F.M.V. sent her a video of the shooting and admitted his involvement. (R.R. Vol. III 90:23–25).</w:t>
      </w:r>
    </w:p>
    <w:p>
      <w:pPr>
        <w:pStyle w:val="Heading2"/>
      </w:pPr>
      <w:bookmarkStart w:id="117" w:name="_tocentry9"/>
      <w:r>
        <w:t xml:space="preserve">Detention, Interrogation, and Magistration Timeline</w:t>
      </w:r>
      <w:bookmarkEnd w:id="117"/>
    </w:p>
    <w:p>
      <w:pPr>
        <w:pStyle w:val="FirstParagraph"/>
      </w:pPr>
      <w:r>
        <w:t xml:space="preserve">Following his detention, F.M.V. was systematically provided statutory warnings before providing a written statement.</w:t>
      </w:r>
    </w:p>
    <w:p>
      <w:pPr>
        <w:pStyle w:val="BodyText"/>
      </w:pPr>
      <w:r>
        <w:t xml:space="preserve">December 1, 2022, 12:08 p.m. – Detention: Detective Bastardo picked up F.M.V. from his home and transported him directly to a designated Juvenile Processing Office at the Vinton Patrol Station. (R.R. Vol. I 52:16–25; R.R. Vol. III 104:13–15; C.R. 145 ¶ I.b.).</w:t>
      </w:r>
    </w:p>
    <w:p>
      <w:pPr>
        <w:pStyle w:val="BodyText"/>
      </w:pPr>
      <w:r>
        <w:t xml:space="preserve">12:49 p.m. – Initial Warnings: After F.M.V. expressed a desire to make a statement, Detective Bastardo administered initial</w:t>
      </w:r>
      <w:r>
        <w:t xml:space="preserve"> </w:t>
      </w:r>
      <w:r>
        <w:rPr>
          <w:i/>
          <w:iCs/>
        </w:rPr>
        <w:t xml:space="preserve">Miranda</w:t>
      </w:r>
      <w:r>
        <w:t xml:space="preserve"> </w:t>
      </w:r>
      <w:r>
        <w:t xml:space="preserve">warnings. F.M.V. executed a department juvenile warning sheet at 12:49 p.m. (R.R. Vol. I 53–55; R.R. Vol. I, State’s Ex. 5; R.R. Vol. III 104:13–105:9).</w:t>
      </w:r>
    </w:p>
    <w:p>
      <w:pPr>
        <w:pStyle w:val="BodyText"/>
      </w:pPr>
      <w:r>
        <w:t xml:space="preserve">1:00 p.m. – Statutory Magistration: Detective Bastardo transported F.M.V. downtown to the Jail Magistrate, ensuring F.M.V. remained isolated from adult detainees to prevent intimidation. (Mot. Supp. R.R. Vol. I 56:6–9, 15–18). Between 1:00 p.m. and 1:30 p.m., Magistrate Judge Sara Priddy administered official statutory warnings. (R.R. Vol. III 107:5–6). Outside the jail facility, Judge Priddy read those rights in sequence and questioned F.M.V. to ensure full comprehension, highlighting his right to terminate the interview. (Mot. Supp. R.R. Vol. I 12:13–25, 13:1–3, State’s Ex. 1).</w:t>
      </w:r>
    </w:p>
    <w:p>
      <w:pPr>
        <w:pStyle w:val="BodyText"/>
      </w:pPr>
      <w:r>
        <w:t xml:space="preserve">1:43 p.m. – Statutory Waiver: F.M.V. indicated a clear understanding of his rights and agreed to provide a statement. Law enforcement officers remained at a distance, completely removed from the warning process. (R.R. Vol. I 9:21–25, 13:5–9). At 1:43 p.m., F.M.V. and Judge Priddy executed the Statutory Warnings of Juvenile by Magistrate pursuant to Texas Family Code § 51.095(a)(1)(A). (R.R. Vol. I, State’s Ex. 1).</w:t>
      </w:r>
    </w:p>
    <w:p>
      <w:pPr>
        <w:pStyle w:val="BodyText"/>
      </w:pPr>
      <w:r>
        <w:t xml:space="preserve">2:13 p.m. – Written Statement: F.M.V. was taken to the Juvenile Probation Department, where Detective Bastardo typed F.M.V.’s statement as F.M.V. spoke. (R.R. Vol. I 58:11–20; R.R. Vol. III 104:15). The written statement was completed at 2:13 p.m. (R.R. Vol. I, State’s Ex. 2; R.R. Vol. I 59:1–7; R.R. Vol. III 110:22–113:1).</w:t>
      </w:r>
    </w:p>
    <w:p>
      <w:pPr>
        <w:pStyle w:val="BodyBeforeHeading"/>
      </w:pPr>
      <w:r>
        <w:t xml:space="preserve">3:22 p.m. – Magistrate Review and Certification: Judge Priddy met outside with F.M.V. to review the typed statement. Detective Bastardo withdrew approximately thirty feet away, remaining within visual range for security but entirely unable to hear or participate in the conversation. (Mot. Supp. R.R. Vol. I 60:5–16; R.R. Vol. III 105:7–9; R.R. Vol. III 156:2–4; Mot. Supp. Vol. I, State’s Ex. 3). F.M.V. reviewed the document, crossed out one line he deemed inaccurate, and both he and the magistrate initialed the correction. (Mot. Supp. R.R. Vol. I 61:9–15; R.R. Vol. III 108:6–10). Judge Priddy signed the official statutory certification confirming that the statement was executed pursuant to Texas Family Code § 51.095(a)(1)(D). (Mot. Supp. R.R. Vol. I, State’s Ex. 3). F.M.V. was then returned for intake processing at 3:30 p.m. (Mot. Supp. R.R. Vol. I 61:4–5).</w:t>
      </w:r>
    </w:p>
    <w:p>
      <w:pPr>
        <w:pStyle w:val="Heading2"/>
      </w:pPr>
      <w:bookmarkStart w:id="118" w:name="_tocentry10"/>
      <w:r>
        <w:t xml:space="preserve">Procedural History and Disposition</w:t>
      </w:r>
      <w:bookmarkEnd w:id="118"/>
    </w:p>
    <w:p>
      <w:pPr>
        <w:pStyle w:val="FirstParagraph"/>
      </w:pPr>
      <w:r>
        <w:t xml:space="preserve">The State referred F.M.V. to the Juvenile Probation Department on five counts of Deadly Conduct via Discharge of a Firearm. (R.R. Vol. III 109:1–2; C.R. 44-46). On March 22, 2024, a jury in the 65th District Court found F.M.V. delinquent on all five counts. (C.R. 229-233; C.R. 234). F.M.V. elected to have the trial judge determine disposition. On March 22, 2024, the court sentenced F.M.V. to a three-year commitment within the Texas Juvenile Justice Department. (C.R. 244-46).</w:t>
      </w:r>
    </w:p>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Liberation Serif" w:hAnsi="Liberation Serif" w:eastAsia="Liberation Serif" w:cs="Liberation Serif"/>
      <w:sz w:val="56"/>
      <w:szCs w:val="56"/>
    </w:rPr>
  </w:style>
  <w:style w:type="character" w:customStyle="1" w:styleId="TitleChar">
    <w:name w:val="Title Char"/>
    <w:basedOn w:val="DefaultParagraphFont"/>
    <w:link w:val="Title"/>
    <w:uiPriority w:val="10"/>
    <w:rsid w:val="00A10FD9"/>
    <w:rPr>
      <w:rFonts w:ascii="Liberation Serif" w:hAnsi="Liberation Serif" w:eastAsia="Liberation Serif" w:cs="Liberation Serif"/>
      <w:sz w:val="56"/>
      <w:szCs w:val="56"/>
    </w:rPr>
  </w:style>
  <w:style w:type="paragraph" w:styleId="Subtitle">
    <w:name w:val="Subtitle"/>
    <w:basedOn w:val="Title"/>
    <w:next w:val="BodyText"/>
    <w:link w:val="SubtitleChar"/>
    <w:uiPriority w:val="11"/>
    <w:qFormat/>
    <w:rsid w:val="00A10FD9"/>
    <w:pPr>
      <w:numPr>
        <w:ilvl w:val="1"/>
      </w:numPr>
    </w:pPr>
    <w:rPr>
      <w:rFonts w:ascii="Liberation Serif" w:hAnsi="Liberation Serif" w:eastAsia="Liberation Serif" w:cs="Liberation Serif"/>
      <w:spacing w:val="15"/>
      <w:sz w:val="28"/>
      <w:szCs w:val="28"/>
    </w:rPr>
  </w:style>
  <w:style w:type="character" w:customStyle="1" w:styleId="SubtitleChar">
    <w:name w:val="Subtitle Char"/>
    <w:basedOn w:val="DefaultParagraphFont"/>
    <w:link w:val="Subtitle"/>
    <w:uiPriority w:val="11"/>
    <w:rsid w:val="00A10FD9"/>
    <w:rPr>
      <w:rFonts w:ascii="Liberation Serif" w:hAnsi="Liberation Serif" w:eastAsia="Liberation Serif" w:cs="Liberation Serif"/>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Liberation Serif" w:hAnsi="Liberation Serif" w:eastAsia="Liberation Serif" w:cs="Liberation Serif"/>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Liberation Serif" w:hAnsi="Liberation Serif" w:eastAsia="Liberation Serif" w:cs="Liberation Serif"/>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Liberation Serif" w:hAnsi="Liberation Serif" w:eastAsia="Liberation Serif" w:cs="Liberation Serif"/>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Liberation Serif" w:hAnsi="Liberation Serif" w:eastAsia="Liberation Serif" w:cs="Liberation Serif"/>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Liberation Serif" w:hAnsi="Liberation Serif" w:eastAsia="Liberation Serif" w:cs="Liberation Serif"/>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Liberation Serif" w:hAnsi="Liberation Serif" w:eastAsia="Liberation Serif" w:cs="Liberation Serif"/>
      <w:color w:val="272727" w:themeColor="text1" w:themeTint="D8"/>
    </w:rPr>
  </w:style>
  <w:style w:type="character" w:customStyle="1" w:styleId="Heading1Char">
    <w:name w:val="Heading 1 Char"/>
    <w:basedOn w:val="DefaultParagraphFont"/>
    <w:link w:val="Heading1"/>
    <w:uiPriority w:val="9"/>
    <w:rsid w:val="00A10FD9"/>
    <w:rPr>
      <w:rFonts w:ascii="Liberation Serif" w:hAnsi="Liberation Serif" w:eastAsia="Liberation Serif" w:cs="Liberation Serif"/>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Liberation Serif" w:hAnsi="Liberation Serif" w:eastAsia="Liberation Serif" w:cs="Liberation Serif"/>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Liberation Serif" w:hAnsi="Liberation Serif" w:eastAsia="Liberation Serif" w:cs="Liberation Serif"/>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Liberation Serif" w:hAnsi="Liberation Serif" w:eastAsia="Liberation Serif" w:cs="Liberation Serif"/>
      <w:i/>
      <w:iCs/>
      <w:color w:val="0F4761" w:themeColor="accent1" w:themeShade="BF"/>
    </w:rPr>
  </w:style>
  <w:style w:type="character" w:customStyle="1" w:styleId="Heading5Char">
    <w:name w:val="Heading 5 Char"/>
    <w:basedOn w:val="DefaultParagraphFont"/>
    <w:link w:val="Heading5"/>
    <w:uiPriority w:val="9"/>
    <w:semiHidden/>
    <w:rsid w:val="00A10FD9"/>
    <w:rPr>
      <w:rFonts w:ascii="Liberation Serif" w:hAnsi="Liberation Serif" w:eastAsia="Liberation Serif" w:cs="Liberation Serif"/>
      <w:color w:val="0F4761" w:themeColor="accent1" w:themeShade="BF"/>
    </w:rPr>
  </w:style>
  <w:style w:type="character" w:customStyle="1" w:styleId="Heading6Char">
    <w:name w:val="Heading 6 Char"/>
    <w:basedOn w:val="DefaultParagraphFont"/>
    <w:link w:val="Heading6"/>
    <w:uiPriority w:val="9"/>
    <w:semiHidden/>
    <w:rsid w:val="00A10FD9"/>
    <w:rPr>
      <w:rFonts w:ascii="Liberation Serif" w:hAnsi="Liberation Serif" w:eastAsia="Liberation Serif" w:cs="Liberation Serif"/>
      <w:i/>
      <w:iCs/>
      <w:color w:val="595959" w:themeColor="text1" w:themeTint="A6"/>
    </w:rPr>
  </w:style>
  <w:style w:type="character" w:customStyle="1" w:styleId="Heading7Char">
    <w:name w:val="Heading 7 Char"/>
    <w:basedOn w:val="DefaultParagraphFont"/>
    <w:link w:val="Heading7"/>
    <w:uiPriority w:val="9"/>
    <w:semiHidden/>
    <w:rsid w:val="00A10FD9"/>
    <w:rPr>
      <w:rFonts w:ascii="Liberation Serif" w:hAnsi="Liberation Serif" w:eastAsia="Liberation Serif" w:cs="Liberation Serif"/>
      <w:color w:val="595959" w:themeColor="text1" w:themeTint="A6"/>
    </w:rPr>
  </w:style>
  <w:style w:type="character" w:customStyle="1" w:styleId="Heading8Char">
    <w:name w:val="Heading 8 Char"/>
    <w:basedOn w:val="DefaultParagraphFont"/>
    <w:link w:val="Heading8"/>
    <w:uiPriority w:val="9"/>
    <w:semiHidden/>
    <w:rsid w:val="00A10FD9"/>
    <w:rPr>
      <w:rFonts w:ascii="Liberation Serif" w:hAnsi="Liberation Serif" w:eastAsia="Liberation Serif" w:cs="Liberation Serif"/>
      <w:i/>
      <w:iCs/>
      <w:color w:val="272727" w:themeColor="text1" w:themeTint="D8"/>
    </w:rPr>
  </w:style>
  <w:style w:type="character" w:customStyle="1" w:styleId="Heading9Char">
    <w:name w:val="Heading 9 Char"/>
    <w:basedOn w:val="DefaultParagraphFont"/>
    <w:link w:val="Heading9"/>
    <w:uiPriority w:val="9"/>
    <w:semiHidden/>
    <w:rsid w:val="00A10FD9"/>
    <w:rPr>
      <w:rFonts w:ascii="Liberation Serif" w:hAnsi="Liberation Serif" w:eastAsia="Liberation Serif" w:cs="Liberation Serif"/>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Liberation Serif" w:hAnsi="Liberation Serif" w:eastAsia="Liberation Serif" w:cs="Liberation Serif"/>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Liberation Serif" w:hAnsi="Liberation Serif" w:eastAsia="Liberation Serif" w:cs="Liberation Serif"/>
      <w:b w:val="0"/>
      <w:bCs w:val="0"/>
      <w:color w:val="365F91" w:themeColor="accent1" w:themeShade="BF"/>
    </w:rPr>
  </w:style>
  <w:style w:type="paragraph" w:default="1" w:styleId="Normal">
    <w:name w:val="Normal"/>
    <w:qFormat/>
    <w:pPr>
      <w:spacing w:before="0" w:after="0" w:line="240" w:lineRule="auto"/>
    </w:pPr>
    <w:rPr>
      <w:rFonts w:ascii="Liberation Serif" w:hAnsi="Liberation Serif" w:eastAsia="Liberation Serif" w:cs="Liberation Serif"/>
      <w:kern w:val="2"/>
      <w:sz w:val="28"/>
      <w:szCs w:val="28"/>
    </w:rPr>
  </w:style>
  <w:style w:type="paragraph" w:customStyle="1" w:styleId="BodyBeforeHeading">
    <w:name w:val="BodyBeforeHeading"/>
    <w:basedOn w:val="BodyText"/>
    <w:qFormat/>
    <w:pPr>
      <w:spacing w:before="0" w:after="460" w:line="644" w:lineRule="exact"/>
    </w:pPr>
  </w:style>
  <w:style w:type="paragraph" w:customStyle="1" w:styleId="BodyBeforeHeadingFirst">
    <w:name w:val="BodyBeforeHeadingFirst"/>
    <w:basedOn w:val="FirstParagraph"/>
    <w:qFormat/>
    <w:pPr>
      <w:spacing w:before="0" w:after="460" w:line="644" w:lineRule="exact"/>
      <w:ind w:firstLine="0"/>
    </w:pPr>
  </w:style>
  <w:style w:type="paragraph" w:customStyle="1" w:styleId="Gap460">
    <w:name w:val="Gap 0.32 in"/>
    <w:basedOn w:val="Normal"/>
    <w:pPr>
      <w:spacing w:before="0" w:after="0" w:line="460" w:lineRule="exact"/>
    </w:pPr>
  </w:style>
  <w:style w:type="paragraph" w:styleId="BodyText">
    <w:name w:val="Body Text"/>
    <w:basedOn w:val="Normal"/>
    <w:qFormat/>
    <w:pPr>
      <w:spacing w:before="0" w:after="0" w:line="644" w:lineRule="exact"/>
      <w:ind w:firstLine="720"/>
      <w:jc w:val="both"/>
    </w:pPr>
  </w:style>
  <w:style w:type="paragraph" w:styleId="FirstParagraph">
    <w:name w:val="First Paragraph"/>
    <w:basedOn w:val="BodyText"/>
    <w:next w:val="BodyText"/>
    <w:qFormat/>
    <w:pPr>
      <w:ind w:firstLine="0"/>
    </w:pPr>
  </w:style>
  <w:style w:type="paragraph" w:styleId="Compact">
    <w:name w:val="Compact"/>
    <w:basedOn w:val="BodyText"/>
    <w:qFormat/>
    <w:pPr>
      <w:spacing w:before="0" w:after="0" w:line="644" w:lineRule="exact"/>
    </w:pPr>
  </w:style>
  <w:style w:type="paragraph" w:styleId="Heading1">
    <w:name w:val="heading 1"/>
    <w:basedOn w:val="Normal"/>
    <w:next w:val="BodyText"/>
    <w:qFormat/>
    <w:pPr>
      <w:keepNext/>
      <w:keepLines/>
      <w:spacing w:before="0" w:after="460" w:line="324" w:lineRule="exact"/>
      <w:ind w:firstLine="0"/>
      <w:jc w:val="center"/>
      <w:outlineLvl w:val="0"/>
    </w:pPr>
    <w:rPr>
      <w:b/>
      <w:bCs/>
      <w:color w:val="000000"/>
      <w:sz w:val="32"/>
      <w:szCs w:val="32"/>
    </w:rPr>
  </w:style>
  <w:style w:type="paragraph" w:styleId="Heading2">
    <w:name w:val="heading 2"/>
    <w:basedOn w:val="Normal"/>
    <w:next w:val="BodyText"/>
    <w:qFormat/>
    <w:pPr>
      <w:keepNext/>
      <w:keepLines/>
      <w:spacing w:before="0" w:after="460" w:line="324" w:lineRule="exact"/>
      <w:ind w:left="0" w:firstLine="0"/>
      <w:jc w:val="left"/>
      <w:outlineLvl w:val="1"/>
    </w:pPr>
    <w:rPr>
      <w:b/>
      <w:bCs/>
      <w:color w:val="000000"/>
      <w:sz w:val="32"/>
      <w:szCs w:val="32"/>
    </w:rPr>
  </w:style>
  <w:style w:type="paragraph" w:styleId="Heading3">
    <w:name w:val="heading 3"/>
    <w:basedOn w:val="Normal"/>
    <w:next w:val="BodyText"/>
    <w:qFormat/>
    <w:pPr>
      <w:keepNext/>
      <w:keepLines/>
      <w:spacing w:before="460" w:after="460" w:line="324" w:lineRule="exact"/>
      <w:ind w:left="0" w:firstLine="0"/>
      <w:jc w:val="left"/>
      <w:outlineLvl w:val="2"/>
    </w:pPr>
    <w:rPr>
      <w:b/>
      <w:bCs/>
      <w:i/>
      <w:iCs/>
      <w:color w:val="000000"/>
      <w:sz w:val="32"/>
      <w:szCs w:val="32"/>
    </w:rPr>
  </w:style>
  <w:style w:type="paragraph" w:styleId="BlockText">
    <w:name w:val="Block Text"/>
    <w:basedOn w:val="Normal"/>
    <w:qFormat/>
    <w:pPr>
      <w:spacing w:before="0" w:after="460" w:line="324" w:lineRule="exact"/>
      <w:ind w:left="1440" w:right="1440" w:firstLine="0"/>
      <w:jc w:val="both"/>
    </w:pPr>
  </w:style>
  <w:style w:type="paragraph" w:styleId="FootnoteText">
    <w:name w:val="footnote text"/>
    <w:basedOn w:val="Normal"/>
    <w:pPr>
      <w:spacing w:before="0" w:after="120" w:line="240" w:lineRule="auto"/>
      <w:ind w:firstLine="0"/>
      <w:jc w:val="both"/>
    </w:pPr>
    <w:rPr>
      <w:sz w:val="28"/>
      <w:szCs w:val="28"/>
    </w:rPr>
  </w:style>
  <w:style w:type="paragraph" w:styleId="Footer">
    <w:name w:val="footer"/>
    <w:basedOn w:val="Normal"/>
    <w:pPr>
      <w:tabs>
        <w:tab w:val="center" w:pos="4680"/>
        <w:tab w:val="right" w:pos="9360"/>
      </w:tabs>
      <w:spacing w:before="0" w:after="0" w:line="240" w:lineRule="auto"/>
      <w:ind w:firstLine="0"/>
      <w:jc w:val="center"/>
    </w:pPr>
  </w:style>
  <w:style w:type="paragraph" w:customStyle="1" w:styleId="Centered">
    <w:name w:val="Centered"/>
    <w:basedOn w:val="Normal"/>
    <w:qFormat/>
    <w:pPr>
      <w:spacing w:before="0" w:after="0" w:line="324" w:lineRule="exact"/>
      <w:ind w:firstLine="0"/>
      <w:jc w:val="center"/>
    </w:pPr>
  </w:style>
  <w:style w:type="paragraph" w:customStyle="1" w:styleId="CenteredHeading">
    <w:name w:val="Centered Heading"/>
    <w:basedOn w:val="Centered"/>
    <w:qFormat/>
    <w:pPr>
      <w:keepNext/>
      <w:spacing w:before="0" w:after="460" w:line="324" w:lineRule="exact"/>
    </w:pPr>
    <w:rPr>
      <w:b/>
      <w:bCs/>
    </w:rPr>
  </w:style>
  <w:style w:type="paragraph" w:customStyle="1" w:styleId="CoverTitle">
    <w:name w:val="Cover Title"/>
    <w:basedOn w:val="Centered"/>
    <w:qFormat/>
    <w:pPr>
      <w:pBdr>
        <w:top w:val="single" w:sz="6" w:space="14" w:color="000000"/>
        <w:bottom w:val="single" w:sz="6" w:space="14" w:color="000000"/>
      </w:pBdr>
      <w:spacing w:before="0" w:after="0" w:line="324" w:lineRule="exact"/>
    </w:pPr>
    <w:rPr>
      <w:b/>
      <w:bCs/>
    </w:rPr>
  </w:style>
  <w:style w:type="paragraph" w:customStyle="1" w:styleId="CounselFrame">
    <w:name w:val="Counsel Frame"/>
    <w:basedOn w:val="Counsel"/>
    <w:qFormat/>
    <w:pPr>
      <w:spacing w:before="0" w:after="0" w:line="324" w:lineRule="exact"/>
      <w:jc w:val="left"/>
    </w:pPr>
  </w:style>
  <w:style w:type="paragraph" w:customStyle="1" w:styleId="Gap648">
    <w:name w:val="Gap 0.45 in"/>
    <w:basedOn w:val="Normal"/>
    <w:pPr>
      <w:spacing w:before="0" w:after="0" w:line="648" w:lineRule="exact"/>
    </w:pPr>
  </w:style>
  <w:style w:type="paragraph" w:customStyle="1" w:styleId="Gap504">
    <w:name w:val="Gap 0.35 in"/>
    <w:basedOn w:val="Normal"/>
    <w:pPr>
      <w:spacing w:before="0" w:after="0" w:line="504" w:lineRule="exact"/>
    </w:pPr>
  </w:style>
  <w:style w:type="paragraph" w:customStyle="1" w:styleId="Gap288">
    <w:name w:val="Gap 0.2 in"/>
    <w:basedOn w:val="Normal"/>
    <w:pPr>
      <w:spacing w:before="0" w:after="0" w:line="288" w:lineRule="exact"/>
    </w:pPr>
  </w:style>
  <w:style w:type="paragraph" w:customStyle="1" w:styleId="Single">
    <w:name w:val="Single"/>
    <w:basedOn w:val="Normal"/>
    <w:qFormat/>
    <w:pPr>
      <w:spacing w:before="0" w:after="252" w:line="324" w:lineRule="exact"/>
      <w:ind w:firstLine="0"/>
      <w:jc w:val="left"/>
    </w:pPr>
  </w:style>
  <w:style w:type="paragraph" w:customStyle="1" w:styleId="Counsel">
    <w:name w:val="Counsel"/>
    <w:basedOn w:val="Centered"/>
    <w:qFormat/>
    <w:pPr>
      <w:spacing w:before="0" w:after="0" w:line="324" w:lineRule="exact"/>
      <w:jc w:val="left"/>
    </w:pPr>
  </w:style>
  <w:style w:type="paragraph" w:styleId="TOC1">
    <w:name w:val="toc 1"/>
    <w:basedOn w:val="Normal"/>
    <w:next w:val="Normal"/>
    <w:uiPriority w:val="39"/>
    <w:pPr>
      <w:keepLines/>
      <w:tabs>
        <w:tab w:val="right" w:leader="dot" w:pos="9360"/>
      </w:tabs>
      <w:spacing w:before="200" w:after="0" w:line="324" w:lineRule="exact"/>
      <w:ind w:left="0" w:firstLine="0"/>
      <w:jc w:val="left"/>
    </w:pPr>
  </w:style>
  <w:style w:type="paragraph" w:styleId="TOC2">
    <w:name w:val="toc 2"/>
    <w:basedOn w:val="TOC1"/>
    <w:next w:val="Normal"/>
    <w:uiPriority w:val="39"/>
    <w:pPr>
      <w:tabs>
        <w:tab w:val="right" w:leader="dot" w:pos="9360"/>
      </w:tabs>
      <w:spacing w:before="200" w:after="0" w:line="324" w:lineRule="exact"/>
      <w:ind w:left="720" w:firstLine="0"/>
    </w:pPr>
  </w:style>
  <w:style w:type="paragraph" w:customStyle="1" w:styleId="AuthorityGroup">
    <w:name w:val="Authority Group"/>
    <w:basedOn w:val="Normal"/>
    <w:qFormat/>
    <w:pPr>
      <w:keepNext/>
      <w:spacing w:before="460" w:after="252" w:line="324" w:lineRule="exact"/>
      <w:ind w:firstLine="0"/>
      <w:jc w:val="left"/>
    </w:pPr>
    <w:rPr>
      <w:b/>
      <w:bCs/>
    </w:rPr>
  </w:style>
  <w:style w:type="paragraph" w:customStyle="1" w:styleId="AuthorityEntry">
    <w:name w:val="Authority Entry"/>
    <w:basedOn w:val="Normal"/>
    <w:qFormat/>
    <w:pPr>
      <w:tabs>
        <w:tab w:val="right" w:leader="dot" w:pos="9360"/>
      </w:tabs>
      <w:spacing w:before="140" w:after="0" w:line="324" w:lineRule="exact"/>
      <w:ind w:left="0" w:firstLine="0"/>
      <w:jc w:val="left"/>
    </w:pPr>
  </w:style>
  <w:style w:type="paragraph" w:customStyle="1" w:styleId="SectionBreak">
    <w:name w:val="Section Break"/>
    <w:basedOn w:val="Normal"/>
    <w:pPr>
      <w:spacing w:before="0" w:after="0" w:line="20" w:lineRule="exact"/>
      <w:ind w:firstLine="0"/>
    </w:pPr>
    <w:rPr>
      <w:sz w:val="2"/>
      <w:szCs w:val="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2026-10-15T12:03:47Z</dcterms:created>
  <dcterms:modified xsi:type="dcterms:W3CDTF">2026-10-15T12:03:47Z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ody_start">
    <vt:lpwstr>STATEMENT OF THE CASE</vt:lpwstr>
  </property>
  <property fmtid="{D5CDD505-2E9C-101B-9397-08002B2CF9AE}" pid="4" name="caption">
    <vt:lpwstr/>
  </property>
  <property fmtid="{D5CDD505-2E9C-101B-9397-08002B2CF9AE}" pid="5" name="case_number">
    <vt:lpwstr>25-0792</vt:lpwstr>
  </property>
  <property fmtid="{D5CDD505-2E9C-101B-9397-08002B2CF9AE}" pid="6" name="filing_party">
    <vt:lpwstr>Attorneys for Petitioner</vt:lpwstr>
  </property>
  <property fmtid="{D5CDD505-2E9C-101B-9397-08002B2CF9AE}" pid="7" name="lead_counsel">
    <vt:lpwstr/>
  </property>
  <property fmtid="{D5CDD505-2E9C-101B-9397-08002B2CF9AE}" pid="8" name="on_review">
    <vt:lpwstr>On Petition for Review from the Eighth Court of Appeals, El Paso</vt:lpwstr>
  </property>
</Properties>
</file>