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keepNext/>
        <w:keepLines/>
        <w:spacing w:before="0" w:after="480" w:line="276" w:lineRule="exact"/>
        <w:ind w:left="0" w:firstLine="0"/>
        <w:jc w:val="center"/>
      </w:pPr>
      <w:r>
        <w:rPr>
          <w:b/>
          <w:bCs/>
        </w:rPr>
        <w:t xml:space="preserve">EASTERN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YORK</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Borders>
              <w:top w:val="single" w:sz="6" w:space="0" w:color="000000"/>
              <w:bottom w:val="single" w:sz="6" w:space="0" w:color="000000"/>
            </w:tcBorders>
            <w:tcMar>
              <w:top w:w="165" w:type="dxa"/>
              <w:bottom w:w="165" w:type="dxa"/>
            </w:tcMar>
          </w:tcPr>
          <w:p>
            <w:pPr>
              <w:spacing w:before="0" w:after="0" w:line="276" w:lineRule="exact"/>
              <w:ind w:left="0" w:firstLine="0"/>
              <w:jc w:val="left"/>
            </w:pPr>
            <w:r>
              <w:t xml:space="preserve">STUART</w:t>
            </w:r>
            <w:r>
              <w:t xml:space="preserve"> </w:t>
            </w:r>
            <w:r>
              <w:t xml:space="preserve">FORCE</w:t>
            </w:r>
            <w:r>
              <w:t xml:space="preserve"> </w:t>
            </w:r>
            <w:r>
              <w:t xml:space="preserve">individually</w:t>
            </w:r>
            <w:r>
              <w:t xml:space="preserve"> </w:t>
            </w:r>
            <w:r>
              <w:t xml:space="preserve">and</w:t>
            </w:r>
            <w:r>
              <w:t xml:space="preserve"> </w:t>
            </w:r>
            <w:r>
              <w:t xml:space="preserve">as</w:t>
            </w:r>
            <w:r>
              <w:t xml:space="preserve"> </w:t>
            </w:r>
            <w:r>
              <w:t xml:space="preserve">personal</w:t>
            </w:r>
            <w:r>
              <w:t xml:space="preserve"> </w:t>
            </w:r>
            <w:r>
              <w:t xml:space="preserve">representative</w:t>
            </w:r>
            <w:r>
              <w:t xml:space="preserve"> </w:t>
            </w:r>
            <w:r>
              <w:t xml:space="preserve">of</w:t>
            </w:r>
            <w:r>
              <w:t xml:space="preserve"> </w:t>
            </w:r>
            <w:r>
              <w:t xml:space="preserve">the</w:t>
            </w:r>
            <w:r>
              <w:t xml:space="preserve"> </w:t>
            </w:r>
            <w:r>
              <w:t xml:space="preserve">ESTATE</w:t>
            </w:r>
            <w:r>
              <w:t xml:space="preserve"> </w:t>
            </w:r>
            <w:r>
              <w:t xml:space="preserve">OF</w:t>
            </w:r>
            <w:r>
              <w:t xml:space="preserve"> </w:t>
            </w:r>
            <w:r>
              <w:t xml:space="preserve">TAYLOR</w:t>
            </w:r>
            <w:r>
              <w:t xml:space="preserve"> </w:t>
            </w:r>
            <w:r>
              <w:t xml:space="preserve">FORCE,</w:t>
            </w:r>
            <w:r>
              <w:t xml:space="preserve"> </w:t>
            </w:r>
            <w:r>
              <w:rPr>
                <w:i/>
                <w:iCs/>
              </w:rPr>
              <w:t xml:space="preserve">et</w:t>
            </w:r>
            <w:r>
              <w:rPr>
                <w:i/>
                <w:iCs/>
              </w:rPr>
              <w:t xml:space="preserve"> </w:t>
            </w:r>
            <w:r>
              <w:rPr>
                <w:i/>
                <w:iCs/>
              </w:rPr>
              <w:t xml:space="preserve">al.</w:t>
            </w:r>
            <w:r>
              <w:t xml:space="preserve">,</w:t>
            </w:r>
          </w:p>
          <w:p>
            <w:pPr>
              <w:spacing w:before="0" w:after="0" w:line="276" w:lineRule="exact"/>
              <w:ind w:left="2736" w:firstLine="0"/>
              <w:jc w:val="left"/>
            </w:pPr>
            <w:r>
              <w:t xml:space="preserve">Plaintiffs,</w:t>
            </w:r>
          </w:p>
          <w:p>
            <w:pPr>
              <w:spacing w:before="0" w:after="0" w:line="276" w:lineRule="exact"/>
              <w:ind w:left="0" w:firstLine="0"/>
              <w:jc w:val="left"/>
            </w:pPr>
          </w:p>
          <w:p>
            <w:pPr>
              <w:spacing w:before="0" w:after="0" w:line="276" w:lineRule="exact"/>
              <w:ind w:left="1728" w:firstLine="0"/>
              <w:jc w:val="left"/>
            </w:pPr>
            <w:r>
              <w:t xml:space="preserve">-against-</w:t>
            </w:r>
          </w:p>
          <w:p>
            <w:pPr>
              <w:spacing w:before="0" w:after="0" w:line="276" w:lineRule="exact"/>
              <w:ind w:left="0" w:firstLine="0"/>
              <w:jc w:val="left"/>
            </w:pPr>
          </w:p>
          <w:p>
            <w:pPr>
              <w:spacing w:before="0" w:after="0" w:line="276" w:lineRule="exact"/>
              <w:ind w:left="0" w:firstLine="0"/>
              <w:jc w:val="left"/>
            </w:pPr>
            <w:r>
              <w:t xml:space="preserve">QATAR</w:t>
            </w:r>
            <w:r>
              <w:t xml:space="preserve"> </w:t>
            </w:r>
            <w:r>
              <w:t xml:space="preserve">CHARITY,</w:t>
            </w:r>
            <w:r>
              <w:t xml:space="preserve"> </w:t>
            </w:r>
            <w:r>
              <w:t xml:space="preserve">QATAR</w:t>
            </w:r>
            <w:r>
              <w:t xml:space="preserve"> </w:t>
            </w:r>
            <w:r>
              <w:t xml:space="preserve">NATIONAL</w:t>
            </w:r>
            <w:r>
              <w:t xml:space="preserve"> </w:t>
            </w:r>
            <w:r>
              <w:t xml:space="preserve">BANK</w:t>
            </w:r>
            <w:r>
              <w:t xml:space="preserve"> </w:t>
            </w:r>
            <w:r>
              <w:t xml:space="preserve">and</w:t>
            </w:r>
            <w:r>
              <w:t xml:space="preserve"> </w:t>
            </w:r>
            <w:r>
              <w:t xml:space="preserve">MASRAF</w:t>
            </w:r>
            <w:r>
              <w:t xml:space="preserve"> </w:t>
            </w:r>
            <w:r>
              <w:t xml:space="preserve">AL</w:t>
            </w:r>
            <w:r>
              <w:t xml:space="preserve"> </w:t>
            </w:r>
            <w:r>
              <w:t xml:space="preserve">RAYAN,</w:t>
            </w:r>
          </w:p>
          <w:p>
            <w:pPr>
              <w:spacing w:before="0" w:after="0" w:line="276" w:lineRule="exact"/>
              <w:ind w:left="2736" w:firstLine="0"/>
              <w:jc w:val="left"/>
            </w:pPr>
            <w:r>
              <w:t xml:space="preserve">Defendants.</w:t>
            </w:r>
          </w:p>
        </w:tc>
        <w:tc>
          <w:tcPr>
            <w:tcW w:w="4464" w:type="dxa"/>
          </w:tcPr>
          <w:p>
            <w:pPr>
              <w:spacing w:before="0" w:after="0" w:line="276" w:lineRule="exact"/>
              <w:ind w:left="288" w:firstLine="0"/>
              <w:jc w:val="left"/>
            </w:pPr>
            <w:r>
              <w:t xml:space="preserve">Case No. </w:t>
            </w:r>
            <w:r>
              <w:t xml:space="preserve">20-cv</w:t>
              <w:noBreakHyphen/>
              <w:t xml:space="preserve">2578</w:t>
            </w:r>
            <w:r>
              <w:t xml:space="preserve"> </w:t>
            </w:r>
            <w:r>
              <w:t xml:space="preserve">(BMC)</w:t>
            </w:r>
          </w:p>
          <w:p>
            <w:pPr>
              <w:spacing w:before="276" w:after="0" w:line="276" w:lineRule="exact"/>
              <w:ind w:left="288" w:firstLine="0"/>
              <w:jc w:val="left"/>
            </w:pPr>
            <w:r>
              <w:rPr>
                <w:b/>
                <w:bCs/>
              </w:rPr>
              <w:t xml:space="preserve">ORAL</w:t>
            </w:r>
            <w:r>
              <w:rPr>
                <w:b/>
                <w:bCs/>
              </w:rPr>
              <w:t xml:space="preserve"> </w:t>
            </w:r>
            <w:r>
              <w:rPr>
                <w:b/>
                <w:bCs/>
              </w:rPr>
              <w:t xml:space="preserve">ARGUMENT</w:t>
            </w:r>
            <w:r>
              <w:rPr>
                <w:b/>
                <w:bCs/>
              </w:rPr>
              <w:t xml:space="preserve"> </w:t>
            </w:r>
            <w:r>
              <w:rPr>
                <w:b/>
                <w:bCs/>
              </w:rPr>
              <w:t xml:space="preserve">REQUESTED</w:t>
            </w:r>
          </w:p>
        </w:tc>
      </w:tr>
    </w:tbl>
    <w:p>
      <w:pPr>
        <w:spacing w:before="960" w:after="0" w:line="276"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DEFENDANT</w:t>
      </w:r>
      <w:r>
        <w:rPr>
          <w:b/>
          <w:bCs/>
        </w:rPr>
        <w:t xml:space="preserve"> </w:t>
      </w:r>
      <w:r>
        <w:rPr>
          <w:b/>
          <w:bCs/>
        </w:rPr>
        <w:t xml:space="preserve">QATAR</w:t>
      </w:r>
      <w:r>
        <w:rPr>
          <w:b/>
          <w:bCs/>
        </w:rPr>
        <w:t xml:space="preserve"> </w:t>
      </w:r>
      <w:r>
        <w:rPr>
          <w:b/>
          <w:bCs/>
        </w:rPr>
        <w:t xml:space="preserve">NATIONAL</w:t>
      </w:r>
      <w:r>
        <w:rPr>
          <w:b/>
          <w:bCs/>
        </w:rPr>
        <w:t xml:space="preserve"> </w:t>
      </w:r>
      <w:r>
        <w:rPr>
          <w:b/>
          <w:bCs/>
        </w:rPr>
        <w:t xml:space="preserve">BANK’S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PLAINTIFFS’</w:t>
      </w:r>
      <w:r>
        <w:rPr>
          <w:b/>
          <w:bCs/>
        </w:rPr>
        <w:t xml:space="preserve"> </w:t>
      </w:r>
      <w:r>
        <w:rPr>
          <w:b/>
          <w:bCs/>
        </w:rPr>
        <w:t xml:space="preserve">COMPLAINT</w:t>
      </w:r>
    </w:p>
    <w:p>
      <w:pPr>
        <w:framePr w:w="9360" w:wrap="around" w:vAnchor="margin" w:hAnchor="margin" w:x="0" w:yAlign="bottom"/>
        <w:spacing w:before="0" w:after="0" w:line="276" w:lineRule="exact"/>
        <w:ind w:left="0" w:firstLine="0"/>
        <w:jc w:val="left"/>
      </w:pPr>
      <w:r>
        <w:t xml:space="preserve">ROPES</w:t>
      </w:r>
      <w:r>
        <w:t xml:space="preserve"> </w:t>
      </w:r>
      <w:r>
        <w:t xml:space="preserve">&amp;</w:t>
      </w:r>
      <w:r>
        <w:t xml:space="preserve"> </w:t>
      </w:r>
      <w:r>
        <w:t xml:space="preserve">GRAY</w:t>
      </w:r>
      <w:r>
        <w:t xml:space="preserve"> </w:t>
      </w:r>
      <w:r>
        <w:t xml:space="preserve">LLP</w:t>
      </w:r>
    </w:p>
    <w:p>
      <w:pPr>
        <w:framePr w:w="9360" w:wrap="around" w:vAnchor="margin" w:hAnchor="margin" w:x="0" w:yAlign="bottom"/>
        <w:spacing w:before="0" w:after="0" w:line="276" w:lineRule="exact"/>
        <w:ind w:left="0" w:firstLine="0"/>
        <w:jc w:val="left"/>
      </w:pPr>
      <w:r>
        <w:t xml:space="preserve">1211</w:t>
      </w:r>
      <w:r>
        <w:t xml:space="preserve"> </w:t>
      </w:r>
      <w:r>
        <w:t xml:space="preserve">Avenue</w:t>
      </w:r>
      <w:r>
        <w:t xml:space="preserve"> </w:t>
      </w:r>
      <w:r>
        <w:t xml:space="preserve">of</w:t>
      </w:r>
      <w:r>
        <w:t xml:space="preserve"> </w:t>
      </w:r>
      <w:r>
        <w:t xml:space="preserve">the</w:t>
      </w:r>
      <w:r>
        <w:t xml:space="preserve"> </w:t>
      </w:r>
      <w:r>
        <w:t xml:space="preserve">Americas</w:t>
      </w:r>
    </w:p>
    <w:p>
      <w:pPr>
        <w:framePr w:w="9360" w:wrap="around" w:vAnchor="margin" w:hAnchor="margin" w:x="0" w:yAlign="bottom"/>
        <w:spacing w:before="0" w:after="0" w:line="276"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10036</w:t>
        <w:noBreakHyphen/>
        <w:t xml:space="preserve">8704</w:t>
      </w:r>
    </w:p>
    <w:p>
      <w:pPr>
        <w:framePr w:w="9360" w:wrap="around" w:vAnchor="margin" w:hAnchor="margin" w:x="0" w:yAlign="bottom"/>
        <w:spacing w:before="0"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Qatar</w:t>
      </w:r>
      <w:r>
        <w:rPr>
          <w:i/>
          <w:iCs/>
        </w:rPr>
        <w:t xml:space="preserve"> </w:t>
      </w:r>
      <w:r>
        <w:rPr>
          <w:i/>
          <w:iCs/>
        </w:rPr>
        <w:t xml:space="preserve">National</w:t>
      </w:r>
      <w:r>
        <w:rPr>
          <w:i/>
          <w:iCs/>
        </w:rPr>
        <w:t xml:space="preserve"> </w:t>
      </w:r>
      <w:r>
        <w:rPr>
          <w:i/>
          <w:iCs/>
        </w:rPr>
        <w:t xml:space="preserve">Bank</w:t>
      </w:r>
      <w:r>
        <w:rPr>
          <w:i/>
          <w:iCs/>
        </w:rPr>
        <w:t xml:space="preserve"> </w:t>
      </w:r>
      <w:r>
        <w:rPr>
          <w:i/>
          <w:iCs/>
        </w:rPr>
        <w:t xml:space="preserve">(Q.P.S.C.)</w:t>
      </w:r>
    </w:p>
    <w:p>
      <w:pPr>
        <w:spacing w:before="0" w:after="0" w:line="20" w:lineRule="exact"/>
        <w:sectPr>
          <w:footerReference w:type="default" r:id="rIdFtrNone"/>
          <w:pgSz w:w="12240" w:h="15840"/>
          <w:pgMar w:top="1440" w:right="1440" w:bottom="1440" w:left="1440" w:header="720" w:footer="720" w:gutter="0"/>
        </w:sectPr>
      </w:pPr>
    </w:p>
    <w:p>
      <w:pPr>
        <w:keepNext/>
        <w:keepLines/>
        <w:spacing w:before="0" w:after="480" w:line="276" w:lineRule="exact"/>
        <w:ind w:left="0" w:firstLine="0"/>
        <w:jc w:val="center"/>
      </w:pPr>
      <w:r>
        <w:rPr>
          <w:b/>
          <w:bCs/>
        </w:rPr>
        <w:t xml:space="preserve">TABLE OF CONTENTS</w:t>
      </w:r>
    </w:p>
    <w:p>
      <w:pPr>
        <w:keepNext/>
        <w:keepLines/>
        <w:spacing w:before="0" w:after="0" w:line="276" w:lineRule="exact"/>
        <w:ind w:left="0" w:firstLine="0"/>
        <w:jc w:val="right"/>
      </w:pPr>
      <w:r>
        <w:rPr>
          <w:b/>
          <w:bCs/>
        </w:rPr>
        <w:t xml:space="preserve">Page</w:t>
      </w:r>
    </w:p>
    <w:p>
      <w:pPr>
        <w:keepLines/>
        <w:tabs>
          <w:tab w:val="left" w:pos="720"/>
          <w:tab w:val="right" w:leader="dot" w:pos="9360"/>
        </w:tabs>
        <w:spacing w:before="240" w:after="0" w:line="276" w:lineRule="exact"/>
        <w:ind w:left="720" w:right="720" w:hanging="720"/>
        <w:jc w:val="left"/>
      </w:pPr>
      <w:r>
        <w:t xml:space="preserve">PRELIMINARY</w:t>
      </w:r>
      <w:r>
        <w:t xml:space="preserve"> </w:t>
      </w:r>
      <w:r>
        <w:t xml:space="preserve">STATEMENT</w:t>
      </w:r>
      <w:r>
        <w:t xml:space="preserve">   </w:t>
      </w:r>
      <w:r>
        <w:tab/>
      </w:r>
      <w:r>
        <w:t xml:space="preserve">1</w:t>
      </w:r>
    </w:p>
    <w:p>
      <w:pPr>
        <w:keepLines/>
        <w:tabs>
          <w:tab w:val="left" w:pos="720"/>
          <w:tab w:val="right" w:leader="dot" w:pos="9360"/>
        </w:tabs>
        <w:spacing w:before="240" w:after="0" w:line="276" w:lineRule="exact"/>
        <w:ind w:left="720" w:right="720" w:hanging="720"/>
        <w:jc w:val="left"/>
      </w:pPr>
      <w:r>
        <w:t xml:space="preserve">ARGUMENT</w:t>
      </w:r>
      <w:r>
        <w:t xml:space="preserve">   </w:t>
      </w:r>
      <w:r>
        <w:tab/>
      </w:r>
      <w:r>
        <w:t xml:space="preserve">2</w:t>
      </w:r>
    </w:p>
    <w:p>
      <w:pPr>
        <w:keepLines/>
        <w:tabs>
          <w:tab w:val="left" w:pos="720"/>
          <w:tab w:val="right" w:leader="dot" w:pos="9360"/>
        </w:tabs>
        <w:spacing w:before="240" w:after="0" w:line="276" w:lineRule="exact"/>
        <w:ind w:left="720" w:right="720" w:hanging="720"/>
        <w:jc w:val="left"/>
      </w:pPr>
      <w:r>
        <w:t xml:space="preserve">I.</w:t>
      </w:r>
      <w:r>
        <w:tab/>
      </w:r>
      <w:r>
        <w:t xml:space="preserve">PLAINTIFFS’</w:t>
      </w:r>
      <w:r>
        <w:t xml:space="preserve"> </w:t>
      </w:r>
      <w:r>
        <w:t xml:space="preserve">COMPLAINT</w:t>
      </w:r>
      <w:r>
        <w:t xml:space="preserve"> </w:t>
      </w:r>
      <w:r>
        <w:t xml:space="preserve">SHOULD</w:t>
      </w:r>
      <w:r>
        <w:t xml:space="preserve"> </w:t>
      </w:r>
      <w:r>
        <w:t xml:space="preserve">BE</w:t>
      </w:r>
      <w:r>
        <w:t xml:space="preserve"> </w:t>
      </w:r>
      <w:r>
        <w:t xml:space="preserve">DISMISSED</w:t>
      </w:r>
      <w:r>
        <w:t xml:space="preserve"> </w:t>
      </w:r>
      <w:r>
        <w:t xml:space="preserve">AS</w:t>
      </w:r>
      <w:r>
        <w:t xml:space="preserve"> </w:t>
      </w:r>
      <w:r>
        <w:t xml:space="preserve">TO</w:t>
      </w:r>
      <w:r>
        <w:t xml:space="preserve"> </w:t>
      </w:r>
      <w:r>
        <w:t xml:space="preserve">QNB</w:t>
      </w:r>
      <w:r>
        <w:t xml:space="preserve"> </w:t>
      </w:r>
      <w:r>
        <w:t xml:space="preserve">FOR</w:t>
      </w:r>
      <w:r>
        <w:t xml:space="preserve"> </w:t>
      </w:r>
      <w:r>
        <w:t xml:space="preserve">LACK</w:t>
      </w:r>
      <w:r>
        <w:t xml:space="preserve"> </w:t>
      </w:r>
      <w:r>
        <w:t xml:space="preserve">OF</w:t>
      </w:r>
      <w:r>
        <w:t xml:space="preserve"> </w:t>
      </w:r>
      <w:r>
        <w:t xml:space="preserve">PERSONAL</w:t>
      </w:r>
      <w:r>
        <w:t xml:space="preserve"> </w:t>
      </w:r>
      <w:r>
        <w:t xml:space="preserve">JURISDICTION.</w:t>
      </w:r>
      <w:r>
        <w:t xml:space="preserve">   </w:t>
      </w:r>
      <w:r>
        <w:tab/>
      </w:r>
      <w:r>
        <w:t xml:space="preserve">2</w:t>
      </w:r>
    </w:p>
    <w:p>
      <w:pPr>
        <w:keepLines/>
        <w:tabs>
          <w:tab w:val="left" w:pos="1440"/>
          <w:tab w:val="right" w:leader="dot" w:pos="9360"/>
        </w:tabs>
        <w:spacing w:before="240" w:after="0" w:line="276" w:lineRule="exact"/>
        <w:ind w:left="1440" w:right="720" w:hanging="720"/>
        <w:jc w:val="left"/>
      </w:pPr>
      <w:r>
        <w:t xml:space="preserve">A.</w:t>
      </w:r>
      <w:r>
        <w:tab/>
      </w:r>
      <w:r>
        <w:t xml:space="preserve">Plaintiffs</w:t>
      </w:r>
      <w:r>
        <w:t xml:space="preserve"> </w:t>
      </w:r>
      <w:r>
        <w:t xml:space="preserve">Fail</w:t>
      </w:r>
      <w:r>
        <w:t xml:space="preserve"> </w:t>
      </w:r>
      <w:r>
        <w:t xml:space="preserve">to</w:t>
      </w:r>
      <w:r>
        <w:t xml:space="preserve"> </w:t>
      </w:r>
      <w:r>
        <w:t xml:space="preserve">Make</w:t>
      </w:r>
      <w:r>
        <w:t xml:space="preserve"> </w:t>
      </w:r>
      <w:r>
        <w:t xml:space="preserve">a</w:t>
      </w:r>
      <w:r>
        <w:t xml:space="preserve"> </w:t>
      </w:r>
      <w:r>
        <w:t xml:space="preserve">Prima</w:t>
      </w:r>
      <w:r>
        <w:t xml:space="preserve"> </w:t>
      </w:r>
      <w:r>
        <w:t xml:space="preserve">Facie</w:t>
      </w:r>
      <w:r>
        <w:t xml:space="preserve"> </w:t>
      </w:r>
      <w:r>
        <w:t xml:space="preserve">Showing</w:t>
      </w:r>
      <w:r>
        <w:t xml:space="preserve"> </w:t>
      </w:r>
      <w:r>
        <w:t xml:space="preserve">of</w:t>
      </w:r>
      <w:r>
        <w:t xml:space="preserve"> </w:t>
      </w:r>
      <w:r>
        <w:t xml:space="preserve">Proper</w:t>
      </w:r>
      <w:r>
        <w:t xml:space="preserve"> </w:t>
      </w:r>
      <w:r>
        <w:t xml:space="preserve">Service</w:t>
      </w:r>
      <w:r>
        <w:t xml:space="preserve"> </w:t>
      </w:r>
      <w:r>
        <w:t xml:space="preserve">on</w:t>
      </w:r>
      <w:r>
        <w:t xml:space="preserve"> </w:t>
      </w:r>
      <w:r>
        <w:t xml:space="preserve">QNB.</w:t>
      </w:r>
      <w:r>
        <w:t xml:space="preserve">   </w:t>
      </w:r>
      <w:r>
        <w:tab/>
      </w:r>
      <w:r>
        <w:t xml:space="preserve">2</w:t>
      </w:r>
    </w:p>
    <w:p>
      <w:pPr>
        <w:keepLines/>
        <w:tabs>
          <w:tab w:val="left" w:pos="1440"/>
          <w:tab w:val="right" w:leader="dot" w:pos="9360"/>
        </w:tabs>
        <w:spacing w:before="240" w:after="0" w:line="276" w:lineRule="exact"/>
        <w:ind w:left="1440" w:right="720" w:hanging="720"/>
        <w:jc w:val="left"/>
      </w:pPr>
      <w:r>
        <w:t xml:space="preserve">B.</w:t>
      </w:r>
      <w:r>
        <w:tab/>
      </w:r>
      <w:r>
        <w:t xml:space="preserve">Plaintiffs</w:t>
      </w:r>
      <w:r>
        <w:t xml:space="preserve"> </w:t>
      </w:r>
      <w:r>
        <w:t xml:space="preserve">Fail</w:t>
      </w:r>
      <w:r>
        <w:t xml:space="preserve"> </w:t>
      </w:r>
      <w:r>
        <w:t xml:space="preserve">to</w:t>
      </w:r>
      <w:r>
        <w:t xml:space="preserve"> </w:t>
      </w:r>
      <w:r>
        <w:t xml:space="preserve">Make</w:t>
      </w:r>
      <w:r>
        <w:t xml:space="preserve"> </w:t>
      </w:r>
      <w:r>
        <w:t xml:space="preserve">a</w:t>
      </w:r>
      <w:r>
        <w:t xml:space="preserve"> </w:t>
      </w:r>
      <w:r>
        <w:t xml:space="preserve">Prima</w:t>
      </w:r>
      <w:r>
        <w:t xml:space="preserve"> </w:t>
      </w:r>
      <w:r>
        <w:t xml:space="preserve">Facie</w:t>
      </w:r>
      <w:r>
        <w:t xml:space="preserve"> </w:t>
      </w:r>
      <w:r>
        <w:t xml:space="preserve">Showing</w:t>
      </w:r>
      <w:r>
        <w:t xml:space="preserve"> </w:t>
      </w:r>
      <w:r>
        <w:t xml:space="preserve">that</w:t>
      </w:r>
      <w:r>
        <w:t xml:space="preserve"> </w:t>
      </w:r>
      <w:r>
        <w:t xml:space="preserve">This</w:t>
      </w:r>
      <w:r>
        <w:t xml:space="preserve"> </w:t>
      </w:r>
      <w:r>
        <w:t xml:space="preserve">Court</w:t>
      </w:r>
      <w:r>
        <w:t xml:space="preserve"> </w:t>
      </w:r>
      <w:r>
        <w:t xml:space="preserve">Has</w:t>
      </w:r>
      <w:r>
        <w:t xml:space="preserve"> </w:t>
      </w:r>
      <w:r>
        <w:t xml:space="preserve">Specific</w:t>
      </w:r>
      <w:r>
        <w:t xml:space="preserve"> </w:t>
      </w:r>
      <w:r>
        <w:t xml:space="preserve">Personal</w:t>
      </w:r>
      <w:r>
        <w:t xml:space="preserve"> </w:t>
      </w:r>
      <w:r>
        <w:t xml:space="preserve">Jurisdiction</w:t>
      </w:r>
      <w:r>
        <w:t xml:space="preserve"> </w:t>
      </w:r>
      <w:r>
        <w:t xml:space="preserve">over</w:t>
      </w:r>
      <w:r>
        <w:t xml:space="preserve"> </w:t>
      </w:r>
      <w:r>
        <w:t xml:space="preserve">QNB</w:t>
      </w:r>
      <w:r>
        <w:t xml:space="preserve"> </w:t>
      </w:r>
      <w:r>
        <w:t xml:space="preserve">Pursuant</w:t>
      </w:r>
      <w:r>
        <w:t xml:space="preserve"> </w:t>
      </w:r>
      <w:r>
        <w:t xml:space="preserve">to</w:t>
      </w:r>
      <w:r>
        <w:t xml:space="preserve"> </w:t>
      </w:r>
      <w:r>
        <w:t xml:space="preserve">New</w:t>
      </w:r>
      <w:r>
        <w:t xml:space="preserve"> </w:t>
      </w:r>
      <w:r>
        <w:t xml:space="preserve">York’s</w:t>
      </w:r>
      <w:r>
        <w:t xml:space="preserve"> </w:t>
      </w:r>
      <w:r>
        <w:t xml:space="preserve">Long-Arm</w:t>
      </w:r>
      <w:r>
        <w:t xml:space="preserve"> </w:t>
      </w:r>
      <w:r>
        <w:t xml:space="preserve">Statute.</w:t>
      </w:r>
      <w:r>
        <w:t xml:space="preserve">   </w:t>
      </w:r>
      <w:r>
        <w:tab/>
      </w:r>
      <w:r>
        <w:t xml:space="preserve">3</w:t>
      </w:r>
    </w:p>
    <w:p>
      <w:pPr>
        <w:keepLines/>
        <w:tabs>
          <w:tab w:val="left" w:pos="2160"/>
          <w:tab w:val="right" w:leader="dot" w:pos="9360"/>
        </w:tabs>
        <w:spacing w:before="240" w:after="0" w:line="276" w:lineRule="exact"/>
        <w:ind w:left="2160" w:right="720" w:hanging="720"/>
        <w:jc w:val="left"/>
      </w:pPr>
      <w:r>
        <w:t xml:space="preserve">1.</w:t>
      </w:r>
      <w:r>
        <w:tab/>
      </w:r>
      <w:r>
        <w:t xml:space="preserve">Plaintiffs’</w:t>
      </w:r>
      <w:r>
        <w:t xml:space="preserve"> </w:t>
      </w:r>
      <w:r>
        <w:t xml:space="preserve">Jurisdictional</w:t>
      </w:r>
      <w:r>
        <w:t xml:space="preserve"> </w:t>
      </w:r>
      <w:r>
        <w:t xml:space="preserve">Allegations</w:t>
      </w:r>
      <w:r>
        <w:t xml:space="preserve"> </w:t>
      </w:r>
      <w:r>
        <w:t xml:space="preserve">as</w:t>
      </w:r>
      <w:r>
        <w:t xml:space="preserve"> </w:t>
      </w:r>
      <w:r>
        <w:t xml:space="preserve">to</w:t>
      </w:r>
      <w:r>
        <w:t xml:space="preserve"> </w:t>
      </w:r>
      <w:r>
        <w:t xml:space="preserve">QNB</w:t>
      </w:r>
      <w:r>
        <w:t xml:space="preserve">   </w:t>
      </w:r>
      <w:r>
        <w:tab/>
      </w:r>
      <w:r>
        <w:t xml:space="preserve">3</w:t>
      </w:r>
    </w:p>
    <w:p>
      <w:pPr>
        <w:keepLines/>
        <w:tabs>
          <w:tab w:val="left" w:pos="2160"/>
          <w:tab w:val="right" w:leader="dot" w:pos="9360"/>
        </w:tabs>
        <w:spacing w:before="240" w:after="0" w:line="276" w:lineRule="exact"/>
        <w:ind w:left="2160" w:right="720" w:hanging="720"/>
        <w:jc w:val="left"/>
      </w:pPr>
      <w:r>
        <w:t xml:space="preserve">2.</w:t>
      </w:r>
      <w:r>
        <w:tab/>
      </w:r>
      <w:r>
        <w:t xml:space="preserve">Plaintiffs’</w:t>
      </w:r>
      <w:r>
        <w:t xml:space="preserve"> </w:t>
      </w:r>
      <w:r>
        <w:t xml:space="preserve">“</w:t>
      </w:r>
      <w:r>
        <w:t xml:space="preserve">Conspiracy</w:t>
      </w:r>
      <w:r>
        <w:t xml:space="preserve"> </w:t>
      </w:r>
      <w:r>
        <w:t xml:space="preserve">Theory</w:t>
      </w:r>
      <w:r>
        <w:t xml:space="preserve">”</w:t>
      </w:r>
      <w:r>
        <w:t xml:space="preserve"> </w:t>
      </w:r>
      <w:r>
        <w:t xml:space="preserve">of</w:t>
      </w:r>
      <w:r>
        <w:t xml:space="preserve"> </w:t>
      </w:r>
      <w:r>
        <w:t xml:space="preserve">Specific</w:t>
      </w:r>
      <w:r>
        <w:t xml:space="preserve"> </w:t>
      </w:r>
      <w:r>
        <w:t xml:space="preserve">Personal</w:t>
      </w:r>
      <w:r>
        <w:t xml:space="preserve"> </w:t>
      </w:r>
      <w:r>
        <w:t xml:space="preserve">Jurisdiction</w:t>
      </w:r>
      <w:r>
        <w:t xml:space="preserve"> </w:t>
      </w:r>
      <w:r>
        <w:t xml:space="preserve">over</w:t>
      </w:r>
      <w:r>
        <w:t xml:space="preserve"> </w:t>
      </w:r>
      <w:r>
        <w:t xml:space="preserve">QNB</w:t>
      </w:r>
      <w:r>
        <w:t xml:space="preserve"> </w:t>
      </w:r>
      <w:r>
        <w:t xml:space="preserve">Is</w:t>
      </w:r>
      <w:r>
        <w:t xml:space="preserve"> </w:t>
      </w:r>
      <w:r>
        <w:t xml:space="preserve">Not</w:t>
      </w:r>
      <w:r>
        <w:t xml:space="preserve"> </w:t>
      </w:r>
      <w:r>
        <w:t xml:space="preserve">Cognizable</w:t>
      </w:r>
      <w:r>
        <w:t xml:space="preserve"> </w:t>
      </w:r>
      <w:r>
        <w:t xml:space="preserve">Under</w:t>
      </w:r>
      <w:r>
        <w:t xml:space="preserve"> </w:t>
      </w:r>
      <w:r>
        <w:t xml:space="preserve">Section</w:t>
      </w:r>
      <w:r>
        <w:t xml:space="preserve"> </w:t>
      </w:r>
      <w:r>
        <w:t xml:space="preserve">302(a)⁠(1)</w:t>
      </w:r>
      <w:r>
        <w:t xml:space="preserve"> </w:t>
      </w:r>
      <w:r>
        <w:t xml:space="preserve">of</w:t>
      </w:r>
      <w:r>
        <w:t xml:space="preserve"> </w:t>
      </w:r>
      <w:r>
        <w:t xml:space="preserve">New</w:t>
      </w:r>
      <w:r>
        <w:t xml:space="preserve"> </w:t>
      </w:r>
      <w:r>
        <w:t xml:space="preserve">York’s</w:t>
      </w:r>
      <w:r>
        <w:t xml:space="preserve"> </w:t>
      </w:r>
      <w:r>
        <w:t xml:space="preserve">Long-Arm</w:t>
      </w:r>
      <w:r>
        <w:t xml:space="preserve"> </w:t>
      </w:r>
      <w:r>
        <w:t xml:space="preserve">Statute.</w:t>
      </w:r>
      <w:r>
        <w:t xml:space="preserve">   </w:t>
      </w:r>
      <w:r>
        <w:tab/>
      </w:r>
      <w:r>
        <w:t xml:space="preserve">4</w:t>
      </w:r>
    </w:p>
    <w:p>
      <w:pPr>
        <w:keepLines/>
        <w:tabs>
          <w:tab w:val="left" w:pos="1440"/>
          <w:tab w:val="right" w:leader="dot" w:pos="9360"/>
        </w:tabs>
        <w:spacing w:before="240" w:after="0" w:line="276" w:lineRule="exact"/>
        <w:ind w:left="1440" w:right="720" w:hanging="720"/>
        <w:jc w:val="left"/>
      </w:pPr>
      <w:r>
        <w:t xml:space="preserve">C.</w:t>
      </w:r>
      <w:r>
        <w:tab/>
      </w:r>
      <w:r>
        <w:t xml:space="preserve">Plaintiffs’</w:t>
      </w:r>
      <w:r>
        <w:t xml:space="preserve"> </w:t>
      </w:r>
      <w:r>
        <w:t xml:space="preserve">“</w:t>
      </w:r>
      <w:r>
        <w:t xml:space="preserve">Conspiracy</w:t>
      </w:r>
      <w:r>
        <w:t xml:space="preserve"> </w:t>
      </w:r>
      <w:r>
        <w:t xml:space="preserve">Theory</w:t>
      </w:r>
      <w:r>
        <w:t xml:space="preserve">”</w:t>
      </w:r>
      <w:r>
        <w:t xml:space="preserve"> </w:t>
      </w:r>
      <w:r>
        <w:t xml:space="preserve">of</w:t>
      </w:r>
      <w:r>
        <w:t xml:space="preserve"> </w:t>
      </w:r>
      <w:r>
        <w:t xml:space="preserve">Personal</w:t>
      </w:r>
      <w:r>
        <w:t xml:space="preserve"> </w:t>
      </w:r>
      <w:r>
        <w:t xml:space="preserve">Jurisdiction</w:t>
      </w:r>
      <w:r>
        <w:t xml:space="preserve"> </w:t>
      </w:r>
      <w:r>
        <w:t xml:space="preserve">Is</w:t>
      </w:r>
      <w:r>
        <w:t xml:space="preserve"> </w:t>
      </w:r>
      <w:r>
        <w:t xml:space="preserve">Not</w:t>
      </w:r>
      <w:r>
        <w:t xml:space="preserve"> </w:t>
      </w:r>
      <w:r>
        <w:t xml:space="preserve">Consistent</w:t>
      </w:r>
      <w:r>
        <w:t xml:space="preserve"> </w:t>
      </w:r>
      <w:r>
        <w:t xml:space="preserve">with</w:t>
      </w:r>
      <w:r>
        <w:t xml:space="preserve"> </w:t>
      </w:r>
      <w:r>
        <w:t xml:space="preserve">the</w:t>
      </w:r>
      <w:r>
        <w:t xml:space="preserve"> </w:t>
      </w:r>
      <w:r>
        <w:t xml:space="preserve">Requirements</w:t>
      </w:r>
      <w:r>
        <w:t xml:space="preserve"> </w:t>
      </w:r>
      <w:r>
        <w:t xml:space="preserve">of</w:t>
      </w:r>
      <w:r>
        <w:t xml:space="preserve"> </w:t>
      </w:r>
      <w:r>
        <w:t xml:space="preserve">Due</w:t>
      </w:r>
      <w:r>
        <w:t xml:space="preserve"> </w:t>
      </w:r>
      <w:r>
        <w:t xml:space="preserve">Process.</w:t>
      </w:r>
      <w:r>
        <w:t xml:space="preserve">   </w:t>
      </w:r>
      <w:r>
        <w:tab/>
      </w:r>
      <w:r>
        <w:t xml:space="preserve">5</w:t>
      </w:r>
    </w:p>
    <w:p>
      <w:pPr>
        <w:keepLines/>
        <w:tabs>
          <w:tab w:val="left" w:pos="720"/>
          <w:tab w:val="right" w:leader="dot" w:pos="9360"/>
        </w:tabs>
        <w:spacing w:before="240" w:after="0" w:line="276" w:lineRule="exact"/>
        <w:ind w:left="720" w:right="720" w:hanging="720"/>
        <w:jc w:val="left"/>
      </w:pPr>
      <w:r>
        <w:t xml:space="preserve">II.</w:t>
      </w:r>
      <w:r>
        <w:tab/>
      </w:r>
      <w:r>
        <w:t xml:space="preserve">PLAINTIFFS</w:t>
      </w:r>
      <w:r>
        <w:t xml:space="preserve"> </w:t>
      </w:r>
      <w:r>
        <w:t xml:space="preserve">FAIL</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THAT</w:t>
      </w:r>
      <w:r>
        <w:t xml:space="preserve"> </w:t>
      </w:r>
      <w:r>
        <w:t xml:space="preserve">QNB</w:t>
      </w:r>
      <w:r>
        <w:t xml:space="preserve"> </w:t>
      </w:r>
      <w:r>
        <w:t xml:space="preserve">IS</w:t>
      </w:r>
      <w:r>
        <w:t xml:space="preserve"> </w:t>
      </w:r>
      <w:r>
        <w:t xml:space="preserve">SECONDARILY</w:t>
      </w:r>
      <w:r>
        <w:t xml:space="preserve"> </w:t>
      </w:r>
      <w:r>
        <w:t xml:space="preserve">LIABLE</w:t>
      </w:r>
      <w:r>
        <w:t xml:space="preserve"> </w:t>
      </w:r>
      <w:r>
        <w:t xml:space="preserve">UNDER</w:t>
      </w:r>
      <w:r>
        <w:t xml:space="preserve"> </w:t>
      </w:r>
      <w:r>
        <w:t xml:space="preserve">18</w:t>
      </w:r>
      <w:r>
        <w:t xml:space="preserve"> </w:t>
      </w:r>
      <w:r>
        <w:t xml:space="preserve">U.S.C.</w:t>
      </w:r>
      <w:r>
        <w:t xml:space="preserve"> </w:t>
      </w:r>
      <w:r>
        <w:t xml:space="preserve">§</w:t>
      </w:r>
      <w:r>
        <w:t xml:space="preserve"> </w:t>
      </w:r>
      <w:r>
        <w:t xml:space="preserve">2333(D)</w:t>
      </w:r>
      <w:r>
        <w:t xml:space="preserve"> </w:t>
      </w:r>
      <w:r>
        <w:t xml:space="preserve">FOR</w:t>
      </w:r>
      <w:r>
        <w:t xml:space="preserve"> </w:t>
      </w:r>
      <w:r>
        <w:t xml:space="preserve">AIDING</w:t>
      </w:r>
      <w:r>
        <w:t xml:space="preserve"> </w:t>
      </w:r>
      <w:r>
        <w:t xml:space="preserve">AND</w:t>
      </w:r>
      <w:r>
        <w:t xml:space="preserve"> </w:t>
      </w:r>
      <w:r>
        <w:t xml:space="preserve">ABETTING.</w:t>
      </w:r>
      <w:r>
        <w:t xml:space="preserve">   </w:t>
      </w:r>
      <w:r>
        <w:tab/>
      </w:r>
      <w:r>
        <w:t xml:space="preserve">5</w:t>
      </w:r>
    </w:p>
    <w:p>
      <w:pPr>
        <w:keepLines/>
        <w:tabs>
          <w:tab w:val="left" w:pos="720"/>
          <w:tab w:val="right" w:leader="dot" w:pos="9360"/>
        </w:tabs>
        <w:spacing w:before="240" w:after="0" w:line="276" w:lineRule="exact"/>
        <w:ind w:left="720" w:right="720" w:hanging="720"/>
        <w:jc w:val="left"/>
      </w:pPr>
      <w:r>
        <w:t xml:space="preserve">CONCLUSION</w:t>
      </w:r>
      <w:r>
        <w:t xml:space="preserve">   </w:t>
      </w:r>
      <w:r>
        <w:tab/>
      </w:r>
      <w:r>
        <w:t xml:space="preserve">6</w:t>
      </w:r>
    </w:p>
    <w:p>
      <w:pPr>
        <w:keepNext/>
        <w:keepLines/>
        <w:pageBreakBefore/>
        <w:spacing w:before="0" w:after="480" w:line="276" w:lineRule="exact"/>
        <w:ind w:left="0" w:firstLine="0"/>
        <w:jc w:val="center"/>
      </w:pPr>
      <w:r>
        <w:rPr>
          <w:b/>
          <w:bCs/>
        </w:rPr>
        <w:t xml:space="preserve">TABLE OF AUTHORITIES</w:t>
      </w:r>
    </w:p>
    <w:p>
      <w:pPr>
        <w:keepNext/>
        <w:keepLines/>
        <w:spacing w:before="0" w:after="0" w:line="276" w:lineRule="exact"/>
        <w:ind w:left="0" w:firstLine="0"/>
        <w:jc w:val="right"/>
      </w:pPr>
      <w:r>
        <w:rPr>
          <w:b/>
          <w:bCs/>
        </w:rPr>
        <w:t xml:space="preserve">Page(s)</w:t>
      </w:r>
    </w:p>
    <w:p>
      <w:pPr>
        <w:keepNext/>
        <w:keepLines/>
        <w:spacing w:before="480" w:after="0" w:line="276" w:lineRule="exact"/>
        <w:ind w:left="0" w:firstLine="0"/>
        <w:jc w:val="left"/>
      </w:pPr>
      <w:r>
        <w:rPr>
          <w:b/>
          <w:bCs/>
        </w:rPr>
        <w:t xml:space="preserve">Cases</w:t>
      </w:r>
    </w:p>
    <w:p>
      <w:pPr>
        <w:keepLines/>
        <w:tabs>
          <w:tab w:val="right" w:leader="dot" w:pos="9360"/>
        </w:tabs>
        <w:spacing w:before="240" w:after="0" w:line="276" w:lineRule="exact"/>
        <w:ind w:left="504" w:right="1080" w:hanging="504"/>
        <w:jc w:val="left"/>
      </w:pPr>
      <w:r>
        <w:rPr>
          <w:i/>
          <w:iCs/>
        </w:rPr>
        <w:t xml:space="preserve">AG</w:t>
      </w:r>
      <w:r>
        <w:rPr>
          <w:i/>
          <w:iCs/>
        </w:rPr>
        <w:t xml:space="preserve"> </w:t>
      </w:r>
      <w:r>
        <w:rPr>
          <w:i/>
          <w:iCs/>
        </w:rPr>
        <w:t xml:space="preserve">of</w:t>
      </w:r>
      <w:r>
        <w:rPr>
          <w:i/>
          <w:iCs/>
        </w:rPr>
        <w:t xml:space="preserve"> </w:t>
      </w:r>
      <w:r>
        <w:rPr>
          <w:i/>
          <w:iCs/>
        </w:rPr>
        <w:t xml:space="preserve">Can.</w:t>
      </w:r>
      <w:r>
        <w:rPr>
          <w:i/>
          <w:iCs/>
        </w:rPr>
        <w:t xml:space="preserve"> </w:t>
      </w:r>
      <w:r>
        <w:rPr>
          <w:i/>
          <w:iCs/>
        </w:rPr>
        <w:t xml:space="preserve">v.</w:t>
      </w:r>
      <w:r>
        <w:rPr>
          <w:i/>
          <w:iCs/>
        </w:rPr>
        <w:t xml:space="preserve"> </w:t>
      </w:r>
      <w:r>
        <w:rPr>
          <w:i/>
          <w:iCs/>
        </w:rPr>
        <w:t xml:space="preserve">R.J.</w:t>
      </w:r>
      <w:r>
        <w:rPr>
          <w:i/>
          <w:iCs/>
        </w:rPr>
        <w:t xml:space="preserve"> </w:t>
      </w:r>
      <w:r>
        <w:rPr>
          <w:i/>
          <w:iCs/>
        </w:rPr>
        <w:t xml:space="preserve">Reynolds</w:t>
      </w:r>
      <w:r>
        <w:rPr>
          <w:i/>
          <w:iCs/>
        </w:rPr>
        <w:t xml:space="preserve"> </w:t>
      </w:r>
      <w:r>
        <w:rPr>
          <w:i/>
          <w:iCs/>
        </w:rPr>
        <w:t xml:space="preserve">Tobacco</w:t>
      </w:r>
      <w:r>
        <w:rPr>
          <w:i/>
          <w:iCs/>
        </w:rPr>
        <w:t xml:space="preserve"> </w:t>
      </w:r>
      <w:r>
        <w:rPr>
          <w:i/>
          <w:iCs/>
        </w:rPr>
        <w:t xml:space="preserve">Holdings,</w:t>
      </w:r>
      <w:r>
        <w:rPr>
          <w:i/>
          <w:iCs/>
        </w:rPr>
        <w:t xml:space="preserve"> </w:t>
      </w:r>
      <w:r>
        <w:rPr>
          <w:i/>
          <w:iCs/>
        </w:rPr>
        <w:t xml:space="preserve">Inc.</w:t>
      </w:r>
      <w:r>
        <w:t xml:space="preserve">, </w:t>
      </w:r>
      <w:r>
        <w:t xml:space="preserve">268</w:t>
      </w:r>
      <w:r>
        <w:t xml:space="preserve"> </w:t>
      </w:r>
      <w:r>
        <w:t xml:space="preserve">F.3d</w:t>
      </w:r>
      <w:r>
        <w:t xml:space="preserve"> </w:t>
      </w:r>
      <w:r>
        <w:t xml:space="preserve">103</w:t>
      </w:r>
      <w:r>
        <w:t xml:space="preserve"> </w:t>
      </w:r>
      <w:r>
        <w:t xml:space="preserve">(2d</w:t>
      </w:r>
      <w:r>
        <w:t xml:space="preserve"> </w:t>
      </w:r>
      <w:r>
        <w:t xml:space="preserve">Cir.</w:t>
      </w:r>
      <w:r>
        <w:t xml:space="preserve"> </w:t>
      </w:r>
      <w:r>
        <w:t xml:space="preserve">2001)</w:t>
      </w:r>
      <w:r>
        <w:t xml:space="preserve">   </w:t>
      </w:r>
      <w:r>
        <w:tab/>
      </w:r>
      <w:r>
        <w:t xml:space="preserve">2</w:t>
      </w:r>
    </w:p>
    <w:p>
      <w:pPr>
        <w:keepLines/>
        <w:tabs>
          <w:tab w:val="right" w:leader="dot" w:pos="9360"/>
        </w:tabs>
        <w:spacing w:before="240" w:after="0" w:line="276" w:lineRule="exact"/>
        <w:ind w:left="504" w:right="1080" w:hanging="504"/>
        <w:jc w:val="left"/>
      </w:pPr>
      <w:r>
        <w:rPr>
          <w:i/>
          <w:iCs/>
        </w:rPr>
        <w:t xml:space="preserve">Charles</w:t>
      </w:r>
      <w:r>
        <w:rPr>
          <w:i/>
          <w:iCs/>
        </w:rPr>
        <w:t xml:space="preserve"> </w:t>
      </w:r>
      <w:r>
        <w:rPr>
          <w:i/>
          <w:iCs/>
        </w:rPr>
        <w:t xml:space="preserve">Schwab</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Am.</w:t>
      </w:r>
      <w:r>
        <w:rPr>
          <w:i/>
          <w:iCs/>
        </w:rPr>
        <w:t xml:space="preserve"> </w:t>
      </w:r>
      <w:r>
        <w:rPr>
          <w:i/>
          <w:iCs/>
        </w:rPr>
        <w:t xml:space="preserve">Corp.</w:t>
      </w:r>
      <w:r>
        <w:t xml:space="preserve">, </w:t>
      </w:r>
      <w:r>
        <w:t xml:space="preserve">883</w:t>
      </w:r>
      <w:r>
        <w:t xml:space="preserve"> </w:t>
      </w:r>
      <w:r>
        <w:t xml:space="preserve">F.3d</w:t>
      </w:r>
      <w:r>
        <w:t xml:space="preserve"> </w:t>
      </w:r>
      <w:r>
        <w:t xml:space="preserve">68</w:t>
      </w:r>
      <w:r>
        <w:t xml:space="preserve"> </w:t>
      </w:r>
      <w:r>
        <w:t xml:space="preserve">(2d</w:t>
      </w:r>
      <w:r>
        <w:t xml:space="preserve"> </w:t>
      </w:r>
      <w:r>
        <w:t xml:space="preserve">Cir.</w:t>
      </w:r>
      <w:r>
        <w:t xml:space="preserve"> </w:t>
      </w:r>
      <w:r>
        <w:t xml:space="preserve">2018)</w:t>
      </w:r>
      <w:r>
        <w:t xml:space="preserve">   </w:t>
      </w:r>
      <w:r>
        <w:tab/>
      </w:r>
      <w:r>
        <w:t xml:space="preserve">4</w:t>
      </w:r>
    </w:p>
    <w:p>
      <w:pPr>
        <w:keepLines/>
        <w:tabs>
          <w:tab w:val="right" w:leader="dot" w:pos="9360"/>
        </w:tabs>
        <w:spacing w:before="240" w:after="0" w:line="276" w:lineRule="exact"/>
        <w:ind w:left="504" w:right="1080" w:hanging="504"/>
        <w:jc w:val="left"/>
      </w:pPr>
      <w:r>
        <w:rPr>
          <w:i/>
          <w:iCs/>
        </w:rPr>
        <w:t xml:space="preserve">Gucci</w:t>
      </w:r>
      <w:r>
        <w:rPr>
          <w:i/>
          <w:iCs/>
        </w:rPr>
        <w:t xml:space="preserve"> </w:t>
      </w:r>
      <w:r>
        <w:rPr>
          <w:i/>
          <w:iCs/>
        </w:rPr>
        <w:t xml:space="preserve">Am.,</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Weixing</w:t>
      </w:r>
      <w:r>
        <w:rPr>
          <w:i/>
          <w:iCs/>
        </w:rPr>
        <w:t xml:space="preserve"> </w:t>
      </w:r>
      <w:r>
        <w:rPr>
          <w:i/>
          <w:iCs/>
        </w:rPr>
        <w:t xml:space="preserve">Li</w:t>
      </w:r>
      <w:r>
        <w:t xml:space="preserve">, </w:t>
      </w:r>
      <w:r>
        <w:t xml:space="preserve">768</w:t>
      </w:r>
      <w:r>
        <w:t xml:space="preserve"> </w:t>
      </w:r>
      <w:r>
        <w:t xml:space="preserve">F.3d</w:t>
      </w:r>
      <w:r>
        <w:t xml:space="preserve"> </w:t>
      </w:r>
      <w:r>
        <w:t xml:space="preserve">122</w:t>
      </w:r>
      <w:r>
        <w:t xml:space="preserve"> </w:t>
      </w:r>
      <w:r>
        <w:t xml:space="preserve">(2d</w:t>
      </w:r>
      <w:r>
        <w:t xml:space="preserve"> </w:t>
      </w:r>
      <w:r>
        <w:t xml:space="preserve">Cir.</w:t>
      </w:r>
      <w:r>
        <w:t xml:space="preserve"> </w:t>
      </w:r>
      <w:r>
        <w:t xml:space="preserve">2014)</w:t>
      </w:r>
      <w:r>
        <w:t xml:space="preserve">   </w:t>
      </w:r>
      <w:r>
        <w:tab/>
      </w:r>
      <w:r>
        <w:t xml:space="preserve">3</w:t>
      </w:r>
    </w:p>
    <w:p>
      <w:pPr>
        <w:keepLines/>
        <w:tabs>
          <w:tab w:val="right" w:leader="dot" w:pos="9360"/>
        </w:tabs>
        <w:spacing w:before="240" w:after="0" w:line="276" w:lineRule="exact"/>
        <w:ind w:left="504" w:right="1080" w:hanging="504"/>
        <w:jc w:val="left"/>
      </w:pPr>
      <w:r>
        <w:rPr>
          <w:i/>
          <w:iCs/>
        </w:rPr>
        <w:t xml:space="preserve">Honickman</w:t>
      </w:r>
      <w:r>
        <w:rPr>
          <w:i/>
          <w:iCs/>
        </w:rPr>
        <w:t xml:space="preserve"> </w:t>
      </w:r>
      <w:r>
        <w:rPr>
          <w:i/>
          <w:iCs/>
        </w:rPr>
        <w:t xml:space="preserve">v.</w:t>
      </w:r>
      <w:r>
        <w:rPr>
          <w:i/>
          <w:iCs/>
        </w:rPr>
        <w:t xml:space="preserve"> </w:t>
      </w:r>
      <w:r>
        <w:rPr>
          <w:i/>
          <w:iCs/>
        </w:rPr>
        <w:t xml:space="preserve">BLOM</w:t>
      </w:r>
      <w:r>
        <w:rPr>
          <w:i/>
          <w:iCs/>
        </w:rPr>
        <w:t xml:space="preserve"> </w:t>
      </w:r>
      <w:r>
        <w:rPr>
          <w:i/>
          <w:iCs/>
        </w:rPr>
        <w:t xml:space="preserve">Bank</w:t>
      </w:r>
      <w:r>
        <w:rPr>
          <w:i/>
          <w:iCs/>
        </w:rPr>
        <w:t xml:space="preserve"> </w:t>
      </w:r>
      <w:r>
        <w:rPr>
          <w:i/>
          <w:iCs/>
        </w:rPr>
        <w:t xml:space="preserve">SAL</w:t>
      </w:r>
      <w:r>
        <w:t xml:space="preserve">, </w:t>
      </w:r>
      <w:r>
        <w:t xml:space="preserve">6</w:t>
      </w:r>
      <w:r>
        <w:t xml:space="preserve"> </w:t>
      </w:r>
      <w:r>
        <w:t xml:space="preserve">F.4th</w:t>
      </w:r>
      <w:r>
        <w:t xml:space="preserve"> </w:t>
      </w:r>
      <w:r>
        <w:t xml:space="preserve">487</w:t>
      </w:r>
      <w:r>
        <w:t xml:space="preserve"> </w:t>
      </w:r>
      <w:r>
        <w:t xml:space="preserve">(2d</w:t>
      </w:r>
      <w:r>
        <w:t xml:space="preserve"> </w:t>
      </w:r>
      <w:r>
        <w:t xml:space="preserve">Cir.</w:t>
      </w:r>
      <w:r>
        <w:t xml:space="preserve"> </w:t>
      </w:r>
      <w:r>
        <w:t xml:space="preserve">2021)</w:t>
      </w:r>
      <w:r>
        <w:t xml:space="preserve">   </w:t>
      </w:r>
      <w:r>
        <w:tab/>
      </w:r>
      <w:r>
        <w:t xml:space="preserve">5</w:t>
      </w:r>
    </w:p>
    <w:p>
      <w:pPr>
        <w:keepLines/>
        <w:tabs>
          <w:tab w:val="right" w:leader="dot" w:pos="9360"/>
        </w:tabs>
        <w:spacing w:before="240" w:after="0" w:line="276" w:lineRule="exact"/>
        <w:ind w:left="504" w:right="1080" w:hanging="504"/>
        <w:jc w:val="left"/>
      </w:pPr>
      <w:r>
        <w:rPr>
          <w:i/>
          <w:iCs/>
        </w:rPr>
        <w:t xml:space="preserve">Kaplan</w:t>
      </w:r>
      <w:r>
        <w:rPr>
          <w:i/>
          <w:iCs/>
        </w:rPr>
        <w:t xml:space="preserve"> </w:t>
      </w:r>
      <w:r>
        <w:rPr>
          <w:i/>
          <w:iCs/>
        </w:rPr>
        <w:t xml:space="preserve">v.</w:t>
      </w:r>
      <w:r>
        <w:rPr>
          <w:i/>
          <w:iCs/>
        </w:rPr>
        <w:t xml:space="preserve"> </w:t>
      </w:r>
      <w:r>
        <w:rPr>
          <w:i/>
          <w:iCs/>
        </w:rPr>
        <w:t xml:space="preserve">Lebanese</w:t>
      </w:r>
      <w:r>
        <w:rPr>
          <w:i/>
          <w:iCs/>
        </w:rPr>
        <w:t xml:space="preserve"> </w:t>
      </w:r>
      <w:r>
        <w:rPr>
          <w:i/>
          <w:iCs/>
        </w:rPr>
        <w:t xml:space="preserve">Canadian</w:t>
      </w:r>
      <w:r>
        <w:rPr>
          <w:i/>
          <w:iCs/>
        </w:rPr>
        <w:t xml:space="preserve"> </w:t>
      </w:r>
      <w:r>
        <w:rPr>
          <w:i/>
          <w:iCs/>
        </w:rPr>
        <w:t xml:space="preserve">Bank,</w:t>
      </w:r>
      <w:r>
        <w:rPr>
          <w:i/>
          <w:iCs/>
        </w:rPr>
        <w:t xml:space="preserve"> </w:t>
      </w:r>
      <w:r>
        <w:rPr>
          <w:i/>
          <w:iCs/>
        </w:rPr>
        <w:t xml:space="preserve">SAL</w:t>
      </w:r>
      <w:r>
        <w:t xml:space="preserve">, </w:t>
      </w:r>
      <w:r>
        <w:t xml:space="preserve">999</w:t>
      </w:r>
      <w:r>
        <w:t xml:space="preserve"> </w:t>
      </w:r>
      <w:r>
        <w:t xml:space="preserve">F.3d</w:t>
      </w:r>
      <w:r>
        <w:t xml:space="preserve"> </w:t>
      </w:r>
      <w:r>
        <w:t xml:space="preserve">842</w:t>
      </w:r>
      <w:r>
        <w:t xml:space="preserve"> </w:t>
      </w:r>
      <w:r>
        <w:t xml:space="preserve">(2d</w:t>
      </w:r>
      <w:r>
        <w:t xml:space="preserve"> </w:t>
      </w:r>
      <w:r>
        <w:t xml:space="preserve">Cir.</w:t>
      </w:r>
      <w:r>
        <w:t xml:space="preserve"> </w:t>
      </w:r>
      <w:r>
        <w:t xml:space="preserve">2021)</w:t>
      </w:r>
      <w:r>
        <w:t xml:space="preserve">   </w:t>
      </w:r>
      <w:r>
        <w:tab/>
      </w:r>
      <w:r>
        <w:t xml:space="preserve">5</w:t>
      </w:r>
    </w:p>
    <w:p>
      <w:pPr>
        <w:keepLines/>
        <w:tabs>
          <w:tab w:val="right" w:leader="dot" w:pos="9360"/>
        </w:tabs>
        <w:spacing w:before="240" w:after="0" w:line="276" w:lineRule="exact"/>
        <w:ind w:left="504" w:right="1080" w:hanging="504"/>
        <w:jc w:val="left"/>
      </w:pPr>
      <w:r>
        <w:rPr>
          <w:i/>
          <w:iCs/>
        </w:rPr>
        <w:t xml:space="preserve">Licci</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Licci</w:t>
      </w:r>
      <w:r>
        <w:rPr>
          <w:i/>
          <w:iCs/>
        </w:rPr>
        <w:t xml:space="preserve"> </w:t>
      </w:r>
      <w:r>
        <w:rPr>
          <w:i/>
          <w:iCs/>
        </w:rPr>
        <w:t xml:space="preserve">v.</w:t>
      </w:r>
      <w:r>
        <w:rPr>
          <w:i/>
          <w:iCs/>
        </w:rPr>
        <w:t xml:space="preserve"> </w:t>
      </w:r>
      <w:r>
        <w:rPr>
          <w:i/>
          <w:iCs/>
        </w:rPr>
        <w:t xml:space="preserve">Lebanese</w:t>
      </w:r>
      <w:r>
        <w:rPr>
          <w:i/>
          <w:iCs/>
        </w:rPr>
        <w:t xml:space="preserve"> </w:t>
      </w:r>
      <w:r>
        <w:rPr>
          <w:i/>
          <w:iCs/>
        </w:rPr>
        <w:t xml:space="preserve">Canadian</w:t>
      </w:r>
      <w:r>
        <w:rPr>
          <w:i/>
          <w:iCs/>
        </w:rPr>
        <w:t xml:space="preserve"> </w:t>
      </w:r>
      <w:r>
        <w:rPr>
          <w:i/>
          <w:iCs/>
        </w:rPr>
        <w:t xml:space="preserve">Bank,</w:t>
      </w:r>
      <w:r>
        <w:rPr>
          <w:i/>
          <w:iCs/>
        </w:rPr>
        <w:t xml:space="preserve"> </w:t>
      </w:r>
      <w:r>
        <w:rPr>
          <w:i/>
          <w:iCs/>
        </w:rPr>
        <w:t xml:space="preserve">SAL</w:t>
      </w:r>
      <w:r>
        <w:t xml:space="preserve">, </w:t>
      </w:r>
      <w:r>
        <w:t xml:space="preserve">673</w:t>
      </w:r>
      <w:r>
        <w:t xml:space="preserve"> </w:t>
      </w:r>
      <w:r>
        <w:t xml:space="preserve">F.3d</w:t>
      </w:r>
      <w:r>
        <w:t xml:space="preserve"> </w:t>
      </w:r>
      <w:r>
        <w:t xml:space="preserve">50</w:t>
      </w:r>
      <w:r>
        <w:t xml:space="preserve"> </w:t>
      </w:r>
      <w:r>
        <w:t xml:space="preserve">(2d</w:t>
      </w:r>
      <w:r>
        <w:t xml:space="preserve"> </w:t>
      </w:r>
      <w:r>
        <w:t xml:space="preserve">Cir.</w:t>
      </w:r>
      <w:r>
        <w:t xml:space="preserve"> </w:t>
      </w:r>
      <w:r>
        <w:t xml:space="preserve">2012)</w:t>
      </w:r>
      <w:r>
        <w:t xml:space="preserve">   </w:t>
      </w:r>
      <w:r>
        <w:tab/>
      </w:r>
      <w:r>
        <w:t xml:space="preserve">2, 4</w:t>
      </w:r>
    </w:p>
    <w:p>
      <w:pPr>
        <w:keepLines/>
        <w:tabs>
          <w:tab w:val="right" w:leader="dot" w:pos="9360"/>
        </w:tabs>
        <w:spacing w:before="240" w:after="0" w:line="276" w:lineRule="exact"/>
        <w:ind w:left="504" w:right="1080" w:hanging="504"/>
        <w:jc w:val="left"/>
      </w:pPr>
      <w:r>
        <w:rPr>
          <w:i/>
          <w:iCs/>
        </w:rPr>
        <w:t xml:space="preserve">Penguin</w:t>
      </w:r>
      <w:r>
        <w:rPr>
          <w:i/>
          <w:iCs/>
        </w:rPr>
        <w:t xml:space="preserve"> </w:t>
      </w:r>
      <w:r>
        <w:rPr>
          <w:i/>
          <w:iCs/>
        </w:rPr>
        <w:t xml:space="preserve">Grp.</w:t>
      </w:r>
      <w:r>
        <w:rPr>
          <w:i/>
          <w:iCs/>
        </w:rPr>
        <w:t xml:space="preserve"> </w:t>
      </w:r>
      <w:r>
        <w:rPr>
          <w:i/>
          <w:iCs/>
        </w:rPr>
        <w:t xml:space="preserve">(USA)</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Buddha</w:t>
      </w:r>
      <w:r>
        <w:t xml:space="preserve">, </w:t>
      </w:r>
      <w:r>
        <w:t xml:space="preserve">609</w:t>
      </w:r>
      <w:r>
        <w:t xml:space="preserve"> </w:t>
      </w:r>
      <w:r>
        <w:t xml:space="preserve">F.3d</w:t>
      </w:r>
      <w:r>
        <w:t xml:space="preserve"> </w:t>
      </w:r>
      <w:r>
        <w:t xml:space="preserve">30</w:t>
      </w:r>
      <w:r>
        <w:t xml:space="preserve"> </w:t>
      </w:r>
      <w:r>
        <w:t xml:space="preserve">(2d</w:t>
      </w:r>
      <w:r>
        <w:t xml:space="preserve"> </w:t>
      </w:r>
      <w:r>
        <w:t xml:space="preserve">Cir.</w:t>
      </w:r>
      <w:r>
        <w:t xml:space="preserve"> </w:t>
      </w:r>
      <w:r>
        <w:t xml:space="preserve">2010)</w:t>
      </w:r>
      <w:r>
        <w:t xml:space="preserve">   </w:t>
      </w:r>
      <w:r>
        <w:tab/>
      </w:r>
      <w:r>
        <w:t xml:space="preserve">2</w:t>
      </w:r>
    </w:p>
    <w:p>
      <w:pPr>
        <w:keepLines/>
        <w:tabs>
          <w:tab w:val="right" w:leader="dot" w:pos="9360"/>
        </w:tabs>
        <w:spacing w:before="240" w:after="0" w:line="276" w:lineRule="exact"/>
        <w:ind w:left="504" w:right="1080" w:hanging="504"/>
        <w:jc w:val="left"/>
      </w:pPr>
      <w:r>
        <w:rPr>
          <w:i/>
          <w:iCs/>
        </w:rPr>
        <w:t xml:space="preserve">SPV</w:t>
      </w:r>
      <w:r>
        <w:rPr>
          <w:i/>
          <w:iCs/>
        </w:rPr>
        <w:t xml:space="preserve"> </w:t>
      </w:r>
      <w:r>
        <w:rPr>
          <w:i/>
          <w:iCs/>
        </w:rPr>
        <w:t xml:space="preserve">Osus</w:t>
      </w:r>
      <w:r>
        <w:rPr>
          <w:i/>
          <w:iCs/>
        </w:rPr>
        <w:t xml:space="preserve"> </w:t>
      </w:r>
      <w:r>
        <w:rPr>
          <w:i/>
          <w:iCs/>
        </w:rPr>
        <w:t xml:space="preserve">Ltd.</w:t>
      </w:r>
      <w:r>
        <w:rPr>
          <w:i/>
          <w:iCs/>
        </w:rPr>
        <w:t xml:space="preserve"> </w:t>
      </w:r>
      <w:r>
        <w:rPr>
          <w:i/>
          <w:iCs/>
        </w:rPr>
        <w:t xml:space="preserve">v.</w:t>
      </w:r>
      <w:r>
        <w:rPr>
          <w:i/>
          <w:iCs/>
        </w:rPr>
        <w:t xml:space="preserve"> </w:t>
      </w:r>
      <w:r>
        <w:rPr>
          <w:i/>
          <w:iCs/>
        </w:rPr>
        <w:t xml:space="preserve">UBS</w:t>
      </w:r>
      <w:r>
        <w:rPr>
          <w:i/>
          <w:iCs/>
        </w:rPr>
        <w:t xml:space="preserve"> </w:t>
      </w:r>
      <w:r>
        <w:rPr>
          <w:i/>
          <w:iCs/>
        </w:rPr>
        <w:t xml:space="preserve">AG</w:t>
      </w:r>
      <w:r>
        <w:t xml:space="preserve">, </w:t>
      </w:r>
      <w:r>
        <w:t xml:space="preserve">882</w:t>
      </w:r>
      <w:r>
        <w:t xml:space="preserve"> </w:t>
      </w:r>
      <w:r>
        <w:t xml:space="preserve">F.3d</w:t>
      </w:r>
      <w:r>
        <w:t xml:space="preserve"> </w:t>
      </w:r>
      <w:r>
        <w:t xml:space="preserve">333</w:t>
      </w:r>
      <w:r>
        <w:t xml:space="preserve"> </w:t>
      </w:r>
      <w:r>
        <w:t xml:space="preserve">(2d</w:t>
      </w:r>
      <w:r>
        <w:t xml:space="preserve"> </w:t>
      </w:r>
      <w:r>
        <w:t xml:space="preserve">Cir.</w:t>
      </w:r>
      <w:r>
        <w:t xml:space="preserve"> </w:t>
      </w:r>
      <w:r>
        <w:t xml:space="preserve">2018)</w:t>
      </w:r>
      <w:r>
        <w:t xml:space="preserve">   </w:t>
      </w:r>
      <w:r>
        <w:tab/>
      </w:r>
      <w:r>
        <w:t xml:space="preserve">2, 3</w:t>
      </w:r>
    </w:p>
    <w:p>
      <w:pPr>
        <w:keepLines/>
        <w:tabs>
          <w:tab w:val="right" w:leader="dot" w:pos="9360"/>
        </w:tabs>
        <w:spacing w:before="240" w:after="0" w:line="276" w:lineRule="exact"/>
        <w:ind w:left="504" w:right="1080" w:hanging="504"/>
        <w:jc w:val="left"/>
      </w:pPr>
      <w:r>
        <w:rPr>
          <w:i/>
          <w:iCs/>
        </w:rPr>
        <w:t xml:space="preserve">Suber</w:t>
      </w:r>
      <w:r>
        <w:rPr>
          <w:i/>
          <w:iCs/>
        </w:rPr>
        <w:t xml:space="preserve"> </w:t>
      </w:r>
      <w:r>
        <w:rPr>
          <w:i/>
          <w:iCs/>
        </w:rPr>
        <w:t xml:space="preserve">v.</w:t>
      </w:r>
      <w:r>
        <w:rPr>
          <w:i/>
          <w:iCs/>
        </w:rPr>
        <w:t xml:space="preserve"> </w:t>
      </w:r>
      <w:r>
        <w:rPr>
          <w:i/>
          <w:iCs/>
        </w:rPr>
        <w:t xml:space="preserve">VVP</w:t>
      </w:r>
      <w:r>
        <w:rPr>
          <w:i/>
          <w:iCs/>
        </w:rPr>
        <w:t xml:space="preserve"> </w:t>
      </w:r>
      <w:r>
        <w:rPr>
          <w:i/>
          <w:iCs/>
        </w:rPr>
        <w:t xml:space="preserve">Servs.,</w:t>
      </w:r>
      <w:r>
        <w:rPr>
          <w:i/>
          <w:iCs/>
        </w:rPr>
        <w:t xml:space="preserve"> </w:t>
      </w:r>
      <w:r>
        <w:rPr>
          <w:i/>
          <w:iCs/>
        </w:rPr>
        <w:t xml:space="preserve">LLC</w:t>
      </w:r>
      <w:r>
        <w:t xml:space="preserve">, </w:t>
      </w:r>
      <w:r>
        <w:t xml:space="preserve">No.</w:t>
      </w:r>
      <w:r>
        <w:t xml:space="preserve"> </w:t>
      </w:r>
      <w:r>
        <w:t xml:space="preserve">20-cv</w:t>
        <w:noBreakHyphen/>
        <w:t xml:space="preserve">8177</w:t>
      </w:r>
      <w:r>
        <w:t xml:space="preserve"> </w:t>
      </w:r>
      <w:r>
        <w:t xml:space="preserve">(AJN),</w:t>
      </w:r>
      <w:r>
        <w:t xml:space="preserve"> </w:t>
      </w:r>
      <w:r>
        <w:t xml:space="preserve">2021</w:t>
      </w:r>
      <w:r>
        <w:t xml:space="preserve"> </w:t>
      </w:r>
      <w:r>
        <w:t xml:space="preserve">WL</w:t>
      </w:r>
      <w:r>
        <w:t xml:space="preserve"> </w:t>
      </w:r>
      <w:r>
        <w:t xml:space="preserve">4429237</w:t>
      </w:r>
      <w:r>
        <w:t xml:space="preserve"> </w:t>
      </w:r>
      <w:r>
        <w:t xml:space="preserve">(S.D.N.Y.</w:t>
      </w:r>
      <w:r>
        <w:t xml:space="preserve"> </w:t>
      </w:r>
      <w:r>
        <w:t xml:space="preserve">Sept.</w:t>
      </w:r>
      <w:r>
        <w:t xml:space="preserve"> </w:t>
      </w:r>
      <w:r>
        <w:t xml:space="preserve">27,</w:t>
      </w:r>
      <w:r>
        <w:t xml:space="preserve"> </w:t>
      </w:r>
      <w:r>
        <w:t xml:space="preserve">2021)</w:t>
      </w:r>
      <w:r>
        <w:t xml:space="preserve">   </w:t>
      </w:r>
      <w:r>
        <w:tab/>
      </w:r>
      <w:r>
        <w:t xml:space="preserve">3</w:t>
      </w:r>
    </w:p>
    <w:p>
      <w:pPr>
        <w:keepLines/>
        <w:tabs>
          <w:tab w:val="right" w:leader="dot" w:pos="9360"/>
        </w:tabs>
        <w:spacing w:before="240" w:after="0" w:line="276" w:lineRule="exact"/>
        <w:ind w:left="504" w:right="1080" w:hanging="504"/>
        <w:jc w:val="left"/>
      </w:pPr>
      <w:r>
        <w:rPr>
          <w:i/>
          <w:iCs/>
        </w:rPr>
        <w:t xml:space="preserve">Walden</w:t>
      </w:r>
      <w:r>
        <w:rPr>
          <w:i/>
          <w:iCs/>
        </w:rPr>
        <w:t xml:space="preserve"> </w:t>
      </w:r>
      <w:r>
        <w:rPr>
          <w:i/>
          <w:iCs/>
        </w:rPr>
        <w:t xml:space="preserve">v.</w:t>
      </w:r>
      <w:r>
        <w:rPr>
          <w:i/>
          <w:iCs/>
        </w:rPr>
        <w:t xml:space="preserve"> </w:t>
      </w:r>
      <w:r>
        <w:rPr>
          <w:i/>
          <w:iCs/>
        </w:rPr>
        <w:t xml:space="preserve">Fiore</w:t>
      </w:r>
      <w:r>
        <w:t xml:space="preserve">, </w:t>
      </w:r>
      <w:r>
        <w:t xml:space="preserve">571</w:t>
      </w:r>
      <w:r>
        <w:t xml:space="preserve"> </w:t>
      </w:r>
      <w:r>
        <w:t xml:space="preserve">U.S.</w:t>
      </w:r>
      <w:r>
        <w:t xml:space="preserve"> </w:t>
      </w:r>
      <w:r>
        <w:t xml:space="preserve">277</w:t>
      </w:r>
      <w:r>
        <w:t xml:space="preserve"> </w:t>
      </w:r>
      <w:r>
        <w:t xml:space="preserve">(2014)</w:t>
      </w:r>
      <w:r>
        <w:t xml:space="preserve">   </w:t>
      </w:r>
      <w:r>
        <w:tab/>
      </w:r>
      <w:r>
        <w:t xml:space="preserve">2, 4</w:t>
      </w:r>
    </w:p>
    <w:p>
      <w:pPr>
        <w:keepLines/>
        <w:tabs>
          <w:tab w:val="right" w:leader="dot" w:pos="9360"/>
        </w:tabs>
        <w:spacing w:before="240" w:after="0" w:line="276" w:lineRule="exact"/>
        <w:ind w:left="504" w:right="1080" w:hanging="504"/>
        <w:jc w:val="left"/>
      </w:pPr>
      <w:r>
        <w:rPr>
          <w:i/>
          <w:iCs/>
        </w:rPr>
        <w:t xml:space="preserve">Waldman</w:t>
      </w:r>
      <w:r>
        <w:rPr>
          <w:i/>
          <w:iCs/>
        </w:rPr>
        <w:t xml:space="preserve"> </w:t>
      </w:r>
      <w:r>
        <w:rPr>
          <w:i/>
          <w:iCs/>
        </w:rPr>
        <w:t xml:space="preserve">v.</w:t>
      </w:r>
      <w:r>
        <w:rPr>
          <w:i/>
          <w:iCs/>
        </w:rPr>
        <w:t xml:space="preserve"> </w:t>
      </w:r>
      <w:r>
        <w:rPr>
          <w:i/>
          <w:iCs/>
        </w:rPr>
        <w:t xml:space="preserve">Palestine</w:t>
      </w:r>
      <w:r>
        <w:rPr>
          <w:i/>
          <w:iCs/>
        </w:rPr>
        <w:t xml:space="preserve"> </w:t>
      </w:r>
      <w:r>
        <w:rPr>
          <w:i/>
          <w:iCs/>
        </w:rPr>
        <w:t xml:space="preserve">Liberation</w:t>
      </w:r>
      <w:r>
        <w:rPr>
          <w:i/>
          <w:iCs/>
        </w:rPr>
        <w:t xml:space="preserve"> </w:t>
      </w:r>
      <w:r>
        <w:rPr>
          <w:i/>
          <w:iCs/>
        </w:rPr>
        <w:t xml:space="preserve">Org.</w:t>
      </w:r>
      <w:r>
        <w:t xml:space="preserve">, </w:t>
      </w:r>
      <w:r>
        <w:t xml:space="preserve">835</w:t>
      </w:r>
      <w:r>
        <w:t xml:space="preserve"> </w:t>
      </w:r>
      <w:r>
        <w:t xml:space="preserve">F.3d</w:t>
      </w:r>
      <w:r>
        <w:t xml:space="preserve"> </w:t>
      </w:r>
      <w:r>
        <w:t xml:space="preserve">317</w:t>
      </w:r>
      <w:r>
        <w:t xml:space="preserve"> </w:t>
      </w:r>
      <w:r>
        <w:t xml:space="preserve">(2d</w:t>
      </w:r>
      <w:r>
        <w:t xml:space="preserve"> </w:t>
      </w:r>
      <w:r>
        <w:t xml:space="preserve">Cir.</w:t>
      </w:r>
      <w:r>
        <w:t xml:space="preserve"> </w:t>
      </w:r>
      <w:r>
        <w:t xml:space="preserve">2016)</w:t>
      </w:r>
      <w:r>
        <w:t xml:space="preserve">   </w:t>
      </w:r>
      <w:r>
        <w:tab/>
      </w:r>
      <w:r>
        <w:t xml:space="preserve">3</w:t>
      </w:r>
    </w:p>
    <w:p>
      <w:pPr>
        <w:keepLines/>
        <w:tabs>
          <w:tab w:val="right" w:leader="dot" w:pos="9360"/>
        </w:tabs>
        <w:spacing w:before="240" w:after="0" w:line="276" w:lineRule="exact"/>
        <w:ind w:left="504" w:right="1080" w:hanging="504"/>
        <w:jc w:val="left"/>
      </w:pPr>
      <w:r>
        <w:rPr>
          <w:i/>
          <w:iCs/>
        </w:rPr>
        <w:t xml:space="preserve">Weiss</w:t>
      </w:r>
      <w:r>
        <w:rPr>
          <w:i/>
          <w:iCs/>
        </w:rPr>
        <w:t xml:space="preserve"> </w:t>
      </w:r>
      <w:r>
        <w:rPr>
          <w:i/>
          <w:iCs/>
        </w:rPr>
        <w:t xml:space="preserve">v.</w:t>
      </w:r>
      <w:r>
        <w:rPr>
          <w:i/>
          <w:iCs/>
        </w:rPr>
        <w:t xml:space="preserve"> </w:t>
      </w:r>
      <w:r>
        <w:rPr>
          <w:i/>
          <w:iCs/>
        </w:rPr>
        <w:t xml:space="preserve">Nat’l</w:t>
      </w:r>
      <w:r>
        <w:rPr>
          <w:i/>
          <w:iCs/>
        </w:rPr>
        <w:t xml:space="preserve"> </w:t>
      </w:r>
      <w:r>
        <w:rPr>
          <w:i/>
          <w:iCs/>
        </w:rPr>
        <w:t xml:space="preserve">Westminster</w:t>
      </w:r>
      <w:r>
        <w:rPr>
          <w:i/>
          <w:iCs/>
        </w:rPr>
        <w:t xml:space="preserve"> </w:t>
      </w:r>
      <w:r>
        <w:rPr>
          <w:i/>
          <w:iCs/>
        </w:rPr>
        <w:t xml:space="preserve">Bank,</w:t>
      </w:r>
      <w:r>
        <w:rPr>
          <w:i/>
          <w:iCs/>
        </w:rPr>
        <w:t xml:space="preserve"> </w:t>
      </w:r>
      <w:r>
        <w:rPr>
          <w:i/>
          <w:iCs/>
        </w:rPr>
        <w:t xml:space="preserve">PLC</w:t>
      </w:r>
      <w:r>
        <w:t xml:space="preserve">, </w:t>
      </w:r>
      <w:r>
        <w:t xml:space="preserve">176</w:t>
      </w:r>
      <w:r>
        <w:t xml:space="preserve"> </w:t>
      </w:r>
      <w:r>
        <w:t xml:space="preserve">F.</w:t>
      </w:r>
      <w:r>
        <w:t xml:space="preserve"> </w:t>
      </w:r>
      <w:r>
        <w:t xml:space="preserve">Supp.</w:t>
      </w:r>
      <w:r>
        <w:t xml:space="preserve"> </w:t>
      </w:r>
      <w:r>
        <w:t xml:space="preserve">3d</w:t>
      </w:r>
      <w:r>
        <w:t xml:space="preserve"> </w:t>
      </w:r>
      <w:r>
        <w:t xml:space="preserve">264</w:t>
      </w:r>
      <w:r>
        <w:t xml:space="preserve"> </w:t>
      </w:r>
      <w:r>
        <w:t xml:space="preserve">(E.D.N.Y.</w:t>
      </w:r>
      <w:r>
        <w:t xml:space="preserve"> </w:t>
      </w:r>
      <w:r>
        <w:t xml:space="preserve">2016)</w:t>
      </w:r>
      <w:r>
        <w:t xml:space="preserve">   </w:t>
      </w:r>
      <w:r>
        <w:tab/>
      </w:r>
      <w:r>
        <w:t xml:space="preserve">3</w:t>
      </w:r>
    </w:p>
    <w:p>
      <w:pPr>
        <w:keepNext/>
        <w:keepLines/>
        <w:spacing w:before="480" w:after="0" w:line="276" w:lineRule="exact"/>
        <w:ind w:left="0" w:firstLine="0"/>
        <w:jc w:val="left"/>
      </w:pPr>
      <w:r>
        <w:rPr>
          <w:b/>
          <w:bCs/>
        </w:rPr>
        <w:t xml:space="preserve">Statutes</w:t>
      </w:r>
    </w:p>
    <w:p>
      <w:pPr>
        <w:keepLines/>
        <w:tabs>
          <w:tab w:val="right" w:leader="dot" w:pos="9360"/>
        </w:tabs>
        <w:spacing w:before="240" w:after="0" w:line="276" w:lineRule="exact"/>
        <w:ind w:left="504" w:right="1080" w:hanging="504"/>
        <w:jc w:val="left"/>
      </w:pPr>
      <w:r>
        <w:t xml:space="preserve">18</w:t>
      </w:r>
      <w:r>
        <w:t xml:space="preserve"> </w:t>
      </w:r>
      <w:r>
        <w:t xml:space="preserve">U.S.C.</w:t>
      </w:r>
      <w:r>
        <w:t xml:space="preserve"> </w:t>
      </w:r>
      <w:r>
        <w:t xml:space="preserve">§</w:t>
      </w:r>
      <w:r>
        <w:t xml:space="preserve"> </w:t>
      </w:r>
      <w:r>
        <w:t xml:space="preserve">2334(a)</w:t>
      </w:r>
      <w:r>
        <w:t xml:space="preserve">   </w:t>
      </w:r>
      <w:r>
        <w:tab/>
      </w:r>
      <w:r>
        <w:t xml:space="preserve">4</w:t>
      </w:r>
    </w:p>
    <w:p>
      <w:pPr>
        <w:keepLines/>
        <w:tabs>
          <w:tab w:val="right" w:leader="dot" w:pos="9360"/>
        </w:tabs>
        <w:spacing w:before="240" w:after="0" w:line="276" w:lineRule="exact"/>
        <w:ind w:left="504" w:right="1080" w:hanging="504"/>
        <w:jc w:val="left"/>
      </w:pPr>
      <w:r>
        <w:t xml:space="preserve">N.Y.</w:t>
      </w:r>
      <w:r>
        <w:t xml:space="preserve"> </w:t>
      </w:r>
      <w:r>
        <w:t xml:space="preserve">C.P.L.R.</w:t>
      </w:r>
      <w:r>
        <w:t xml:space="preserve"> </w:t>
      </w:r>
      <w:r>
        <w:t xml:space="preserve">302(a)⁠(1)</w:t>
      </w:r>
      <w:r>
        <w:t xml:space="preserve">   </w:t>
      </w:r>
      <w:r>
        <w:tab/>
      </w:r>
      <w:r>
        <w:t xml:space="preserve">4</w:t>
      </w:r>
    </w:p>
    <w:p>
      <w:pPr>
        <w:keepNext/>
        <w:keepLines/>
        <w:spacing w:before="480" w:after="0" w:line="276" w:lineRule="exact"/>
        <w:ind w:left="0" w:firstLine="0"/>
        <w:jc w:val="left"/>
      </w:pPr>
      <w:r>
        <w:rPr>
          <w:b/>
          <w:bCs/>
        </w:rPr>
        <w:t xml:space="preserve">Federal Rules of Civil Procedure</w:t>
      </w:r>
    </w:p>
    <w:p>
      <w:pPr>
        <w:keepLines/>
        <w:tabs>
          <w:tab w:val="right" w:leader="dot" w:pos="9360"/>
        </w:tabs>
        <w:spacing w:before="240" w:after="0" w:line="276" w:lineRule="exact"/>
        <w:ind w:left="504" w:right="1080" w:hanging="504"/>
        <w:jc w:val="left"/>
      </w:pPr>
      <w:r>
        <w:t xml:space="preserve">Fed.</w:t>
      </w:r>
      <w:r>
        <w:t xml:space="preserve"> </w:t>
      </w:r>
      <w:r>
        <w:t xml:space="preserve">R.</w:t>
      </w:r>
      <w:r>
        <w:t xml:space="preserve"> </w:t>
      </w:r>
      <w:r>
        <w:t xml:space="preserve">Civ.</w:t>
      </w:r>
      <w:r>
        <w:t xml:space="preserve"> </w:t>
      </w:r>
      <w:r>
        <w:t xml:space="preserve">P.</w:t>
      </w:r>
      <w:r>
        <w:t xml:space="preserve"> </w:t>
      </w:r>
      <w:r>
        <w:t xml:space="preserve">12(b)⁠(2)</w:t>
      </w:r>
      <w:r>
        <w:t xml:space="preserve">   </w:t>
      </w:r>
      <w:r>
        <w:tab/>
      </w:r>
      <w:r>
        <w:t xml:space="preserve">1</w:t>
      </w:r>
    </w:p>
    <w:p>
      <w:pPr>
        <w:keepLines/>
        <w:tabs>
          <w:tab w:val="right" w:leader="dot" w:pos="9360"/>
        </w:tabs>
        <w:spacing w:before="240" w:after="0" w:line="276" w:lineRule="exact"/>
        <w:ind w:left="504" w:right="1080" w:hanging="504"/>
        <w:jc w:val="left"/>
      </w:pP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ab/>
      </w:r>
      <w:r>
        <w:t xml:space="preserve">1</w:t>
      </w:r>
    </w:p>
    <w:p>
      <w:pPr>
        <w:keepLines/>
        <w:tabs>
          <w:tab w:val="right" w:leader="dot" w:pos="9360"/>
        </w:tabs>
        <w:spacing w:before="240" w:after="0" w:line="276" w:lineRule="exact"/>
        <w:ind w:left="504" w:right="1080" w:hanging="504"/>
        <w:jc w:val="left"/>
      </w:pPr>
      <w:r>
        <w:t xml:space="preserve">Fed.</w:t>
      </w:r>
      <w:r>
        <w:t xml:space="preserve"> </w:t>
      </w:r>
      <w:r>
        <w:t xml:space="preserve">R.</w:t>
      </w:r>
      <w:r>
        <w:t xml:space="preserve"> </w:t>
      </w:r>
      <w:r>
        <w:t xml:space="preserve">Civ.</w:t>
      </w:r>
      <w:r>
        <w:t xml:space="preserve"> </w:t>
      </w:r>
      <w:r>
        <w:t xml:space="preserve">P.</w:t>
      </w:r>
      <w:r>
        <w:t xml:space="preserve"> </w:t>
      </w:r>
      <w:r>
        <w:t xml:space="preserve">4(k)⁠(2)</w:t>
      </w:r>
      <w:r>
        <w:t xml:space="preserve">   </w:t>
      </w:r>
      <w:r>
        <w:tab/>
      </w:r>
      <w:r>
        <w:t xml:space="preserve">3</w:t>
      </w:r>
    </w:p>
    <w:p>
      <w:pPr>
        <w:spacing w:before="0" w:after="0" w:line="20" w:lineRule="exact"/>
        <w:sectPr>
          <w:footerReference w:type="default" r:id="rIdNyedPage"/>
          <w:pgSz w:w="12240" w:h="15840"/>
          <w:pgMar w:top="1440" w:right="1440" w:bottom="1440" w:left="1440" w:header="720" w:footer="720" w:gutter="0"/>
          <w:pgNumType w:fmt="lowerRoman" w:start="1"/>
        </w:sectPr>
      </w:pPr>
    </w:p>
    <w:p>
      <w:pPr>
        <w:keepNext/>
        <w:keepLines/>
        <w:spacing w:before="0" w:after="276" w:line="276" w:lineRule="exact"/>
        <w:ind w:left="0" w:firstLine="0"/>
        <w:jc w:val="center"/>
      </w:pPr>
      <w:r>
        <w:rPr>
          <w:b/>
          <w:bCs/>
        </w:rPr>
        <w:t xml:space="preserve">PRELIMINARY</w:t>
      </w:r>
      <w:r>
        <w:rPr>
          <w:b/>
          <w:bCs/>
        </w:rPr>
        <w:t xml:space="preserve"> </w:t>
      </w:r>
      <w:r>
        <w:rPr>
          <w:b/>
          <w:bCs/>
        </w:rPr>
        <w:t xml:space="preserve">STATEMENT</w:t>
      </w:r>
    </w:p>
    <w:p>
      <w:pPr>
        <w:pStyle w:val="BodyText"/>
      </w:pPr>
      <w:r>
        <w:t xml:space="preserve">Pursuant to</w:t>
      </w:r>
      <w:r>
        <w:t xml:space="preserve"> </w:t>
      </w:r>
      <w:hyperlink r:id="rId9">
        <w:r>
          <w:rPr>
            <w:rStyle w:val="Hyperlink"/>
          </w:rPr>
          <w:t xml:space="preserve">Fed. R. Civ. P. 12(b)⁠(2)</w:t>
        </w:r>
      </w:hyperlink>
      <w:r>
        <w:t xml:space="preserve">, 12(b)⁠(5), and</w:t>
      </w:r>
      <w:r>
        <w:t xml:space="preserve"> </w:t>
      </w:r>
      <w:hyperlink r:id="rId10">
        <w:r>
          <w:rPr>
            <w:rStyle w:val="Hyperlink"/>
          </w:rPr>
          <w:t xml:space="preserve">12(b)⁠(6)</w:t>
        </w:r>
      </w:hyperlink>
      <w:r>
        <w:t xml:space="preserve">, Defendant Qatar National Bank Q.P.S.C. (</w:t>
      </w:r>
      <w:r>
        <w:t xml:space="preserve">“QNB”</w:t>
      </w:r>
      <w:r>
        <w:t xml:space="preserve">) moves to dismiss all claims brought against QNB in Plaintiffs’ complaint (the</w:t>
      </w:r>
      <w:r>
        <w:t xml:space="preserve"> </w:t>
      </w:r>
      <w:r>
        <w:t xml:space="preserve">“Complaint”</w:t>
      </w:r>
      <w:r>
        <w:t xml:space="preserve">) and respectfully submits this memorandum of law in support of its motion to dismiss.</w:t>
      </w:r>
    </w:p>
    <w:p>
      <w:pPr>
        <w:pStyle w:val="BodyText"/>
      </w:pPr>
      <w:r>
        <w:t xml:space="preserve">While QNB condemns all acts of terrorism, this litigation is a misguided effort, which courts have repeatedly rejected, to assign liability to a well-respected bank doing business in the Middle East for nothing more than providing routine banking services to its customers in the region. The Complaint makes not one allegation regarding any specific act by QNB that is connected even remotely to the violent acts that Plaintiffs allege injured them or their relatives. Worse still, there is not a single allegation of any act by QNB in the United States, much less in New York, that would permit this Court’s exercise of personal jurisdiction over QNB. Indeed, Plaintiffs’</w:t>
      </w:r>
      <w:r>
        <w:t xml:space="preserve"> </w:t>
      </w:r>
      <w:r>
        <w:t xml:space="preserve">“theory”</w:t>
      </w:r>
      <w:r>
        <w:t xml:space="preserve"> </w:t>
      </w:r>
      <w:r>
        <w:t xml:space="preserve">of personal jurisdiction over QNB is one that has been repeatedly rejected by the courts. QNB therefore respectfully moves to dismiss the claims brought against it.</w:t>
      </w:r>
    </w:p>
    <w:p>
      <w:pPr>
        <w:pStyle w:val="BodyText"/>
      </w:pPr>
      <w:r>
        <w:t xml:space="preserve">Founded in 1964, QNB is a commercial bank incorporated in Qatar and headquartered in Qatar’s capital city of Doha. QNB has subsidiaries and affiliates in Asia, Europe, and Africa, but none in the Americas (let alone in the United States or in the state of New York.)</w:t>
      </w:r>
    </w:p>
    <w:p>
      <w:pPr>
        <w:pStyle w:val="BodyText"/>
      </w:pPr>
      <w:r>
        <w:t xml:space="preserve">As a preliminary matter, the Complaint, which has still not been effectively served, fails to make even a prima facie showing of personal jurisdiction over QNB in this Court and should therefore be dismissed under</w:t>
      </w:r>
      <w:r>
        <w:t xml:space="preserve"> </w:t>
      </w:r>
      <w:hyperlink r:id="rId9">
        <w:r>
          <w:rPr>
            <w:rStyle w:val="Hyperlink"/>
          </w:rPr>
          <w:t xml:space="preserve">Fed. R. Civ. P. 12(b)⁠(2)</w:t>
        </w:r>
      </w:hyperlink>
      <w:r>
        <w:t xml:space="preserve">. None of the allegations regarding Defendants’ supposed contacts with the forum state, New York, identify any act taken by QNB specifically.</w:t>
      </w:r>
    </w:p>
    <w:p>
      <w:pPr>
        <w:pStyle w:val="BodyText"/>
      </w:pPr>
      <w:r>
        <w:t xml:space="preserve">The Complaint also fails to make out even a plausible case of liability against QNB, based on nothing more than</w:t>
      </w:r>
      <w:r>
        <w:t xml:space="preserve"> </w:t>
      </w:r>
      <w:r>
        <w:t xml:space="preserve">“maintaining”</w:t>
      </w:r>
      <w:r>
        <w:t xml:space="preserve"> </w:t>
      </w:r>
      <w:r>
        <w:t xml:space="preserve">bank accounts in Qatar. Plaintiffs advance primary and secondary liability claims against QNB under the Anti-Terrorism Act (</w:t>
      </w:r>
      <w:r>
        <w:t xml:space="preserve">“ATA”</w:t>
      </w:r>
      <w:r>
        <w:t xml:space="preserve">), 18 U.S.C. § 2333(a), et seq., and, as amended, under the Justice Against Sponsors of Terrorism Act (</w:t>
      </w:r>
      <w:r>
        <w:t xml:space="preserve">“JASTA”</w:t>
      </w:r>
      <w:r>
        <w:t xml:space="preserve">), 18 U.S.C. § 2333(d)⁠(2), et seq. These claims are based on ten unconnected and generally unsophisticated attacks occurring in Israel and in the West Bank between June 2014 and December 2016, none of which is tied, in even the most remote fashion, to QNB.</w:t>
      </w:r>
    </w:p>
    <w:p>
      <w:pPr>
        <w:keepNext/>
        <w:keepLines/>
        <w:spacing w:before="276" w:after="276" w:line="276" w:lineRule="exact"/>
        <w:ind w:left="0" w:firstLine="0"/>
        <w:jc w:val="center"/>
      </w:pPr>
      <w:r>
        <w:rPr>
          <w:b/>
          <w:bCs/>
        </w:rPr>
        <w:t xml:space="preserve">ARGUMENT</w:t>
      </w:r>
    </w:p>
    <w:p>
      <w:pPr>
        <w:keepNext/>
        <w:keepLines/>
        <w:tabs>
          <w:tab w:val="left" w:pos="720"/>
        </w:tabs>
        <w:spacing w:before="276" w:after="276" w:line="276" w:lineRule="exact"/>
        <w:ind w:left="720" w:hanging="720"/>
        <w:jc w:val="left"/>
      </w:pPr>
      <w:r>
        <w:rPr>
          <w:b/>
          <w:bCs/>
        </w:rPr>
        <w:t xml:space="preserve">I.</w:t>
      </w:r>
      <w:r>
        <w:rPr>
          <w:b/>
          <w:bCs/>
        </w:rPr>
        <w:tab/>
      </w:r>
      <w:r>
        <w:rPr>
          <w:b/>
          <w:bCs/>
        </w:rPr>
        <w:t xml:space="preserve">PLAINTIFFS’</w:t>
      </w:r>
      <w:r>
        <w:rPr>
          <w:b/>
          <w:bCs/>
        </w:rPr>
        <w:t xml:space="preserve"> </w:t>
      </w:r>
      <w:r>
        <w:rPr>
          <w:b/>
          <w:bCs/>
        </w:rPr>
        <w:t xml:space="preserve">COMPLAINT</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QNB</w:t>
      </w:r>
      <w:r>
        <w:rPr>
          <w:b/>
          <w:bCs/>
        </w:rPr>
        <w:t xml:space="preserve"> </w:t>
      </w:r>
      <w:r>
        <w:rPr>
          <w:b/>
          <w:bCs/>
        </w:rPr>
        <w:t xml:space="preserve">FOR</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PERSONAL</w:t>
      </w:r>
      <w:r>
        <w:rPr>
          <w:b/>
          <w:bCs/>
        </w:rPr>
        <w:t xml:space="preserve"> </w:t>
      </w:r>
      <w:r>
        <w:rPr>
          <w:b/>
          <w:bCs/>
        </w:rPr>
        <w:t xml:space="preserve">JURISDICTION.</w:t>
      </w:r>
    </w:p>
    <w:p>
      <w:pPr>
        <w:pStyle w:val="BodyText"/>
      </w:pPr>
      <w:r>
        <w:t xml:space="preserve">The Court should dismiss Plaintiffs’ Complaint as to QNB given Plaintiffs’ failure to make even a prima facie showing of personal jurisdiction over QNB.</w:t>
      </w:r>
      <w:r>
        <w:t xml:space="preserve"> </w:t>
      </w:r>
      <w:r>
        <w:t xml:space="preserve">“[T]o survive a motion to dismiss for lack of personal jurisdiction, a plaintiff must make a prima facie showing that jurisdiction exists.”</w:t>
      </w:r>
      <w:r>
        <w:t xml:space="preserve"> </w:t>
      </w:r>
      <w:hyperlink r:id="rId11">
        <w:r>
          <w:rPr>
            <w:rStyle w:val="Hyperlink"/>
            <w:i/>
            <w:iCs/>
          </w:rPr>
          <w:t xml:space="preserve">SPV Osus Ltd. v. UBS AG</w:t>
        </w:r>
        <w:r>
          <w:rPr>
            <w:rStyle w:val="Hyperlink"/>
          </w:rPr>
          <w:t xml:space="preserve">, 882 F.3d 333, 342 (2d Cir. 2018)</w:t>
        </w:r>
      </w:hyperlink>
      <w:r>
        <w:t xml:space="preserve"> </w:t>
      </w:r>
      <w:r>
        <w:t xml:space="preserve">(quoting</w:t>
      </w:r>
      <w:r>
        <w:t xml:space="preserve"> </w:t>
      </w:r>
      <w:hyperlink r:id="rId12">
        <w:r>
          <w:rPr>
            <w:rStyle w:val="Hyperlink"/>
            <w:i/>
            <w:iCs/>
          </w:rPr>
          <w:t xml:space="preserve">Penguin Grp. (USA) Inc. v. Am. Buddha</w:t>
        </w:r>
        <w:r>
          <w:rPr>
            <w:rStyle w:val="Hyperlink"/>
          </w:rPr>
          <w:t xml:space="preserve">, 609 F.3d 30, 34</w:t>
        </w:r>
        <w:r>
          <w:noBreakHyphen/>
        </w:r>
        <w:r>
          <w:rPr>
            <w:rStyle w:val="Hyperlink"/>
          </w:rPr>
          <w:t xml:space="preserve">35 (2d Cir. 2010)</w:t>
        </w:r>
      </w:hyperlink>
      <w:r>
        <w:t xml:space="preserve">). Moreover, in a case such as this with multiple defendants, Plaintiffs bear the burden of establishing that personal jurisdiction exists for each defendant.</w:t>
      </w:r>
      <w:r>
        <w:t xml:space="preserve"> </w:t>
      </w:r>
      <w:hyperlink r:id="rId13">
        <w:r>
          <w:rPr>
            <w:rStyle w:val="Hyperlink"/>
            <w:i/>
            <w:iCs/>
          </w:rPr>
          <w:t xml:space="preserve">Walden v. Fiore</w:t>
        </w:r>
        <w:r>
          <w:rPr>
            <w:rStyle w:val="Hyperlink"/>
          </w:rPr>
          <w:t xml:space="preserve">, 571 U.S. 277, 284 (2014)</w:t>
        </w:r>
      </w:hyperlink>
      <w:r>
        <w:t xml:space="preserve">.</w:t>
      </w:r>
    </w:p>
    <w:p>
      <w:pPr>
        <w:pStyle w:val="BodyText"/>
      </w:pPr>
      <w:r>
        <w:t xml:space="preserve">The Second Circuit has consistently held that, in determining whether a plaintiff has met this burden, the court will not draw</w:t>
      </w:r>
      <w:r>
        <w:t xml:space="preserve"> </w:t>
      </w:r>
      <w:r>
        <w:t xml:space="preserve">“argumentative inferences”</w:t>
      </w:r>
      <w:r>
        <w:t xml:space="preserve"> </w:t>
      </w:r>
      <w:r>
        <w:t xml:space="preserve">in the plaintiff’s favor nor will it</w:t>
      </w:r>
      <w:r>
        <w:t xml:space="preserve"> </w:t>
      </w:r>
      <w:r>
        <w:t xml:space="preserve">“accept as true a legal conclusion couched as a factual allegation.”</w:t>
      </w:r>
      <w:r>
        <w:t xml:space="preserve"> </w:t>
      </w:r>
      <w:hyperlink r:id="rId14">
        <w:r>
          <w:rPr>
            <w:rStyle w:val="Hyperlink"/>
            <w:i/>
            <w:iCs/>
          </w:rPr>
          <w:t xml:space="preserve">Licci ex rel. Licci v. Lebanese Canadian Bank, SAL (Licci I)</w:t>
        </w:r>
        <w:r>
          <w:rPr>
            <w:rStyle w:val="Hyperlink"/>
          </w:rPr>
          <w:t xml:space="preserve">, 673 F.3d 50, 59 (2d Cir. 2012)</w:t>
        </w:r>
      </w:hyperlink>
      <w:r>
        <w:t xml:space="preserve"> </w:t>
      </w:r>
      <w:r>
        <w:t xml:space="preserve">(internal quotation marks omitted).</w:t>
      </w:r>
    </w:p>
    <w:p>
      <w:pPr>
        <w:keepNext/>
        <w:keepLines/>
        <w:tabs>
          <w:tab w:val="left" w:pos="1440"/>
        </w:tabs>
        <w:spacing w:before="276" w:after="276" w:line="276" w:lineRule="exact"/>
        <w:ind w:left="1440" w:hanging="720"/>
        <w:jc w:val="left"/>
      </w:pPr>
      <w:r>
        <w:rPr>
          <w:b/>
          <w:bCs/>
        </w:rPr>
        <w:t xml:space="preserve">A.</w:t>
      </w:r>
      <w:r>
        <w:rPr>
          <w:b/>
          <w:bCs/>
        </w:rPr>
        <w:tab/>
      </w:r>
      <w:r>
        <w:rPr>
          <w:b/>
          <w:bCs/>
        </w:rPr>
        <w:t xml:space="preserve">Plaintiffs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Make</w:t>
      </w:r>
      <w:r>
        <w:rPr>
          <w:b/>
          <w:bCs/>
        </w:rPr>
        <w:t xml:space="preserve"> </w:t>
      </w:r>
      <w:r>
        <w:rPr>
          <w:b/>
          <w:bCs/>
        </w:rPr>
        <w:t xml:space="preserve">a</w:t>
      </w:r>
      <w:r>
        <w:rPr>
          <w:b/>
          <w:bCs/>
        </w:rPr>
        <w:t xml:space="preserve"> </w:t>
      </w:r>
      <w:r>
        <w:rPr>
          <w:b/>
          <w:bCs/>
        </w:rPr>
        <w:t xml:space="preserve">Prima</w:t>
      </w:r>
      <w:r>
        <w:rPr>
          <w:b/>
          <w:bCs/>
        </w:rPr>
        <w:t xml:space="preserve"> </w:t>
      </w:r>
      <w:r>
        <w:rPr>
          <w:b/>
          <w:bCs/>
        </w:rPr>
        <w:t xml:space="preserve">Facie</w:t>
      </w:r>
      <w:r>
        <w:rPr>
          <w:b/>
          <w:bCs/>
        </w:rPr>
        <w:t xml:space="preserve"> </w:t>
      </w:r>
      <w:r>
        <w:rPr>
          <w:b/>
          <w:bCs/>
        </w:rPr>
        <w:t xml:space="preserve">Showing</w:t>
      </w:r>
      <w:r>
        <w:rPr>
          <w:b/>
          <w:bCs/>
        </w:rPr>
        <w:t xml:space="preserve"> </w:t>
      </w:r>
      <w:r>
        <w:rPr>
          <w:b/>
          <w:bCs/>
        </w:rPr>
        <w:t xml:space="preserve">of</w:t>
      </w:r>
      <w:r>
        <w:rPr>
          <w:b/>
          <w:bCs/>
        </w:rPr>
        <w:t xml:space="preserve"> </w:t>
      </w:r>
      <w:r>
        <w:rPr>
          <w:b/>
          <w:bCs/>
        </w:rPr>
        <w:t xml:space="preserve">Proper</w:t>
      </w:r>
      <w:r>
        <w:rPr>
          <w:b/>
          <w:bCs/>
        </w:rPr>
        <w:t xml:space="preserve"> </w:t>
      </w:r>
      <w:r>
        <w:rPr>
          <w:b/>
          <w:bCs/>
        </w:rPr>
        <w:t xml:space="preserve">Service</w:t>
      </w:r>
      <w:r>
        <w:rPr>
          <w:b/>
          <w:bCs/>
        </w:rPr>
        <w:t xml:space="preserve"> </w:t>
      </w:r>
      <w:r>
        <w:rPr>
          <w:b/>
          <w:bCs/>
        </w:rPr>
        <w:t xml:space="preserve">on</w:t>
      </w:r>
      <w:r>
        <w:rPr>
          <w:b/>
          <w:bCs/>
        </w:rPr>
        <w:t xml:space="preserve"> </w:t>
      </w:r>
      <w:r>
        <w:rPr>
          <w:b/>
          <w:bCs/>
        </w:rPr>
        <w:t xml:space="preserve">QNB.</w:t>
      </w:r>
    </w:p>
    <w:p>
      <w:pPr>
        <w:pStyle w:val="BodyText"/>
      </w:pPr>
      <w:r>
        <w:t xml:space="preserve">Plaintiffs’ own filings acknowledge doubts regarding the legality under Qatari law of a foreign court seeking to serve a civil summons via registered mail or its equivalent. Service of a court summons, by which act the court obtains authority over the party summoned, is an exercise of governmental power, and one state government is generally prohibited from exercising sovereign power in the territory of another without its consent. See</w:t>
      </w:r>
      <w:r>
        <w:t xml:space="preserve"> </w:t>
      </w:r>
      <w:hyperlink r:id="rId15">
        <w:r>
          <w:rPr>
            <w:rStyle w:val="Hyperlink"/>
            <w:i/>
            <w:iCs/>
          </w:rPr>
          <w:t xml:space="preserve">AG of Can. v. R.J. Reynolds Tobacco Holdings, Inc.</w:t>
        </w:r>
        <w:r>
          <w:rPr>
            <w:rStyle w:val="Hyperlink"/>
          </w:rPr>
          <w:t xml:space="preserve">, 268 F.3d 103, 111 n.6 (2d Cir. 2001)</w:t>
        </w:r>
      </w:hyperlink>
      <w:r>
        <w:t xml:space="preserve">.</w:t>
      </w:r>
    </w:p>
    <w:p>
      <w:pPr>
        <w:pStyle w:val="BodyText"/>
      </w:pPr>
      <w:r>
        <w:t xml:space="preserve">To make a prima facie showing of personal jurisdiction over QNB, Plaintiffs must meet three requirements:</w:t>
      </w:r>
      <w:r>
        <w:t xml:space="preserve"> </w:t>
      </w:r>
      <w:r>
        <w:t xml:space="preserve">“First, the plaintiff’s service of process upon the defendant must have been procedurally proper. Second, there must be a statutory basis for personal jurisdiction that renders such service of process effective . . . . Third, the exercise of personal jurisdiction must comport with constitutional due process principles.”</w:t>
      </w:r>
      <w:r>
        <w:t xml:space="preserve"> </w:t>
      </w:r>
      <w:hyperlink r:id="rId16">
        <w:r>
          <w:rPr>
            <w:rStyle w:val="Hyperlink"/>
            <w:i/>
            <w:iCs/>
          </w:rPr>
          <w:t xml:space="preserve">Waldman v. Palestine Liberation Org.</w:t>
        </w:r>
        <w:r>
          <w:rPr>
            <w:rStyle w:val="Hyperlink"/>
          </w:rPr>
          <w:t xml:space="preserve">, 835 F.3d 317, 327 (2d Cir. 2016)</w:t>
        </w:r>
      </w:hyperlink>
      <w:r>
        <w:t xml:space="preserve"> </w:t>
      </w:r>
      <w:r>
        <w:t xml:space="preserve">(quoting</w:t>
      </w:r>
      <w:r>
        <w:t xml:space="preserve"> </w:t>
      </w:r>
      <w:r>
        <w:rPr>
          <w:i/>
          <w:iCs/>
        </w:rPr>
        <w:t xml:space="preserve">Licci I</w:t>
      </w:r>
      <w:r>
        <w:t xml:space="preserve">, 673 F.3d at 59</w:t>
      </w:r>
      <w:r>
        <w:noBreakHyphen/>
      </w:r>
      <w:r>
        <w:t xml:space="preserve">60).</w:t>
      </w:r>
    </w:p>
    <w:p>
      <w:pPr>
        <w:keepNext/>
        <w:keepLines/>
        <w:tabs>
          <w:tab w:val="left" w:pos="1440"/>
        </w:tabs>
        <w:spacing w:before="276" w:after="276" w:line="276" w:lineRule="exact"/>
        <w:ind w:left="1440" w:hanging="720"/>
        <w:jc w:val="left"/>
      </w:pPr>
      <w:r>
        <w:rPr>
          <w:b/>
          <w:bCs/>
        </w:rPr>
        <w:t xml:space="preserve">B.</w:t>
      </w:r>
      <w:r>
        <w:rPr>
          <w:b/>
          <w:bCs/>
        </w:rPr>
        <w:tab/>
      </w:r>
      <w:r>
        <w:rPr>
          <w:b/>
          <w:bCs/>
        </w:rPr>
        <w:t xml:space="preserve">Plaintiffs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Make</w:t>
      </w:r>
      <w:r>
        <w:rPr>
          <w:b/>
          <w:bCs/>
        </w:rPr>
        <w:t xml:space="preserve"> </w:t>
      </w:r>
      <w:r>
        <w:rPr>
          <w:b/>
          <w:bCs/>
        </w:rPr>
        <w:t xml:space="preserve">a</w:t>
      </w:r>
      <w:r>
        <w:rPr>
          <w:b/>
          <w:bCs/>
        </w:rPr>
        <w:t xml:space="preserve"> </w:t>
      </w:r>
      <w:r>
        <w:rPr>
          <w:b/>
          <w:bCs/>
        </w:rPr>
        <w:t xml:space="preserve">Prima</w:t>
      </w:r>
      <w:r>
        <w:rPr>
          <w:b/>
          <w:bCs/>
        </w:rPr>
        <w:t xml:space="preserve"> </w:t>
      </w:r>
      <w:r>
        <w:rPr>
          <w:b/>
          <w:bCs/>
        </w:rPr>
        <w:t xml:space="preserve">Facie</w:t>
      </w:r>
      <w:r>
        <w:rPr>
          <w:b/>
          <w:bCs/>
        </w:rPr>
        <w:t xml:space="preserve"> </w:t>
      </w:r>
      <w:r>
        <w:rPr>
          <w:b/>
          <w:bCs/>
        </w:rPr>
        <w:t xml:space="preserve">Showing</w:t>
      </w:r>
      <w:r>
        <w:rPr>
          <w:b/>
          <w:bCs/>
        </w:rPr>
        <w:t xml:space="preserve"> </w:t>
      </w:r>
      <w:r>
        <w:rPr>
          <w:b/>
          <w:bCs/>
        </w:rPr>
        <w:t xml:space="preserve">that</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Specific</w:t>
      </w:r>
      <w:r>
        <w:rPr>
          <w:b/>
          <w:bCs/>
        </w:rPr>
        <w:t xml:space="preserve"> </w:t>
      </w:r>
      <w:r>
        <w:rPr>
          <w:b/>
          <w:bCs/>
        </w:rPr>
        <w:t xml:space="preserve">Personal</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QNB</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New</w:t>
      </w:r>
      <w:r>
        <w:rPr>
          <w:b/>
          <w:bCs/>
        </w:rPr>
        <w:t xml:space="preserve"> </w:t>
      </w:r>
      <w:r>
        <w:rPr>
          <w:b/>
          <w:bCs/>
        </w:rPr>
        <w:t xml:space="preserve">York’s</w:t>
      </w:r>
      <w:r>
        <w:rPr>
          <w:b/>
          <w:bCs/>
        </w:rPr>
        <w:t xml:space="preserve"> </w:t>
      </w:r>
      <w:r>
        <w:rPr>
          <w:b/>
          <w:bCs/>
        </w:rPr>
        <w:t xml:space="preserve">Long-Arm</w:t>
      </w:r>
      <w:r>
        <w:rPr>
          <w:b/>
          <w:bCs/>
        </w:rPr>
        <w:t xml:space="preserve"> </w:t>
      </w:r>
      <w:r>
        <w:rPr>
          <w:b/>
          <w:bCs/>
        </w:rPr>
        <w:t xml:space="preserve">Statute.</w:t>
      </w:r>
    </w:p>
    <w:p>
      <w:pPr>
        <w:keepNext/>
        <w:keepLines/>
        <w:tabs>
          <w:tab w:val="left" w:pos="2160"/>
        </w:tabs>
        <w:spacing w:before="276" w:after="276" w:line="276" w:lineRule="exact"/>
        <w:ind w:left="2160" w:hanging="720"/>
        <w:jc w:val="left"/>
      </w:pPr>
      <w:r>
        <w:rPr>
          <w:b/>
          <w:bCs/>
        </w:rPr>
        <w:t xml:space="preserve">1.</w:t>
      </w:r>
      <w:r>
        <w:rPr>
          <w:b/>
          <w:bCs/>
        </w:rPr>
        <w:tab/>
      </w:r>
      <w:r>
        <w:rPr>
          <w:b/>
          <w:bCs/>
        </w:rPr>
        <w:t xml:space="preserve">Plaintiffs’</w:t>
      </w:r>
      <w:r>
        <w:rPr>
          <w:b/>
          <w:bCs/>
        </w:rPr>
        <w:t xml:space="preserve"> </w:t>
      </w:r>
      <w:r>
        <w:rPr>
          <w:b/>
          <w:bCs/>
        </w:rPr>
        <w:t xml:space="preserve">Jurisdictional</w:t>
      </w:r>
      <w:r>
        <w:rPr>
          <w:b/>
          <w:bCs/>
        </w:rPr>
        <w:t xml:space="preserve"> </w:t>
      </w:r>
      <w:r>
        <w:rPr>
          <w:b/>
          <w:bCs/>
        </w:rPr>
        <w:t xml:space="preserve">Allegations</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QNB</w:t>
      </w:r>
    </w:p>
    <w:p>
      <w:pPr>
        <w:pStyle w:val="BodyText"/>
      </w:pPr>
      <w:r>
        <w:t xml:space="preserve">Plaintiffs’ Complaint, however, as well as their pre-motion letter, is bereft of any specific allegation that QNB transferred any funds through any New York bank, much less that QNB transferred Qatar Charity funds through a New York correspondent bank in direct support of the terrorist acts alleged in the Complaint. In an effort to overcome this deficiency, Plaintiffs invoke a</w:t>
      </w:r>
      <w:r>
        <w:t xml:space="preserve"> </w:t>
      </w:r>
      <w:r>
        <w:t xml:space="preserve">“conspiracy theory”</w:t>
      </w:r>
      <w:r>
        <w:t xml:space="preserve"> </w:t>
      </w:r>
      <w:r>
        <w:t xml:space="preserve">of personal jurisdiction, whereby Plaintiffs seek to attribute to QNB the alleged transfers of Qatar Charity funds through New York by co-defendant MAR.</w:t>
      </w:r>
      <w:r>
        <w:t xml:space="preserve"> </w:t>
      </w:r>
      <w:hyperlink r:id="rId17">
        <w:r>
          <w:rPr>
            <w:rStyle w:val="Hyperlink"/>
            <w:i/>
            <w:iCs/>
          </w:rPr>
          <w:t xml:space="preserve">Suber v. VVP Servs., LLC</w:t>
        </w:r>
        <w:r>
          <w:rPr>
            <w:rStyle w:val="Hyperlink"/>
          </w:rPr>
          <w:t xml:space="preserve">, No. 20-cv</w:t>
        </w:r>
        <w:r>
          <w:noBreakHyphen/>
        </w:r>
        <w:r>
          <w:rPr>
            <w:rStyle w:val="Hyperlink"/>
          </w:rPr>
          <w:t xml:space="preserve">8177 (AJN), 2021 WL 4429237, at *6 (S.D.N.Y. Sept. 27, 2021)</w:t>
        </w:r>
      </w:hyperlink>
      <w:r>
        <w:t xml:space="preserve"> </w:t>
      </w:r>
      <w:r>
        <w:t xml:space="preserve">(</w:t>
      </w:r>
      <w:r>
        <w:t xml:space="preserve">“[T]he conspiracy theory of jurisdiction is not available under section 302(a)⁠(1)”</w:t>
      </w:r>
      <w:r>
        <w:t xml:space="preserve">).</w:t>
      </w:r>
    </w:p>
    <w:p>
      <w:pPr>
        <w:pStyle w:val="BodyText"/>
      </w:pPr>
      <w:r>
        <w:t xml:space="preserve">Plaintiffs do not assert a theory of general jurisdiction over QNB, nor could they. QNB is decidedly not</w:t>
      </w:r>
      <w:r>
        <w:t xml:space="preserve"> </w:t>
      </w:r>
      <w:r>
        <w:t xml:space="preserve">“at home”</w:t>
      </w:r>
      <w:r>
        <w:t xml:space="preserve"> </w:t>
      </w:r>
      <w:r>
        <w:t xml:space="preserve">in New York; it is incorporated in Qatar and has its principal place of business in Doha, Qatar.</w:t>
      </w:r>
      <w:r>
        <w:rPr>
          <w:rStyle w:val="FootnoteReference"/>
        </w:rPr>
        <w:footnoteReference w:id="18"/>
      </w:r>
      <w:r>
        <w:t xml:space="preserve"> </w:t>
      </w:r>
      <w:r>
        <w:t xml:space="preserve">See</w:t>
      </w:r>
      <w:r>
        <w:t xml:space="preserve"> </w:t>
      </w:r>
      <w:hyperlink r:id="rId20">
        <w:r>
          <w:rPr>
            <w:rStyle w:val="Hyperlink"/>
            <w:i/>
            <w:iCs/>
          </w:rPr>
          <w:t xml:space="preserve">Weiss v. Nat’l Westminster Bank, PLC</w:t>
        </w:r>
        <w:r>
          <w:rPr>
            <w:rStyle w:val="Hyperlink"/>
          </w:rPr>
          <w:t xml:space="preserve">, 176 F. Supp. 3d 264, 277 (E.D.N.Y. 2016)</w:t>
        </w:r>
      </w:hyperlink>
      <w:r>
        <w:t xml:space="preserve">.</w:t>
      </w:r>
    </w:p>
    <w:p>
      <w:pPr>
        <w:pStyle w:val="BodyText"/>
      </w:pPr>
      <w:r>
        <w:t xml:space="preserve">While not addressed in Plaintiffs’ pre-motion letter, the Complaint alleges two additional statutory bases for personal jurisdiction: (i) minimum contacts with the United States as a whole pursuant to</w:t>
      </w:r>
      <w:r>
        <w:t xml:space="preserve"> </w:t>
      </w:r>
      <w:hyperlink r:id="rId21">
        <w:r>
          <w:rPr>
            <w:rStyle w:val="Hyperlink"/>
          </w:rPr>
          <w:t xml:space="preserve">Fed. R. Civ. P. 4(k)⁠(2)</w:t>
        </w:r>
      </w:hyperlink>
      <w:r>
        <w:t xml:space="preserve"> </w:t>
      </w:r>
      <w:r>
        <w:t xml:space="preserve">and (ii) service of process as provided under the ATA. These are also insufficient bases to establish personal jurisdiction over QNB. The ATA provides that</w:t>
      </w:r>
      <w:r>
        <w:t xml:space="preserve"> </w:t>
      </w:r>
      <w:r>
        <w:t xml:space="preserve">“any civil action under section 2333 of this title against any person may be instituted in the district court of the United States for any district where any plaintiff resides or where any defendant resides or is served, or has an agent.”</w:t>
      </w:r>
      <w:r>
        <w:t xml:space="preserve"> </w:t>
      </w:r>
      <w:hyperlink r:id="rId22">
        <w:r>
          <w:rPr>
            <w:rStyle w:val="Hyperlink"/>
          </w:rPr>
          <w:t xml:space="preserve">18 U.S.C. § 2334(a)</w:t>
        </w:r>
      </w:hyperlink>
      <w:r>
        <w:t xml:space="preserve">. QNB does not reside or have an agent in the Eastern District of New York, and Plaintiffs do not reside nor have they served QNB in this district.</w:t>
      </w:r>
    </w:p>
    <w:p>
      <w:pPr>
        <w:keepNext/>
        <w:keepLines/>
        <w:tabs>
          <w:tab w:val="left" w:pos="2160"/>
        </w:tabs>
        <w:spacing w:before="276" w:after="276" w:line="276" w:lineRule="exact"/>
        <w:ind w:left="2160" w:hanging="720"/>
        <w:jc w:val="left"/>
      </w:pPr>
      <w:r>
        <w:rPr>
          <w:b/>
          <w:bCs/>
        </w:rPr>
        <w:t xml:space="preserve">2.</w:t>
      </w:r>
      <w:r>
        <w:rPr>
          <w:b/>
          <w:bCs/>
        </w:rPr>
        <w:tab/>
      </w:r>
      <w:r>
        <w:rPr>
          <w:b/>
          <w:bCs/>
        </w:rPr>
        <w:t xml:space="preserve">Plaintiffs’</w:t>
      </w:r>
      <w:r>
        <w:rPr>
          <w:b/>
          <w:bCs/>
        </w:rPr>
        <w:t xml:space="preserve"> </w:t>
      </w:r>
      <w:r>
        <w:rPr>
          <w:b/>
          <w:bCs/>
        </w:rPr>
        <w:t xml:space="preserve">“</w:t>
      </w:r>
      <w:r>
        <w:rPr>
          <w:b/>
          <w:bCs/>
        </w:rPr>
        <w:t xml:space="preserve">Conspiracy</w:t>
      </w:r>
      <w:r>
        <w:rPr>
          <w:b/>
          <w:bCs/>
        </w:rPr>
        <w:t xml:space="preserve"> </w:t>
      </w:r>
      <w:r>
        <w:rPr>
          <w:b/>
          <w:bCs/>
        </w:rPr>
        <w:t xml:space="preserve">Theory</w:t>
      </w:r>
      <w:r>
        <w:rPr>
          <w:b/>
          <w:bCs/>
        </w:rPr>
        <w:t xml:space="preserve">”</w:t>
      </w:r>
      <w:r>
        <w:rPr>
          <w:b/>
          <w:bCs/>
        </w:rPr>
        <w:t xml:space="preserve"> </w:t>
      </w:r>
      <w:r>
        <w:rPr>
          <w:b/>
          <w:bCs/>
        </w:rPr>
        <w:t xml:space="preserve">of</w:t>
      </w:r>
      <w:r>
        <w:rPr>
          <w:b/>
          <w:bCs/>
        </w:rPr>
        <w:t xml:space="preserve"> </w:t>
      </w:r>
      <w:r>
        <w:rPr>
          <w:b/>
          <w:bCs/>
        </w:rPr>
        <w:t xml:space="preserve">Specific</w:t>
      </w:r>
      <w:r>
        <w:rPr>
          <w:b/>
          <w:bCs/>
        </w:rPr>
        <w:t xml:space="preserve"> </w:t>
      </w:r>
      <w:r>
        <w:rPr>
          <w:b/>
          <w:bCs/>
        </w:rPr>
        <w:t xml:space="preserve">Personal</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QNB</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Cognizable</w:t>
      </w:r>
      <w:r>
        <w:rPr>
          <w:b/>
          <w:bCs/>
        </w:rPr>
        <w:t xml:space="preserve"> </w:t>
      </w:r>
      <w:r>
        <w:rPr>
          <w:b/>
          <w:bCs/>
        </w:rPr>
        <w:t xml:space="preserve">Under</w:t>
      </w:r>
      <w:r>
        <w:rPr>
          <w:b/>
          <w:bCs/>
        </w:rPr>
        <w:t xml:space="preserve"> </w:t>
      </w:r>
      <w:r>
        <w:rPr>
          <w:b/>
          <w:bCs/>
        </w:rPr>
        <w:t xml:space="preserve">Section</w:t>
      </w:r>
      <w:r>
        <w:rPr>
          <w:b/>
          <w:bCs/>
        </w:rPr>
        <w:t xml:space="preserve"> </w:t>
      </w:r>
      <w:r>
        <w:rPr>
          <w:b/>
          <w:bCs/>
        </w:rPr>
        <w:t xml:space="preserve">302(a)⁠(1)</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York’s</w:t>
      </w:r>
      <w:r>
        <w:rPr>
          <w:b/>
          <w:bCs/>
        </w:rPr>
        <w:t xml:space="preserve"> </w:t>
      </w:r>
      <w:r>
        <w:rPr>
          <w:b/>
          <w:bCs/>
        </w:rPr>
        <w:t xml:space="preserve">Long-Arm</w:t>
      </w:r>
      <w:r>
        <w:rPr>
          <w:b/>
          <w:bCs/>
        </w:rPr>
        <w:t xml:space="preserve"> </w:t>
      </w:r>
      <w:r>
        <w:rPr>
          <w:b/>
          <w:bCs/>
        </w:rPr>
        <w:t xml:space="preserve">Statute.</w:t>
      </w:r>
    </w:p>
    <w:p>
      <w:pPr>
        <w:pStyle w:val="BodyText"/>
      </w:pPr>
      <w:r>
        <w:t xml:space="preserve">Plaintiffs rely solely upon</w:t>
      </w:r>
      <w:r>
        <w:t xml:space="preserve"> </w:t>
      </w:r>
      <w:hyperlink r:id="rId23">
        <w:r>
          <w:rPr>
            <w:rStyle w:val="Hyperlink"/>
          </w:rPr>
          <w:t xml:space="preserve">C.P.L.R. 302(a)⁠(1)</w:t>
        </w:r>
      </w:hyperlink>
      <w:r>
        <w:t xml:space="preserve"> </w:t>
      </w:r>
      <w:r>
        <w:t xml:space="preserve">to assert personal jurisdiction over QNB. To exercise personal jurisdiction under C.P.L.R. 302(a)⁠(1), the Court must determine</w:t>
      </w:r>
      <w:r>
        <w:t xml:space="preserve"> </w:t>
      </w:r>
      <w:r>
        <w:t xml:space="preserve">“(1) whether the defendant</w:t>
      </w:r>
      <w:r>
        <w:t xml:space="preserve"> </w:t>
      </w:r>
      <w:r>
        <w:t xml:space="preserve">‘transacts any business’</w:t>
      </w:r>
      <w:r>
        <w:t xml:space="preserve"> </w:t>
      </w:r>
      <w:r>
        <w:t xml:space="preserve">in New York and, if so, (2) whether this cause of action</w:t>
      </w:r>
      <w:r>
        <w:t xml:space="preserve"> </w:t>
      </w:r>
      <w:r>
        <w:t xml:space="preserve">‘aris[es] from’</w:t>
      </w:r>
      <w:r>
        <w:t xml:space="preserve"> </w:t>
      </w:r>
      <w:r>
        <w:t xml:space="preserve">such a business transaction.”</w:t>
      </w:r>
      <w:r>
        <w:t xml:space="preserve"> </w:t>
      </w:r>
      <w:hyperlink r:id="rId14">
        <w:r>
          <w:rPr>
            <w:rStyle w:val="Hyperlink"/>
            <w:i/>
            <w:iCs/>
          </w:rPr>
          <w:t xml:space="preserve">Licci I</w:t>
        </w:r>
        <w:r>
          <w:rPr>
            <w:rStyle w:val="Hyperlink"/>
          </w:rPr>
          <w:t xml:space="preserve">, 673 F.3d at 60</w:t>
        </w:r>
      </w:hyperlink>
      <w:r>
        <w:t xml:space="preserve"> </w:t>
      </w:r>
      <w:r>
        <w:t xml:space="preserve">(quoting</w:t>
      </w:r>
      <w:r>
        <w:t xml:space="preserve"> </w:t>
      </w:r>
      <w:r>
        <w:rPr>
          <w:i/>
          <w:iCs/>
        </w:rPr>
        <w:t xml:space="preserve">Best Van Lines, Inc. v. Walker</w:t>
      </w:r>
      <w:r>
        <w:t xml:space="preserve">, 490 F.3d 239, 246 (2d Cir. 2007)). The Second Circuit has explained that</w:t>
      </w:r>
      <w:r>
        <w:t xml:space="preserve"> </w:t>
      </w:r>
      <w:r>
        <w:t xml:space="preserve">“the overriding criterion necessary to establish a transaction of business is some act by which the defendant purposefully avails itself of the privilege of conducting activities within New York.”</w:t>
      </w:r>
      <w:r>
        <w:t xml:space="preserve"> </w:t>
      </w:r>
      <w:r>
        <w:rPr>
          <w:i/>
          <w:iCs/>
        </w:rPr>
        <w:t xml:space="preserve">Licci I</w:t>
      </w:r>
      <w:r>
        <w:t xml:space="preserve">, 673 F.3d at 61 (internal quotation marks omitted).</w:t>
      </w:r>
    </w:p>
    <w:p>
      <w:pPr>
        <w:pStyle w:val="BodyText"/>
      </w:pPr>
      <w:r>
        <w:t xml:space="preserve">Plaintiffs’ collective pleading against</w:t>
      </w:r>
      <w:r>
        <w:t xml:space="preserve"> </w:t>
      </w:r>
      <w:r>
        <w:t xml:space="preserve">“Defendants”</w:t>
      </w:r>
      <w:r>
        <w:t xml:space="preserve"> </w:t>
      </w:r>
      <w:r>
        <w:t xml:space="preserve">generally contributes nothing to the jurisdictional analysis. As the Second Circuit has made clear, such allegations against defendants in the aggregate are not cognizable in a jurisdictional analysis. See</w:t>
      </w:r>
      <w:r>
        <w:t xml:space="preserve"> </w:t>
      </w:r>
      <w:hyperlink r:id="rId24">
        <w:r>
          <w:rPr>
            <w:rStyle w:val="Hyperlink"/>
            <w:i/>
            <w:iCs/>
          </w:rPr>
          <w:t xml:space="preserve">Charles Schwab Corp. v. Bank of Am. Corp.</w:t>
        </w:r>
        <w:r>
          <w:rPr>
            <w:rStyle w:val="Hyperlink"/>
          </w:rPr>
          <w:t xml:space="preserve"> </w:t>
        </w:r>
        <w:r>
          <w:rPr>
            <w:rStyle w:val="Hyperlink"/>
          </w:rPr>
          <w:t xml:space="preserve">(</w:t>
        </w:r>
        <w:r>
          <w:rPr>
            <w:rStyle w:val="Hyperlink"/>
            <w:i/>
            <w:iCs/>
          </w:rPr>
          <w:t xml:space="preserve">Schwab I</w:t>
        </w:r>
        <w:r>
          <w:rPr>
            <w:rStyle w:val="Hyperlink"/>
          </w:rPr>
          <w:t xml:space="preserve">), 883 F.3d 68, 84 (2d Cir. 2018)</w:t>
        </w:r>
      </w:hyperlink>
      <w:r>
        <w:t xml:space="preserve"> </w:t>
      </w:r>
      <w:r>
        <w:t xml:space="preserve">(allegations that</w:t>
      </w:r>
      <w:r>
        <w:t xml:space="preserve"> </w:t>
      </w:r>
      <w:r>
        <w:t xml:space="preserve">“refer[] to only the grouped entities throughout [a] complaint”</w:t>
      </w:r>
      <w:r>
        <w:t xml:space="preserve"> </w:t>
      </w:r>
      <w:r>
        <w:t xml:space="preserve">are</w:t>
      </w:r>
      <w:r>
        <w:t xml:space="preserve"> </w:t>
      </w:r>
      <w:r>
        <w:t xml:space="preserve">“insufficiently</w:t>
      </w:r>
      <w:r>
        <w:t xml:space="preserve"> </w:t>
      </w:r>
      <w:r>
        <w:t xml:space="preserve">‘individualized’</w:t>
      </w:r>
      <w:r>
        <w:t xml:space="preserve">”</w:t>
      </w:r>
      <w:r>
        <w:t xml:space="preserve">).</w:t>
      </w:r>
    </w:p>
    <w:p>
      <w:pPr>
        <w:pStyle w:val="BodyText"/>
      </w:pPr>
      <w:r>
        <w:t xml:space="preserve">Here, the Complaint is devoid of a single allegation that QNB itself had any contact with New York, much less transacted business in New York that gave rise to Plaintiffs’ injuries. As the Supreme Court has instructed, a district court must look to the</w:t>
      </w:r>
      <w:r>
        <w:t xml:space="preserve"> </w:t>
      </w:r>
      <w:r>
        <w:t xml:space="preserve">“contacts that the defendant himself creates with the forum.”</w:t>
      </w:r>
      <w:r>
        <w:t xml:space="preserve"> </w:t>
      </w:r>
      <w:hyperlink r:id="rId13">
        <w:r>
          <w:rPr>
            <w:rStyle w:val="Hyperlink"/>
            <w:i/>
            <w:iCs/>
          </w:rPr>
          <w:t xml:space="preserve">Walden</w:t>
        </w:r>
        <w:r>
          <w:rPr>
            <w:rStyle w:val="Hyperlink"/>
          </w:rPr>
          <w:t xml:space="preserve">, 571 U.S. at 284</w:t>
        </w:r>
      </w:hyperlink>
      <w:r>
        <w:t xml:space="preserve"> </w:t>
      </w:r>
      <w:r>
        <w:t xml:space="preserve">(internal quotation marks omitted). The Complaint does not allege that QNB ever effectuated or directed even one fund transfer through New York, let alone that QNB used a correspondent bank account in New York to effect a fund transfer on behalf of Qatar Charity.</w:t>
      </w:r>
    </w:p>
    <w:p>
      <w:pPr>
        <w:keepNext/>
        <w:keepLines/>
        <w:tabs>
          <w:tab w:val="left" w:pos="1440"/>
        </w:tabs>
        <w:spacing w:before="276" w:after="276" w:line="276" w:lineRule="exact"/>
        <w:ind w:left="1440" w:hanging="720"/>
        <w:jc w:val="left"/>
      </w:pPr>
      <w:r>
        <w:rPr>
          <w:b/>
          <w:bCs/>
        </w:rPr>
        <w:t xml:space="preserve">C.</w:t>
      </w:r>
      <w:r>
        <w:rPr>
          <w:b/>
          <w:bCs/>
        </w:rPr>
        <w:tab/>
      </w:r>
      <w:r>
        <w:rPr>
          <w:b/>
          <w:bCs/>
        </w:rPr>
        <w:t xml:space="preserve">Plaintiffs’</w:t>
      </w:r>
      <w:r>
        <w:rPr>
          <w:b/>
          <w:bCs/>
        </w:rPr>
        <w:t xml:space="preserve"> </w:t>
      </w:r>
      <w:r>
        <w:rPr>
          <w:b/>
          <w:bCs/>
        </w:rPr>
        <w:t xml:space="preserve">“</w:t>
      </w:r>
      <w:r>
        <w:rPr>
          <w:b/>
          <w:bCs/>
        </w:rPr>
        <w:t xml:space="preserve">Conspiracy</w:t>
      </w:r>
      <w:r>
        <w:rPr>
          <w:b/>
          <w:bCs/>
        </w:rPr>
        <w:t xml:space="preserve"> </w:t>
      </w:r>
      <w:r>
        <w:rPr>
          <w:b/>
          <w:bCs/>
        </w:rPr>
        <w:t xml:space="preserve">Theory</w:t>
      </w:r>
      <w:r>
        <w:rPr>
          <w:b/>
          <w:bCs/>
        </w:rPr>
        <w:t xml:space="preserve">”</w:t>
      </w:r>
      <w:r>
        <w:rPr>
          <w:b/>
          <w:bCs/>
        </w:rPr>
        <w:t xml:space="preserve"> </w:t>
      </w:r>
      <w:r>
        <w:rPr>
          <w:b/>
          <w:bCs/>
        </w:rPr>
        <w:t xml:space="preserve">of</w:t>
      </w:r>
      <w:r>
        <w:rPr>
          <w:b/>
          <w:bCs/>
        </w:rPr>
        <w:t xml:space="preserve"> </w:t>
      </w:r>
      <w:r>
        <w:rPr>
          <w:b/>
          <w:bCs/>
        </w:rPr>
        <w:t xml:space="preserve">Personal</w:t>
      </w:r>
      <w:r>
        <w:rPr>
          <w:b/>
          <w:bCs/>
        </w:rPr>
        <w:t xml:space="preserve"> </w:t>
      </w:r>
      <w:r>
        <w:rPr>
          <w:b/>
          <w:bCs/>
        </w:rPr>
        <w:t xml:space="preserve">Jurisdiction</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Consistent</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Requirements</w:t>
      </w:r>
      <w:r>
        <w:rPr>
          <w:b/>
          <w:bCs/>
        </w:rPr>
        <w:t xml:space="preserve"> </w:t>
      </w:r>
      <w:r>
        <w:rPr>
          <w:b/>
          <w:bCs/>
        </w:rPr>
        <w:t xml:space="preserve">of</w:t>
      </w:r>
      <w:r>
        <w:rPr>
          <w:b/>
          <w:bCs/>
        </w:rPr>
        <w:t xml:space="preserve"> </w:t>
      </w:r>
      <w:r>
        <w:rPr>
          <w:b/>
          <w:bCs/>
        </w:rPr>
        <w:t xml:space="preserve">Due</w:t>
      </w:r>
      <w:r>
        <w:rPr>
          <w:b/>
          <w:bCs/>
        </w:rPr>
        <w:t xml:space="preserve"> </w:t>
      </w:r>
      <w:r>
        <w:rPr>
          <w:b/>
          <w:bCs/>
        </w:rPr>
        <w:t xml:space="preserve">Process.</w:t>
      </w:r>
    </w:p>
    <w:p>
      <w:pPr>
        <w:pStyle w:val="BodyText"/>
      </w:pPr>
      <w:r>
        <w:t xml:space="preserve">Even if Plaintiffs could satisfy the statutory requirements, the exercise of jurisdiction over QNB would offend due process. The Complaint contains no allegation that QNB exercised any control over any other defendant or directed them to transfer funds through New York. Plaintiffs’ allegation that QNB and MAR were</w:t>
      </w:r>
      <w:r>
        <w:t xml:space="preserve"> </w:t>
      </w:r>
      <w:r>
        <w:t xml:space="preserve">“connected”</w:t>
      </w:r>
      <w:r>
        <w:t xml:space="preserve"> </w:t>
      </w:r>
      <w:r>
        <w:t xml:space="preserve">through a common association with Qatar Charity and the Qatar government would not establish control by QNB of MAR’s alleged contacts with New York, even if it were true.</w:t>
      </w:r>
    </w:p>
    <w:p>
      <w:pPr>
        <w:keepNext/>
        <w:keepLines/>
        <w:tabs>
          <w:tab w:val="left" w:pos="720"/>
        </w:tabs>
        <w:spacing w:before="276" w:after="276" w:line="276" w:lineRule="exact"/>
        <w:ind w:left="720" w:hanging="720"/>
        <w:jc w:val="left"/>
      </w:pPr>
      <w:r>
        <w:rPr>
          <w:b/>
          <w:bCs/>
        </w:rPr>
        <w:t xml:space="preserve">II.</w:t>
      </w:r>
      <w:r>
        <w:rPr>
          <w:b/>
          <w:bCs/>
        </w:rPr>
        <w:tab/>
      </w:r>
      <w:r>
        <w:rPr>
          <w:b/>
          <w:bCs/>
        </w:rPr>
        <w:t xml:space="preserve">PLAINTIFFS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THAT</w:t>
      </w:r>
      <w:r>
        <w:rPr>
          <w:b/>
          <w:bCs/>
        </w:rPr>
        <w:t xml:space="preserve"> </w:t>
      </w:r>
      <w:r>
        <w:rPr>
          <w:b/>
          <w:bCs/>
        </w:rPr>
        <w:t xml:space="preserve">QNB</w:t>
      </w:r>
      <w:r>
        <w:rPr>
          <w:b/>
          <w:bCs/>
        </w:rPr>
        <w:t xml:space="preserve"> </w:t>
      </w:r>
      <w:r>
        <w:rPr>
          <w:b/>
          <w:bCs/>
        </w:rPr>
        <w:t xml:space="preserve">IS</w:t>
      </w:r>
      <w:r>
        <w:rPr>
          <w:b/>
          <w:bCs/>
        </w:rPr>
        <w:t xml:space="preserve"> </w:t>
      </w:r>
      <w:r>
        <w:rPr>
          <w:b/>
          <w:bCs/>
        </w:rPr>
        <w:t xml:space="preserve">SECONDARILY</w:t>
      </w:r>
      <w:r>
        <w:rPr>
          <w:b/>
          <w:bCs/>
        </w:rPr>
        <w:t xml:space="preserve"> </w:t>
      </w:r>
      <w:r>
        <w:rPr>
          <w:b/>
          <w:bCs/>
        </w:rPr>
        <w:t xml:space="preserve">LIABLE</w:t>
      </w:r>
      <w:r>
        <w:rPr>
          <w:b/>
          <w:bCs/>
        </w:rPr>
        <w:t xml:space="preserve"> </w:t>
      </w:r>
      <w:r>
        <w:rPr>
          <w:b/>
          <w:bCs/>
        </w:rPr>
        <w:t xml:space="preserve">UNDER</w:t>
      </w:r>
      <w:r>
        <w:rPr>
          <w:b/>
          <w:bCs/>
        </w:rPr>
        <w:t xml:space="preserve"> </w:t>
      </w:r>
      <w:r>
        <w:rPr>
          <w:b/>
          <w:bCs/>
        </w:rPr>
        <w:t xml:space="preserve">18</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2333(D)</w:t>
      </w:r>
      <w:r>
        <w:rPr>
          <w:b/>
          <w:bCs/>
        </w:rPr>
        <w:t xml:space="preserve"> </w:t>
      </w:r>
      <w:r>
        <w:rPr>
          <w:b/>
          <w:bCs/>
        </w:rPr>
        <w:t xml:space="preserve">FOR</w:t>
      </w:r>
      <w:r>
        <w:rPr>
          <w:b/>
          <w:bCs/>
        </w:rPr>
        <w:t xml:space="preserve"> </w:t>
      </w:r>
      <w:r>
        <w:rPr>
          <w:b/>
          <w:bCs/>
        </w:rPr>
        <w:t xml:space="preserve">AIDING</w:t>
      </w:r>
      <w:r>
        <w:rPr>
          <w:b/>
          <w:bCs/>
        </w:rPr>
        <w:t xml:space="preserve"> </w:t>
      </w:r>
      <w:r>
        <w:rPr>
          <w:b/>
          <w:bCs/>
        </w:rPr>
        <w:t xml:space="preserve">AND</w:t>
      </w:r>
      <w:r>
        <w:rPr>
          <w:b/>
          <w:bCs/>
        </w:rPr>
        <w:t xml:space="preserve"> </w:t>
      </w:r>
      <w:r>
        <w:rPr>
          <w:b/>
          <w:bCs/>
        </w:rPr>
        <w:t xml:space="preserve">ABETTING.</w:t>
      </w:r>
    </w:p>
    <w:p>
      <w:pPr>
        <w:pStyle w:val="BodyText"/>
      </w:pPr>
      <w:r>
        <w:t xml:space="preserve">The Complaint’s reliance on unsourced allegations does not satisfy the general-awareness requirement for aiding and abetting liability. Plaintiffs do not plausibly allege that QNB was</w:t>
      </w:r>
      <w:r>
        <w:t xml:space="preserve"> </w:t>
      </w:r>
      <w:r>
        <w:t xml:space="preserve">“generally aware while it was providing banking services to [Qatar Charity and the individual accountholders] that it was playing a role in unlawful activities from which [the various] attacks were foreseeable.”</w:t>
      </w:r>
      <w:r>
        <w:t xml:space="preserve"> </w:t>
      </w:r>
      <w:hyperlink r:id="rId25">
        <w:r>
          <w:rPr>
            <w:rStyle w:val="Hyperlink"/>
            <w:i/>
            <w:iCs/>
          </w:rPr>
          <w:t xml:space="preserve">Honickman v. BLOM Bank SAL</w:t>
        </w:r>
        <w:r>
          <w:rPr>
            <w:rStyle w:val="Hyperlink"/>
          </w:rPr>
          <w:t xml:space="preserve">, 6 F.4th 487, 499 (2d Cir. 2021)</w:t>
        </w:r>
      </w:hyperlink>
      <w:r>
        <w:t xml:space="preserve"> </w:t>
      </w:r>
      <w:r>
        <w:t xml:space="preserve">(quoting</w:t>
      </w:r>
      <w:r>
        <w:t xml:space="preserve"> </w:t>
      </w:r>
      <w:hyperlink r:id="rId26">
        <w:r>
          <w:rPr>
            <w:rStyle w:val="Hyperlink"/>
            <w:i/>
            <w:iCs/>
          </w:rPr>
          <w:t xml:space="preserve">Kaplan v. Lebanese Canadian Bank, SAL</w:t>
        </w:r>
        <w:r>
          <w:rPr>
            <w:rStyle w:val="Hyperlink"/>
          </w:rPr>
          <w:t xml:space="preserve">, 999 F.3d 842, 860</w:t>
        </w:r>
        <w:r>
          <w:noBreakHyphen/>
        </w:r>
        <w:r>
          <w:rPr>
            <w:rStyle w:val="Hyperlink"/>
          </w:rPr>
          <w:t xml:space="preserve">61 (2d Cir. 2021)</w:t>
        </w:r>
      </w:hyperlink>
      <w:r>
        <w:t xml:space="preserve">). An unsupported allegation concerning confidential government documents unavailable to QNB hardly gives rise to an inference that QNB was</w:t>
      </w:r>
      <w:r>
        <w:t xml:space="preserve"> </w:t>
      </w:r>
      <w:r>
        <w:t xml:space="preserve">“generally aware”</w:t>
      </w:r>
      <w:r>
        <w:t xml:space="preserve"> </w:t>
      </w:r>
      <w:r>
        <w:t xml:space="preserve">of its customer’s alleged ties to terrorism.</w:t>
      </w:r>
      <w:r>
        <w:rPr>
          <w:rStyle w:val="FootnoteReference"/>
        </w:rPr>
        <w:footnoteReference w:id="27"/>
      </w:r>
    </w:p>
    <w:p>
      <w:pPr>
        <w:pStyle w:val="BodyText"/>
      </w:pPr>
      <w:r>
        <w:t xml:space="preserve">Nor does the Complaint plausibly allege that the terrorist incidents at issue were a foreseeable result of QNB’s</w:t>
      </w:r>
      <w:r>
        <w:t xml:space="preserve"> </w:t>
      </w:r>
      <w:r>
        <w:t xml:space="preserve">“maintaining”</w:t>
      </w:r>
      <w:r>
        <w:t xml:space="preserve"> </w:t>
      </w:r>
      <w:r>
        <w:t xml:space="preserve">bank accounts for Qatar Charity, as JASTA would require. The six factors relevant to whether a defendant knowingly and substantially assisted the principal violation all favor QNB. See</w:t>
      </w:r>
      <w:r>
        <w:t xml:space="preserve"> </w:t>
      </w:r>
      <w:hyperlink r:id="rId25">
        <w:r>
          <w:rPr>
            <w:rStyle w:val="Hyperlink"/>
            <w:i/>
            <w:iCs/>
          </w:rPr>
          <w:t xml:space="preserve">Honickman</w:t>
        </w:r>
        <w:r>
          <w:rPr>
            <w:rStyle w:val="Hyperlink"/>
          </w:rPr>
          <w:t xml:space="preserve">, 6 F.4th at 499</w:t>
        </w:r>
      </w:hyperlink>
      <w:r>
        <w:t xml:space="preserve">.</w:t>
      </w:r>
    </w:p>
    <w:p>
      <w:pPr>
        <w:keepNext/>
        <w:keepLines/>
        <w:spacing w:before="276" w:after="276" w:line="276" w:lineRule="exact"/>
        <w:ind w:left="0" w:firstLine="0"/>
        <w:jc w:val="center"/>
      </w:pPr>
      <w:r>
        <w:rPr>
          <w:b/>
          <w:bCs/>
        </w:rPr>
        <w:t xml:space="preserve">CONCLUSION</w:t>
      </w:r>
    </w:p>
    <w:p>
      <w:pPr>
        <w:pStyle w:val="BodyTextKeep"/>
      </w:pPr>
      <w:r>
        <w:t xml:space="preserve">For the foregoing reasons, Qatar National Bank respectfully submits that the Court should grant in full its Motion to Dismiss Plaintiffs’ Complaint with prejudice.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480" w:after="0" w:line="276" w:lineRule="exact"/>
              <w:ind w:left="0" w:firstLine="0"/>
              <w:jc w:val="left"/>
            </w:pPr>
            <w:r>
              <w:t xml:space="preserve">Dated: </w:t>
            </w:r>
            <w:r>
              <w:t xml:space="preserve">February</w:t>
            </w:r>
            <w:r>
              <w:t xml:space="preserve"> </w:t>
            </w:r>
            <w:r>
              <w:t xml:space="preserve">14,</w:t>
            </w:r>
            <w:r>
              <w:t xml:space="preserve"> </w:t>
            </w:r>
            <w:r>
              <w:t xml:space="preserve">2022</w:t>
            </w:r>
          </w:p>
        </w:tc>
        <w:tc>
          <w:tcPr>
            <w:tcW w:w="4608" w:type="dxa"/>
          </w:tcPr>
          <w:p>
            <w:pPr>
              <w:spacing w:before="480" w:after="0" w:line="276" w:lineRule="exact"/>
              <w:ind w:left="0" w:firstLine="0"/>
              <w:jc w:val="left"/>
            </w:pPr>
            <w:r>
              <w:t xml:space="preserve">Respectfully submitted,</w:t>
            </w:r>
          </w:p>
          <w:p>
            <w:pPr>
              <w:spacing w:before="480" w:after="0" w:line="276" w:lineRule="exact"/>
              <w:ind w:left="0" w:firstLine="0"/>
              <w:jc w:val="left"/>
            </w:pPr>
            <w:r>
              <w:t xml:space="preserve">By: /s/ </w:t>
            </w:r>
            <w:r>
              <w:t xml:space="preserve">Michael</w:t>
            </w:r>
            <w:r>
              <w:t xml:space="preserve"> </w:t>
            </w:r>
            <w:r>
              <w:t xml:space="preserve">G.</w:t>
            </w:r>
            <w:r>
              <w:t xml:space="preserve"> </w:t>
            </w:r>
            <w:r>
              <w:t xml:space="preserve">McGovern</w:t>
            </w:r>
          </w:p>
          <w:p>
            <w:pPr>
              <w:spacing w:before="0" w:after="0" w:line="276" w:lineRule="exact"/>
              <w:ind w:left="0" w:firstLine="0"/>
              <w:jc w:val="left"/>
            </w:pPr>
            <w:r>
              <w:t xml:space="preserve">Michael</w:t>
            </w:r>
            <w:r>
              <w:t xml:space="preserve"> </w:t>
            </w:r>
            <w:r>
              <w:t xml:space="preserve">G.</w:t>
            </w:r>
            <w:r>
              <w:t xml:space="preserve"> </w:t>
            </w:r>
            <w:r>
              <w:t xml:space="preserve">McGovern</w:t>
            </w:r>
          </w:p>
          <w:p>
            <w:pPr>
              <w:spacing w:before="0" w:after="0" w:line="276" w:lineRule="exact"/>
              <w:ind w:left="0" w:firstLine="0"/>
              <w:jc w:val="left"/>
            </w:pPr>
            <w:r>
              <w:t xml:space="preserve">ROPES</w:t>
            </w:r>
            <w:r>
              <w:t xml:space="preserve"> </w:t>
            </w:r>
            <w:r>
              <w:t xml:space="preserve">&amp;</w:t>
            </w:r>
            <w:r>
              <w:t xml:space="preserve"> </w:t>
            </w:r>
            <w:r>
              <w:t xml:space="preserve">GRAY</w:t>
            </w:r>
            <w:r>
              <w:t xml:space="preserve"> </w:t>
            </w:r>
            <w:r>
              <w:t xml:space="preserve">LLP</w:t>
            </w:r>
          </w:p>
          <w:p>
            <w:pPr>
              <w:spacing w:before="0" w:after="0" w:line="276" w:lineRule="exact"/>
              <w:ind w:left="0" w:firstLine="0"/>
              <w:jc w:val="left"/>
            </w:pPr>
            <w:r>
              <w:t xml:space="preserve">1211</w:t>
            </w:r>
            <w:r>
              <w:t xml:space="preserve"> </w:t>
            </w:r>
            <w:r>
              <w:t xml:space="preserve">Avenue</w:t>
            </w:r>
            <w:r>
              <w:t xml:space="preserve"> </w:t>
            </w:r>
            <w:r>
              <w:t xml:space="preserve">of</w:t>
            </w:r>
            <w:r>
              <w:t xml:space="preserve"> </w:t>
            </w:r>
            <w:r>
              <w:t xml:space="preserve">the</w:t>
            </w:r>
            <w:r>
              <w:t xml:space="preserve"> </w:t>
            </w:r>
            <w:r>
              <w:t xml:space="preserve">Americas</w:t>
            </w:r>
          </w:p>
          <w:p>
            <w:pPr>
              <w:spacing w:before="0" w:after="0" w:line="276"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10036</w:t>
              <w:noBreakHyphen/>
              <w:t xml:space="preserve">8704</w:t>
            </w:r>
          </w:p>
          <w:p>
            <w:pPr>
              <w:spacing w:before="0" w:after="0" w:line="276" w:lineRule="exact"/>
              <w:ind w:left="0" w:firstLine="0"/>
              <w:jc w:val="left"/>
            </w:pPr>
            <w:r>
              <w:t xml:space="preserve">Telephone:</w:t>
            </w:r>
            <w:r>
              <w:t xml:space="preserve"> </w:t>
            </w:r>
            <w:r>
              <w:t xml:space="preserve">(212)</w:t>
            </w:r>
            <w:r>
              <w:t xml:space="preserve"> </w:t>
            </w:r>
            <w:r>
              <w:t xml:space="preserve">596</w:t>
              <w:noBreakHyphen/>
              <w:t xml:space="preserve">9000</w:t>
            </w:r>
          </w:p>
          <w:p>
            <w:pPr>
              <w:spacing w:before="0"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Qatar</w:t>
            </w:r>
            <w:r>
              <w:rPr>
                <w:i/>
                <w:iCs/>
              </w:rPr>
              <w:t xml:space="preserve"> </w:t>
            </w:r>
            <w:r>
              <w:rPr>
                <w:i/>
                <w:iCs/>
              </w:rPr>
              <w:t xml:space="preserve">National</w:t>
            </w:r>
            <w:r>
              <w:rPr>
                <w:i/>
                <w:iCs/>
              </w:rPr>
              <w:t xml:space="preserve"> </w:t>
            </w:r>
            <w:r>
              <w:rPr>
                <w:i/>
                <w:iCs/>
              </w:rPr>
              <w:t xml:space="preserve">Bank</w:t>
            </w:r>
            <w:r>
              <w:rPr>
                <w:i/>
                <w:iCs/>
              </w:rPr>
              <w:t xml:space="preserve"> </w:t>
            </w:r>
            <w:r>
              <w:rPr>
                <w:i/>
                <w:iCs/>
              </w:rPr>
              <w:t xml:space="preserve">(Q.P.S.C.)</w:t>
            </w:r>
          </w:p>
        </w:tc>
      </w:tr>
    </w:tbl>
    <w:p>
      <w:pPr>
        <w:keepNext/>
        <w:keepLines/>
        <w:spacing w:before="480" w:after="0" w:line="276" w:lineRule="exact"/>
        <w:ind w:left="0" w:firstLine="0"/>
        <w:jc w:val="center"/>
      </w:pPr>
      <w:r>
        <w:rPr>
          <w:b/>
          <w:bCs/>
        </w:rPr>
        <w:t xml:space="preserve">CERTIFICATE OF COMPLIANCE</w:t>
      </w:r>
    </w:p>
    <w:p>
      <w:pPr>
        <w:keepLines/>
        <w:spacing w:before="0" w:after="0" w:line="480" w:lineRule="exact"/>
        <w:ind w:left="0" w:firstLine="720"/>
        <w:jc w:val="left"/>
      </w:pPr>
      <w:r>
        <w:t xml:space="preserve">I certify that this memorandum of law complies with the word-count limit of Local Civil Rule 7.1(c). Excluding the caption, table of contents, table of authorities, signature block, and certificates, it contains 1792 words, as counted by the template. The count must be confirmed against the word-processing program used to prepare the filed document.</w:t>
      </w:r>
    </w:p>
    <w:p>
      <w:pPr>
        <w:keepNext/>
        <w:keepLines/>
        <w:pageBreakBefore/>
        <w:spacing w:before="0" w:after="0" w:line="276" w:lineRule="exact"/>
        <w:ind w:left="0" w:firstLine="0"/>
        <w:jc w:val="center"/>
      </w:pPr>
      <w:r>
        <w:rPr>
          <w:b/>
          <w:bCs/>
        </w:rPr>
        <w:t xml:space="preserve">CERTIFICATE OF SERVICE</w:t>
      </w:r>
    </w:p>
    <w:p>
      <w:pPr>
        <w:keepNext/>
        <w:keepLines/>
        <w:spacing w:before="276" w:after="0" w:line="480" w:lineRule="exact"/>
        <w:ind w:left="0" w:firstLine="720"/>
        <w:jc w:val="left"/>
      </w:pPr>
      <w:r>
        <w:t xml:space="preserve">I,</w:t>
      </w:r>
      <w:r>
        <w:t xml:space="preserve"> </w:t>
      </w:r>
      <w:r>
        <w:t xml:space="preserve">Michael</w:t>
      </w:r>
      <w:r>
        <w:t xml:space="preserve"> </w:t>
      </w:r>
      <w:r>
        <w:t xml:space="preserve">McGovern,</w:t>
      </w:r>
      <w:r>
        <w:t xml:space="preserve"> </w:t>
      </w:r>
      <w:r>
        <w:t xml:space="preserve">hereby</w:t>
      </w:r>
      <w:r>
        <w:t xml:space="preserve"> </w:t>
      </w:r>
      <w:r>
        <w:t xml:space="preserve">certify</w:t>
      </w:r>
      <w:r>
        <w:t xml:space="preserve"> </w:t>
      </w:r>
      <w:r>
        <w:t xml:space="preserve">that</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Defendant</w:t>
      </w:r>
      <w:r>
        <w:t xml:space="preserve"> </w:t>
      </w:r>
      <w:r>
        <w:t xml:space="preserve">Qatar</w:t>
      </w:r>
      <w:r>
        <w:t xml:space="preserve"> </w:t>
      </w:r>
      <w:r>
        <w:t xml:space="preserve">National</w:t>
      </w:r>
      <w:r>
        <w:t xml:space="preserve"> </w:t>
      </w:r>
      <w:r>
        <w:t xml:space="preserve">Bank’s</w:t>
      </w:r>
      <w:r>
        <w:t xml:space="preserve"> </w:t>
      </w:r>
      <w:r>
        <w:t xml:space="preserve">Notice</w:t>
      </w:r>
      <w:r>
        <w:t xml:space="preserve"> </w:t>
      </w:r>
      <w:r>
        <w:t xml:space="preserve">of</w:t>
      </w:r>
      <w:r>
        <w:t xml:space="preserve"> </w:t>
      </w:r>
      <w:r>
        <w:t xml:space="preserve">Motion</w:t>
      </w:r>
      <w:r>
        <w:t xml:space="preserve"> </w:t>
      </w:r>
      <w:r>
        <w:t xml:space="preserve">to</w:t>
      </w:r>
      <w:r>
        <w:t xml:space="preserve"> </w:t>
      </w:r>
      <w:r>
        <w:t xml:space="preserve">Dismiss</w:t>
      </w:r>
      <w:r>
        <w:t xml:space="preserve"> </w:t>
      </w:r>
      <w:r>
        <w:t xml:space="preserve">the</w:t>
      </w:r>
      <w:r>
        <w:t xml:space="preserve"> </w:t>
      </w:r>
      <w:r>
        <w:t xml:space="preserve">Complaint,</w:t>
      </w:r>
      <w:r>
        <w:t xml:space="preserve"> </w:t>
      </w:r>
      <w:r>
        <w:t xml:space="preserve">as</w:t>
      </w:r>
      <w:r>
        <w:t xml:space="preserve"> </w:t>
      </w:r>
      <w:r>
        <w:t xml:space="preserve">well</w:t>
      </w:r>
      <w:r>
        <w:t xml:space="preserve"> </w:t>
      </w:r>
      <w:r>
        <w:t xml:space="preserve">as</w:t>
      </w:r>
      <w:r>
        <w:t xml:space="preserve"> </w:t>
      </w:r>
      <w:r>
        <w:t xml:space="preserve">its</w:t>
      </w:r>
      <w:r>
        <w:t xml:space="preserve"> </w:t>
      </w:r>
      <w:r>
        <w:t xml:space="preserve">Memorandum</w:t>
      </w:r>
      <w:r>
        <w:t xml:space="preserve"> </w:t>
      </w:r>
      <w:r>
        <w:t xml:space="preserve">of</w:t>
      </w:r>
      <w:r>
        <w:t xml:space="preserve"> </w:t>
      </w:r>
      <w:r>
        <w:t xml:space="preserve">Law</w:t>
      </w:r>
      <w:r>
        <w:t xml:space="preserve"> </w:t>
      </w:r>
      <w:r>
        <w:t xml:space="preserve">in</w:t>
      </w:r>
      <w:r>
        <w:t xml:space="preserve"> </w:t>
      </w:r>
      <w:r>
        <w:t xml:space="preserve">Support</w:t>
      </w:r>
      <w:r>
        <w:t xml:space="preserve"> </w:t>
      </w:r>
      <w:r>
        <w:t xml:space="preserve">of</w:t>
      </w:r>
      <w:r>
        <w:t xml:space="preserve"> </w:t>
      </w:r>
      <w:r>
        <w:t xml:space="preserve">Its</w:t>
      </w:r>
      <w:r>
        <w:t xml:space="preserve"> </w:t>
      </w:r>
      <w:r>
        <w:t xml:space="preserve">Motion</w:t>
      </w:r>
      <w:r>
        <w:t xml:space="preserve"> </w:t>
      </w:r>
      <w:r>
        <w:t xml:space="preserve">to</w:t>
      </w:r>
      <w:r>
        <w:t xml:space="preserve"> </w:t>
      </w:r>
      <w:r>
        <w:t xml:space="preserve">Dismiss</w:t>
      </w:r>
      <w:r>
        <w:t xml:space="preserve"> </w:t>
      </w:r>
      <w:r>
        <w:t xml:space="preserve">the</w:t>
      </w:r>
      <w:r>
        <w:t xml:space="preserve"> </w:t>
      </w:r>
      <w:r>
        <w:t xml:space="preserve">Complaint,</w:t>
      </w:r>
      <w:r>
        <w:t xml:space="preserve"> </w:t>
      </w:r>
      <w:r>
        <w:t xml:space="preserve">were</w:t>
      </w:r>
      <w:r>
        <w:t xml:space="preserve"> </w:t>
      </w:r>
      <w:r>
        <w:t xml:space="preserve">filed</w:t>
      </w:r>
      <w:r>
        <w:t xml:space="preserve"> </w:t>
      </w:r>
      <w:r>
        <w:t xml:space="preserve">through</w:t>
      </w:r>
      <w:r>
        <w:t xml:space="preserve"> </w:t>
      </w:r>
      <w:r>
        <w:t xml:space="preserve">the</w:t>
      </w:r>
      <w:r>
        <w:t xml:space="preserve"> </w:t>
      </w:r>
      <w:r>
        <w:t xml:space="preserve">ECF</w:t>
      </w:r>
      <w:r>
        <w:t xml:space="preserve"> </w:t>
      </w:r>
      <w:r>
        <w:t xml:space="preserve">system</w:t>
      </w:r>
      <w:r>
        <w:t xml:space="preserve"> </w:t>
      </w:r>
      <w:r>
        <w:t xml:space="preserve">and</w:t>
      </w:r>
      <w:r>
        <w:t xml:space="preserve"> </w:t>
      </w:r>
      <w:r>
        <w:t xml:space="preserve">will</w:t>
      </w:r>
      <w:r>
        <w:t xml:space="preserve"> </w:t>
      </w:r>
      <w:r>
        <w:t xml:space="preserve">be</w:t>
      </w:r>
      <w:r>
        <w:t xml:space="preserve"> </w:t>
      </w:r>
      <w:r>
        <w:t xml:space="preserve">sent</w:t>
      </w:r>
      <w:r>
        <w:t xml:space="preserve"> </w:t>
      </w:r>
      <w:r>
        <w:t xml:space="preserve">electronically</w:t>
      </w:r>
      <w:r>
        <w:t xml:space="preserve"> </w:t>
      </w:r>
      <w:r>
        <w:t xml:space="preserve">to</w:t>
      </w:r>
      <w:r>
        <w:t xml:space="preserve"> </w:t>
      </w:r>
      <w:r>
        <w:t xml:space="preserve">the</w:t>
      </w:r>
      <w:r>
        <w:t xml:space="preserve"> </w:t>
      </w:r>
      <w:r>
        <w:t xml:space="preserve">registered</w:t>
      </w:r>
      <w:r>
        <w:t xml:space="preserve"> </w:t>
      </w:r>
      <w:r>
        <w:t xml:space="preserve">participants</w:t>
      </w:r>
      <w:r>
        <w:t xml:space="preserve"> </w:t>
      </w:r>
      <w:r>
        <w:t xml:space="preserve">as</w:t>
      </w:r>
      <w:r>
        <w:t xml:space="preserve"> </w:t>
      </w:r>
      <w:r>
        <w:t xml:space="preserve">identified</w:t>
      </w:r>
      <w:r>
        <w:t xml:space="preserve"> </w:t>
      </w:r>
      <w:r>
        <w:t xml:space="preserve">on</w:t>
      </w:r>
      <w:r>
        <w:t xml:space="preserve"> </w:t>
      </w:r>
      <w:r>
        <w:t xml:space="preserve">the</w:t>
      </w:r>
      <w:r>
        <w:t xml:space="preserve"> </w:t>
      </w:r>
      <w:r>
        <w:t xml:space="preserve">Notice</w:t>
      </w:r>
      <w:r>
        <w:t xml:space="preserve"> </w:t>
      </w:r>
      <w:r>
        <w:t xml:space="preserve">of</w:t>
      </w:r>
      <w:r>
        <w:t xml:space="preserve"> </w:t>
      </w:r>
      <w:r>
        <w:t xml:space="preserve">Electronic</w:t>
      </w:r>
      <w:r>
        <w:t xml:space="preserve"> </w:t>
      </w:r>
      <w:r>
        <w:t xml:space="preserve">Filing.</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480" w:after="0" w:line="276" w:lineRule="exact"/>
              <w:ind w:left="0" w:firstLine="0"/>
              <w:jc w:val="left"/>
            </w:pPr>
            <w:r>
              <w:t xml:space="preserve">Dated: </w:t>
            </w:r>
            <w:r>
              <w:t xml:space="preserve">February</w:t>
            </w:r>
            <w:r>
              <w:t xml:space="preserve"> </w:t>
            </w:r>
            <w:r>
              <w:t xml:space="preserve">14,</w:t>
            </w:r>
            <w:r>
              <w:t xml:space="preserve"> </w:t>
            </w:r>
            <w:r>
              <w:t xml:space="preserve">2022</w:t>
            </w:r>
          </w:p>
        </w:tc>
        <w:tc>
          <w:tcPr>
            <w:tcW w:w="4608" w:type="dxa"/>
          </w:tcPr>
          <w:p>
            <w:pPr>
              <w:spacing w:before="480" w:after="0" w:line="276" w:lineRule="exact"/>
              <w:ind w:left="0" w:firstLine="0"/>
              <w:jc w:val="left"/>
            </w:pPr>
            <w:r>
              <w:t xml:space="preserve">Respectfully submitted,</w:t>
            </w:r>
          </w:p>
          <w:p>
            <w:pPr>
              <w:spacing w:before="480" w:after="0" w:line="276" w:lineRule="exact"/>
              <w:ind w:left="0" w:firstLine="0"/>
              <w:jc w:val="left"/>
            </w:pPr>
            <w:r>
              <w:t xml:space="preserve">By: /s/ </w:t>
            </w:r>
            <w:r>
              <w:t xml:space="preserve">Michael</w:t>
            </w:r>
            <w:r>
              <w:t xml:space="preserve"> </w:t>
            </w:r>
            <w:r>
              <w:t xml:space="preserve">G.</w:t>
            </w:r>
            <w:r>
              <w:t xml:space="preserve"> </w:t>
            </w:r>
            <w:r>
              <w:t xml:space="preserve">McGovern</w:t>
            </w:r>
          </w:p>
          <w:p>
            <w:pPr>
              <w:spacing w:before="0" w:after="0" w:line="276" w:lineRule="exact"/>
              <w:ind w:left="0" w:firstLine="0"/>
              <w:jc w:val="left"/>
            </w:pPr>
            <w:r>
              <w:t xml:space="preserve">Michael</w:t>
            </w:r>
            <w:r>
              <w:t xml:space="preserve"> </w:t>
            </w:r>
            <w:r>
              <w:t xml:space="preserve">G.</w:t>
            </w:r>
            <w:r>
              <w:t xml:space="preserve"> </w:t>
            </w:r>
            <w:r>
              <w:t xml:space="preserve">McGovern</w:t>
            </w:r>
          </w:p>
          <w:p>
            <w:pPr>
              <w:spacing w:before="0" w:after="0" w:line="276" w:lineRule="exact"/>
              <w:ind w:left="0" w:firstLine="0"/>
              <w:jc w:val="left"/>
            </w:pPr>
            <w:r>
              <w:t xml:space="preserve">ROPES</w:t>
            </w:r>
            <w:r>
              <w:t xml:space="preserve"> </w:t>
            </w:r>
            <w:r>
              <w:t xml:space="preserve">&amp;</w:t>
            </w:r>
            <w:r>
              <w:t xml:space="preserve"> </w:t>
            </w:r>
            <w:r>
              <w:t xml:space="preserve">GRAY</w:t>
            </w:r>
            <w:r>
              <w:t xml:space="preserve"> </w:t>
            </w:r>
            <w:r>
              <w:t xml:space="preserve">LLP</w:t>
            </w:r>
          </w:p>
          <w:p>
            <w:pPr>
              <w:spacing w:before="0" w:after="0" w:line="276" w:lineRule="exact"/>
              <w:ind w:left="0" w:firstLine="0"/>
              <w:jc w:val="left"/>
            </w:pPr>
            <w:r>
              <w:t xml:space="preserve">1211</w:t>
            </w:r>
            <w:r>
              <w:t xml:space="preserve"> </w:t>
            </w:r>
            <w:r>
              <w:t xml:space="preserve">Avenue</w:t>
            </w:r>
            <w:r>
              <w:t xml:space="preserve"> </w:t>
            </w:r>
            <w:r>
              <w:t xml:space="preserve">of</w:t>
            </w:r>
            <w:r>
              <w:t xml:space="preserve"> </w:t>
            </w:r>
            <w:r>
              <w:t xml:space="preserve">the</w:t>
            </w:r>
            <w:r>
              <w:t xml:space="preserve"> </w:t>
            </w:r>
            <w:r>
              <w:t xml:space="preserve">Americas</w:t>
            </w:r>
          </w:p>
          <w:p>
            <w:pPr>
              <w:spacing w:before="0" w:after="0" w:line="276"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10036</w:t>
              <w:noBreakHyphen/>
              <w:t xml:space="preserve">8704</w:t>
            </w:r>
          </w:p>
          <w:p>
            <w:pPr>
              <w:spacing w:before="0" w:after="0" w:line="276" w:lineRule="exact"/>
              <w:ind w:left="0" w:firstLine="0"/>
              <w:jc w:val="left"/>
            </w:pPr>
            <w:r>
              <w:t xml:space="preserve">Telephone:</w:t>
            </w:r>
            <w:r>
              <w:t xml:space="preserve"> </w:t>
            </w:r>
            <w:r>
              <w:t xml:space="preserve">(212)</w:t>
            </w:r>
            <w:r>
              <w:t xml:space="preserve"> </w:t>
            </w:r>
            <w:r>
              <w:t xml:space="preserve">596</w:t>
              <w:noBreakHyphen/>
              <w:t xml:space="preserve">9000</w:t>
            </w:r>
          </w:p>
          <w:p>
            <w:pPr>
              <w:spacing w:before="0"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Qatar</w:t>
            </w:r>
            <w:r>
              <w:rPr>
                <w:i/>
                <w:iCs/>
              </w:rPr>
              <w:t xml:space="preserve"> </w:t>
            </w:r>
            <w:r>
              <w:rPr>
                <w:i/>
                <w:iCs/>
              </w:rPr>
              <w:t xml:space="preserve">National</w:t>
            </w:r>
            <w:r>
              <w:rPr>
                <w:i/>
                <w:iCs/>
              </w:rPr>
              <w:t xml:space="preserve"> </w:t>
            </w:r>
            <w:r>
              <w:rPr>
                <w:i/>
                <w:iCs/>
              </w:rPr>
              <w:t xml:space="preserve">Bank</w:t>
            </w:r>
            <w:r>
              <w:rPr>
                <w:i/>
                <w:iCs/>
              </w:rPr>
              <w:t xml:space="preserve"> </w:t>
            </w:r>
            <w:r>
              <w:rPr>
                <w:i/>
                <w:iCs/>
              </w:rPr>
              <w:t xml:space="preserve">(Q.P.S.C.)</w:t>
            </w:r>
          </w:p>
        </w:tc>
      </w:tr>
    </w:tbl>
    <w:sectPr>
      <w:footerReference w:type="default" r:id="rIdNyedPage"/>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QNB neither maintains even one branch in New York (or the United States), see</w:t>
      </w:r>
      <w:r>
        <w:t xml:space="preserve"> </w:t>
      </w:r>
      <w:hyperlink r:id="rId19">
        <w:r>
          <w:rPr>
            <w:rStyle w:val="Hyperlink"/>
            <w:i/>
            <w:iCs/>
          </w:rPr>
          <w:t xml:space="preserve">Gucci Am., Inc. v. Weixing Li</w:t>
        </w:r>
        <w:r>
          <w:rPr>
            <w:rStyle w:val="Hyperlink"/>
          </w:rPr>
          <w:t xml:space="preserve">, 768 F.3d 122, 135 (2d Cir. 2014)</w:t>
        </w:r>
      </w:hyperlink>
      <w:r>
        <w:t xml:space="preserve">, nor does QNB have any employees based in New York (or the United States), see</w:t>
      </w:r>
      <w:r>
        <w:t xml:space="preserve"> </w:t>
      </w:r>
      <w:hyperlink r:id="rId11">
        <w:r>
          <w:rPr>
            <w:rStyle w:val="Hyperlink"/>
            <w:i/>
            <w:iCs/>
          </w:rPr>
          <w:t xml:space="preserve">SPV Osus</w:t>
        </w:r>
        <w:r>
          <w:rPr>
            <w:rStyle w:val="Hyperlink"/>
          </w:rPr>
          <w:t xml:space="preserve">, 882 F.3d at 343</w:t>
        </w:r>
      </w:hyperlink>
      <w:r>
        <w:t xml:space="preserve">. QNB is not at home in this forum, and the Complaint does not allege otherwise.</w:t>
      </w:r>
    </w:p>
  </w:footnote>
  <w:footnote w:id="27">
    <w:p>
      <w:pPr>
        <w:pStyle w:val="FootnoteText"/>
      </w:pPr>
      <w:r>
        <w:rPr>
          <w:rStyle w:val="FootnoteReference"/>
        </w:rPr>
        <w:footnoteRef/>
      </w:r>
      <w:r>
        <w:t xml:space="preserve"> </w:t>
      </w:r>
      <w:r>
        <w:t xml:space="preserve">In stark contrast to the Complaint’s reliance on unsourced allegations and hearsay reports of private information, Qatar Charity has compiled numerous public sources that much more strongly support the opposite inference, that QNB could not have had the requisite general awareness. See Qatar Charity Br. at Section II.A.1.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widowControl/>
      <w:spacing w:before="0" w:after="80" w:line="230" w:lineRule="exact"/>
    </w:pPr>
    <w:rPr>
      <w:sz w:val="20"/>
      <w:szCs w:val="20"/>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
    <w:name w:val="Body Text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hyperlink" Id="rId15" Target="toa:agcan" TargetMode="External" /><Relationship Type="http://schemas.openxmlformats.org/officeDocument/2006/relationships/hyperlink" Id="rId23" Target="toa:cplr302" TargetMode="External" /><Relationship Type="http://schemas.openxmlformats.org/officeDocument/2006/relationships/hyperlink" Id="rId19" Target="toa:gucci" TargetMode="External" /><Relationship Type="http://schemas.openxmlformats.org/officeDocument/2006/relationships/hyperlink" Id="rId25" Target="toa:honickman" TargetMode="External" /><Relationship Type="http://schemas.openxmlformats.org/officeDocument/2006/relationships/hyperlink" Id="rId26" Target="toa:kaplan" TargetMode="External" /><Relationship Type="http://schemas.openxmlformats.org/officeDocument/2006/relationships/hyperlink" Id="rId14" Target="toa:licci" TargetMode="External" /><Relationship Type="http://schemas.openxmlformats.org/officeDocument/2006/relationships/hyperlink" Id="rId12" Target="toa:penguin" TargetMode="External" /><Relationship Type="http://schemas.openxmlformats.org/officeDocument/2006/relationships/hyperlink" Id="rId9" Target="toa:r12b2" TargetMode="External" /><Relationship Type="http://schemas.openxmlformats.org/officeDocument/2006/relationships/hyperlink" Id="rId10" Target="toa:r12b6" TargetMode="External" /><Relationship Type="http://schemas.openxmlformats.org/officeDocument/2006/relationships/hyperlink" Id="rId21" Target="toa:r4k2" TargetMode="External" /><Relationship Type="http://schemas.openxmlformats.org/officeDocument/2006/relationships/hyperlink" Id="rId24" Target="toa:schwab1" TargetMode="External" /><Relationship Type="http://schemas.openxmlformats.org/officeDocument/2006/relationships/hyperlink" Id="rId22" Target="toa:sec2334" TargetMode="External" /><Relationship Type="http://schemas.openxmlformats.org/officeDocument/2006/relationships/hyperlink" Id="rId11" Target="toa:spv" TargetMode="External" /><Relationship Type="http://schemas.openxmlformats.org/officeDocument/2006/relationships/hyperlink" Id="rId17" Target="toa:suber" TargetMode="External" /><Relationship Type="http://schemas.openxmlformats.org/officeDocument/2006/relationships/hyperlink" Id="rId13" Target="toa:walden" TargetMode="External" /><Relationship Type="http://schemas.openxmlformats.org/officeDocument/2006/relationships/hyperlink" Id="rId16" Target="toa:waldman" TargetMode="External" /><Relationship Type="http://schemas.openxmlformats.org/officeDocument/2006/relationships/hyperlink" Id="rId20" Target="toa:weiss" TargetMode="Externa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NyedPage" Target="ftr-own1.xml"/></Relationships>
</file>

<file path=word/_rels/footnotes.xml.rels><?xml version="1.0" encoding="UTF-8"?><Relationships xmlns="http://schemas.openxmlformats.org/package/2006/relationships"><Relationship Type="http://schemas.openxmlformats.org/officeDocument/2006/relationships/hyperlink" Id="rId15" Target="toa:agcan" TargetMode="External" /><Relationship Type="http://schemas.openxmlformats.org/officeDocument/2006/relationships/hyperlink" Id="rId23" Target="toa:cplr302" TargetMode="External" /><Relationship Type="http://schemas.openxmlformats.org/officeDocument/2006/relationships/hyperlink" Id="rId19" Target="toa:gucci" TargetMode="External" /><Relationship Type="http://schemas.openxmlformats.org/officeDocument/2006/relationships/hyperlink" Id="rId25" Target="toa:honickman" TargetMode="External" /><Relationship Type="http://schemas.openxmlformats.org/officeDocument/2006/relationships/hyperlink" Id="rId26" Target="toa:kaplan" TargetMode="External" /><Relationship Type="http://schemas.openxmlformats.org/officeDocument/2006/relationships/hyperlink" Id="rId14" Target="toa:licci" TargetMode="External" /><Relationship Type="http://schemas.openxmlformats.org/officeDocument/2006/relationships/hyperlink" Id="rId12" Target="toa:penguin" TargetMode="External" /><Relationship Type="http://schemas.openxmlformats.org/officeDocument/2006/relationships/hyperlink" Id="rId9" Target="toa:r12b2" TargetMode="External" /><Relationship Type="http://schemas.openxmlformats.org/officeDocument/2006/relationships/hyperlink" Id="rId10" Target="toa:r12b6" TargetMode="External" /><Relationship Type="http://schemas.openxmlformats.org/officeDocument/2006/relationships/hyperlink" Id="rId21" Target="toa:r4k2" TargetMode="External" /><Relationship Type="http://schemas.openxmlformats.org/officeDocument/2006/relationships/hyperlink" Id="rId24" Target="toa:schwab1" TargetMode="External" /><Relationship Type="http://schemas.openxmlformats.org/officeDocument/2006/relationships/hyperlink" Id="rId22" Target="toa:sec2334" TargetMode="External" /><Relationship Type="http://schemas.openxmlformats.org/officeDocument/2006/relationships/hyperlink" Id="rId11" Target="toa:spv" TargetMode="External" /><Relationship Type="http://schemas.openxmlformats.org/officeDocument/2006/relationships/hyperlink" Id="rId17" Target="toa:suber" TargetMode="External" /><Relationship Type="http://schemas.openxmlformats.org/officeDocument/2006/relationships/hyperlink" Id="rId13" Target="toa:walden" TargetMode="External" /><Relationship Type="http://schemas.openxmlformats.org/officeDocument/2006/relationships/hyperlink" Id="rId16" Target="toa:waldman" TargetMode="External" /><Relationship Type="http://schemas.openxmlformats.org/officeDocument/2006/relationships/hyperlink" Id="rId20" Target="toa:wei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