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roman.xml" ContentType="application/vnd.openxmlformats-officedocument.wordprocessingml.footer+xml"/>
  <Override PartName="/word/footer-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Centered"/>
        <w:keepNext/>
        <w:spacing w:before="168" w:after="0" w:line="340" w:lineRule="exact"/>
      </w:pPr>
      <w:r>
        <w:t xml:space="preserve">No. </w:t>
      </w:r>
      <w:r>
        <w:t xml:space="preserve">25</w:t>
      </w:r>
      <w:r>
        <w:noBreakHyphen/>
      </w:r>
      <w:r>
        <w:t xml:space="preserve">3320</w:t>
      </w:r>
    </w:p>
    <w:p>
      <w:pPr>
        <w:pStyle w:val="CACentered"/>
        <w:keepNext/>
        <w:spacing w:before="280" w:after="0" w:line="340" w:lineRule="exact"/>
      </w:pPr>
      <w:r>
        <w:rPr>
          <w:b/>
        </w:rPr>
        <w:t xml:space="preserve">IN THE UNITED STATES COURT OF APPEALS</w:t>
      </w:r>
    </w:p>
    <w:p>
      <w:pPr>
        <w:pStyle w:val="CACentered"/>
        <w:keepNext/>
        <w:spacing w:before="0" w:after="0" w:line="340" w:lineRule="exact"/>
      </w:pPr>
      <w:r>
        <w:rPr>
          <w:b/>
        </w:rPr>
        <w:t xml:space="preserve">FOR THE EIGHTH CIRCUIT</w:t>
      </w:r>
    </w:p>
    <w:p>
      <w:pPr>
        <w:pStyle w:val="CADoubleRule"/>
        <w:spacing w:before="280" w:after="280" w:line="50" w:lineRule="exact"/>
      </w:pPr>
    </w:p>
    <w:p>
      <w:pPr>
        <w:pStyle w:val="CACentered"/>
        <w:spacing w:before="98" w:after="0" w:line="340" w:lineRule="exact"/>
      </w:pPr>
      <w:r>
        <w:t xml:space="preserve">DESMOND</w:t>
      </w:r>
      <w:r>
        <w:t xml:space="preserve"> </w:t>
      </w:r>
      <w:r>
        <w:t xml:space="preserve">BANKS,</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w:t>
      </w:r>
      <w:r>
        <w:t xml:space="preserve"> </w:t>
      </w:r>
      <w:r>
        <w:t xml:space="preserve">class</w:t>
      </w:r>
      <w:r>
        <w:t xml:space="preserve"> </w:t>
      </w:r>
      <w:r>
        <w:t xml:space="preserve">of</w:t>
      </w:r>
      <w:r>
        <w:t xml:space="preserve"> </w:t>
      </w:r>
      <w:r>
        <w:t xml:space="preserve">similarly</w:t>
      </w:r>
      <w:r>
        <w:t xml:space="preserve"> </w:t>
      </w:r>
      <w:r>
        <w:t xml:space="preserve">situated</w:t>
      </w:r>
      <w:r>
        <w:t xml:space="preserve"> </w:t>
      </w:r>
      <w:r>
        <w:t xml:space="preserve">individuals,</w:t>
      </w:r>
    </w:p>
    <w:p>
      <w:pPr>
        <w:pStyle w:val="CACentered"/>
        <w:spacing w:before="98" w:after="0" w:line="340" w:lineRule="exact"/>
      </w:pPr>
      <w:r>
        <w:rPr>
          <w:i/>
        </w:rPr>
        <w:t xml:space="preserve">Plaintiff–Appellant,</w:t>
      </w:r>
    </w:p>
    <w:p>
      <w:pPr>
        <w:pStyle w:val="CACentered"/>
        <w:spacing w:before="84" w:after="0" w:line="340" w:lineRule="exact"/>
      </w:pPr>
      <w:r>
        <w:t xml:space="preserve">v.</w:t>
      </w:r>
    </w:p>
    <w:p>
      <w:pPr>
        <w:pStyle w:val="CACentered"/>
        <w:spacing w:before="84" w:after="0" w:line="340" w:lineRule="exact"/>
      </w:pPr>
      <w:r>
        <w:t xml:space="preserve">COSTAR</w:t>
      </w:r>
      <w:r>
        <w:t xml:space="preserve"> </w:t>
      </w:r>
      <w:r>
        <w:t xml:space="preserve">REALTY</w:t>
      </w:r>
      <w:r>
        <w:t xml:space="preserve"> </w:t>
      </w:r>
      <w:r>
        <w:t xml:space="preserve">INFORMATION,</w:t>
      </w:r>
      <w:r>
        <w:t xml:space="preserve"> </w:t>
      </w:r>
      <w:r>
        <w:t xml:space="preserve">INC.,</w:t>
      </w:r>
      <w:r>
        <w:t xml:space="preserve"> </w:t>
      </w:r>
      <w:r>
        <w:t xml:space="preserve">a</w:t>
      </w:r>
      <w:r>
        <w:t xml:space="preserve"> </w:t>
      </w:r>
      <w:r>
        <w:t xml:space="preserve">Delaware</w:t>
      </w:r>
      <w:r>
        <w:t xml:space="preserve"> </w:t>
      </w:r>
      <w:r>
        <w:t xml:space="preserve">corporation,</w:t>
      </w:r>
    </w:p>
    <w:p>
      <w:pPr>
        <w:pStyle w:val="CACentered"/>
        <w:spacing w:before="98" w:after="0" w:line="340" w:lineRule="exact"/>
      </w:pPr>
      <w:r>
        <w:rPr>
          <w:i/>
        </w:rPr>
        <w:t xml:space="preserve">Defendant–Appellee.</w:t>
      </w:r>
    </w:p>
    <w:p>
      <w:pPr>
        <w:pStyle w:val="CADoubleRule"/>
        <w:spacing w:before="280" w:after="280" w:line="50" w:lineRule="exact"/>
      </w:pPr>
    </w:p>
    <w:p>
      <w:pPr>
        <w:pStyle w:val="CACentered"/>
        <w:spacing w:before="0" w:after="0" w:line="340" w:lineRule="exact"/>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Missouri,</w:t>
      </w:r>
      <w:r>
        <w:t xml:space="preserve"> </w:t>
      </w:r>
      <w:r>
        <w:t xml:space="preserve">No.</w:t>
      </w:r>
      <w:r>
        <w:t xml:space="preserve"> </w:t>
      </w:r>
      <w:r>
        <w:t xml:space="preserve">4:25-cv</w:t>
      </w:r>
      <w:r>
        <w:noBreakHyphen/>
      </w:r>
      <w:r>
        <w:t xml:space="preserve">00564-CMS</w:t>
      </w:r>
    </w:p>
    <w:p>
      <w:pPr>
        <w:pStyle w:val="CACentered"/>
        <w:spacing w:before="98" w:after="0" w:line="340" w:lineRule="exact"/>
      </w:pPr>
      <w:r>
        <w:t xml:space="preserve">The</w:t>
      </w:r>
      <w:r>
        <w:t xml:space="preserve"> </w:t>
      </w:r>
      <w:r>
        <w:t xml:space="preserve">Honorable</w:t>
      </w:r>
      <w:r>
        <w:t xml:space="preserve"> </w:t>
      </w:r>
      <w:r>
        <w:t xml:space="preserve">Cristian</w:t>
      </w:r>
      <w:r>
        <w:t xml:space="preserve"> </w:t>
      </w:r>
      <w:r>
        <w:t xml:space="preserve">M.</w:t>
      </w:r>
      <w:r>
        <w:t xml:space="preserve"> </w:t>
      </w:r>
      <w:r>
        <w:t xml:space="preserve">Stevens</w:t>
      </w:r>
    </w:p>
    <w:p>
      <w:pPr>
        <w:pStyle w:val="CADoubleRule"/>
        <w:spacing w:before="280" w:after="280" w:line="50" w:lineRule="exact"/>
      </w:pPr>
    </w:p>
    <w:p>
      <w:pPr>
        <w:pStyle w:val="CACentered"/>
        <w:spacing w:before="0" w:after="0" w:line="340" w:lineRule="exact"/>
      </w:pPr>
      <w:r>
        <w:rPr>
          <w:b/>
        </w:rPr>
        <w:t xml:space="preserve">Response</w:t>
      </w:r>
      <w:r>
        <w:rPr>
          <w:b/>
        </w:rPr>
        <w:t xml:space="preserve"> </w:t>
      </w:r>
      <w:r>
        <w:rPr>
          <w:b/>
        </w:rPr>
        <w:t xml:space="preserve">Brief</w:t>
      </w:r>
      <w:r>
        <w:rPr>
          <w:b/>
        </w:rPr>
        <w:t xml:space="preserve"> </w:t>
      </w:r>
      <w:r>
        <w:rPr>
          <w:b/>
        </w:rPr>
        <w:t xml:space="preserve">for</w:t>
      </w:r>
      <w:r>
        <w:rPr>
          <w:b/>
        </w:rPr>
        <w:t xml:space="preserve"> </w:t>
      </w:r>
      <w:r>
        <w:rPr>
          <w:b/>
        </w:rPr>
        <w:t xml:space="preserve">Appellee</w:t>
      </w:r>
      <w:r>
        <w:rPr>
          <w:b/>
        </w:rPr>
        <w:t xml:space="preserve"> </w:t>
      </w:r>
      <w:r>
        <w:rPr>
          <w:b/>
        </w:rPr>
        <w:t xml:space="preserve">CoStar</w:t>
      </w:r>
      <w:r>
        <w:rPr>
          <w:b/>
        </w:rPr>
        <w:t xml:space="preserve"> </w:t>
      </w:r>
      <w:r>
        <w:rPr>
          <w:b/>
        </w:rPr>
        <w:t xml:space="preserve">Realty</w:t>
      </w:r>
      <w:r>
        <w:rPr>
          <w:b/>
        </w:rPr>
        <w:t xml:space="preserve"> </w:t>
      </w:r>
      <w:r>
        <w:rPr>
          <w:b/>
        </w:rPr>
        <w:t xml:space="preserve">Information,</w:t>
      </w:r>
      <w:r>
        <w:rPr>
          <w:b/>
        </w:rPr>
        <w:t xml:space="preserve"> </w:t>
      </w:r>
      <w:r>
        <w:rPr>
          <w:b/>
        </w:rPr>
        <w:t xml:space="preserve">Inc.</w:t>
      </w:r>
    </w:p>
    <w:p>
      <w:pPr>
        <w:pStyle w:val="CADoubleRule"/>
        <w:spacing w:before="280" w:after="280" w:line="5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848"/>
        <w:gridCol w:w="4512"/>
      </w:tblGrid>
      <w:tr>
        <w:trPr>
          <w:cantSplit/>
        </w:trPr>
        <w:tc>
          <w:tcPr>
            <w:tcW w:w="4848" w:type="dxa"/>
            <w:tcMar>
              <w:right w:w="336" w:type="dxa"/>
            </w:tcMar>
          </w:tcPr>
          <w:p>
            <w:pPr>
              <w:pStyle w:val="CACounsel"/>
              <w:keepNext/>
              <w:spacing w:before="0" w:after="0" w:line="340" w:lineRule="exact"/>
              <w:jc w:val="center"/>
            </w:pPr>
            <w:r>
              <w:t xml:space="preserve">RICHARD</w:t>
            </w:r>
            <w:r>
              <w:t xml:space="preserve"> </w:t>
            </w:r>
            <w:r>
              <w:t xml:space="preserve">B.</w:t>
            </w:r>
            <w:r>
              <w:t xml:space="preserve"> </w:t>
            </w:r>
            <w:r>
              <w:t xml:space="preserve">RAILE</w:t>
            </w:r>
          </w:p>
          <w:p>
            <w:pPr>
              <w:pStyle w:val="CACounsel"/>
              <w:keepNext/>
              <w:spacing w:before="0" w:after="0" w:line="340" w:lineRule="exact"/>
              <w:jc w:val="center"/>
            </w:pPr>
            <w:r>
              <w:rPr>
                <w:i/>
              </w:rPr>
              <w:t xml:space="preserve">Baker</w:t>
            </w:r>
            <w:r>
              <w:rPr>
                <w:i/>
              </w:rPr>
              <w:t xml:space="preserve"> </w:t>
            </w:r>
            <w:r>
              <w:rPr>
                <w:i/>
              </w:rPr>
              <w:t xml:space="preserve">&amp;</w:t>
            </w:r>
            <w:r>
              <w:rPr>
                <w:i/>
              </w:rPr>
              <w:t xml:space="preserve"> </w:t>
            </w:r>
            <w:r>
              <w:rPr>
                <w:i/>
              </w:rPr>
              <w:t xml:space="preserve">Hostetler</w:t>
            </w:r>
            <w:r>
              <w:rPr>
                <w:i/>
              </w:rPr>
              <w:t xml:space="preserve"> </w:t>
            </w:r>
            <w:r>
              <w:rPr>
                <w:i/>
              </w:rPr>
              <w:t xml:space="preserve">LLP</w:t>
            </w:r>
          </w:p>
          <w:p>
            <w:pPr>
              <w:pStyle w:val="CACounsel"/>
              <w:keepNext/>
              <w:spacing w:before="0" w:after="0" w:line="340" w:lineRule="exact"/>
              <w:jc w:val="center"/>
            </w:pPr>
            <w:r>
              <w:rPr>
                <w:i/>
              </w:rPr>
              <w:t xml:space="preserve">1050</w:t>
            </w:r>
            <w:r>
              <w:rPr>
                <w:i/>
              </w:rPr>
              <w:t xml:space="preserve"> </w:t>
            </w:r>
            <w:r>
              <w:rPr>
                <w:i/>
              </w:rPr>
              <w:t xml:space="preserve">Connecticut</w:t>
            </w:r>
            <w:r>
              <w:rPr>
                <w:i/>
              </w:rPr>
              <w:t xml:space="preserve"> </w:t>
            </w:r>
            <w:r>
              <w:rPr>
                <w:i/>
              </w:rPr>
              <w:t xml:space="preserve">Ave.,</w:t>
            </w:r>
            <w:r>
              <w:rPr>
                <w:i/>
              </w:rPr>
              <w:t xml:space="preserve"> </w:t>
            </w:r>
            <w:r>
              <w:rPr>
                <w:i/>
              </w:rPr>
              <w:t xml:space="preserve">N.W.,</w:t>
            </w:r>
            <w:r>
              <w:rPr>
                <w:i/>
              </w:rPr>
              <w:t xml:space="preserve"> </w:t>
            </w:r>
            <w:r>
              <w:rPr>
                <w:i/>
              </w:rPr>
              <w:t xml:space="preserve">Suite</w:t>
            </w:r>
            <w:r>
              <w:rPr>
                <w:i/>
              </w:rPr>
              <w:t xml:space="preserve"> </w:t>
            </w:r>
            <w:r>
              <w:rPr>
                <w:i/>
              </w:rPr>
              <w:t xml:space="preserve">1100</w:t>
            </w:r>
          </w:p>
          <w:p>
            <w:pPr>
              <w:pStyle w:val="CACounsel"/>
              <w:keepNext/>
              <w:spacing w:before="0" w:after="0" w:line="340" w:lineRule="exact"/>
              <w:jc w:val="center"/>
            </w:pPr>
            <w:r>
              <w:rPr>
                <w:i/>
              </w:rPr>
              <w:t xml:space="preserve">Washington,</w:t>
            </w:r>
            <w:r>
              <w:rPr>
                <w:i/>
              </w:rPr>
              <w:t xml:space="preserve"> </w:t>
            </w:r>
            <w:r>
              <w:rPr>
                <w:i/>
              </w:rPr>
              <w:t xml:space="preserve">D.C.</w:t>
            </w:r>
            <w:r>
              <w:rPr>
                <w:i/>
              </w:rPr>
              <w:t xml:space="preserve"> </w:t>
            </w:r>
            <w:r>
              <w:rPr>
                <w:i/>
              </w:rPr>
              <w:t xml:space="preserve">20036</w:t>
            </w:r>
          </w:p>
          <w:p>
            <w:pPr>
              <w:pStyle w:val="CACounsel"/>
              <w:keepNext/>
              <w:spacing w:before="0" w:after="0" w:line="340" w:lineRule="exact"/>
              <w:jc w:val="center"/>
            </w:pPr>
            <w:r>
              <w:rPr>
                <w:i/>
              </w:rPr>
              <w:t xml:space="preserve">rraile@bakerlaw.com</w:t>
            </w:r>
          </w:p>
          <w:p>
            <w:pPr>
              <w:pStyle w:val="CACounsel"/>
              <w:keepNext/>
              <w:spacing w:before="0" w:after="0" w:line="340" w:lineRule="exact"/>
              <w:jc w:val="center"/>
            </w:pPr>
            <w:r>
              <w:rPr>
                <w:i/>
              </w:rPr>
              <w:t xml:space="preserve">(202)</w:t>
            </w:r>
            <w:r>
              <w:rPr>
                <w:i/>
              </w:rPr>
              <w:t xml:space="preserve"> </w:t>
            </w:r>
            <w:r>
              <w:rPr>
                <w:i/>
              </w:rPr>
              <w:t xml:space="preserve">861-1711</w:t>
            </w:r>
          </w:p>
        </w:tc>
        <w:tc>
          <w:tcPr>
            <w:tcW w:w="4512" w:type="dxa"/>
            <w:tcMar>
              <w:right w:w="0" w:type="dxa"/>
            </w:tcMar>
          </w:tcPr>
          <w:p>
            <w:pPr>
              <w:pStyle w:val="CACounsel"/>
              <w:keepNext/>
              <w:spacing w:before="0" w:after="0" w:line="340" w:lineRule="exact"/>
              <w:jc w:val="center"/>
            </w:pPr>
            <w:r>
              <w:t xml:space="preserve">BONNIE</w:t>
            </w:r>
            <w:r>
              <w:t xml:space="preserve"> </w:t>
            </w:r>
            <w:r>
              <w:t xml:space="preserve">KEANE</w:t>
            </w:r>
            <w:r>
              <w:t xml:space="preserve"> </w:t>
            </w:r>
            <w:r>
              <w:t xml:space="preserve">DELGOBBO</w:t>
            </w:r>
          </w:p>
          <w:p>
            <w:pPr>
              <w:pStyle w:val="CACounsel"/>
              <w:keepNext/>
              <w:spacing w:before="0" w:after="0" w:line="340" w:lineRule="exact"/>
              <w:jc w:val="center"/>
            </w:pPr>
            <w:r>
              <w:t xml:space="preserve">JOEL</w:t>
            </w:r>
            <w:r>
              <w:t xml:space="preserve"> </w:t>
            </w:r>
            <w:r>
              <w:t xml:space="preserve">C.</w:t>
            </w:r>
            <w:r>
              <w:t xml:space="preserve"> </w:t>
            </w:r>
            <w:r>
              <w:t xml:space="preserve">GRISWOLD</w:t>
            </w:r>
          </w:p>
          <w:p>
            <w:pPr>
              <w:pStyle w:val="CACounsel"/>
              <w:keepNext/>
              <w:spacing w:before="0" w:after="0" w:line="340" w:lineRule="exact"/>
              <w:jc w:val="center"/>
            </w:pPr>
            <w:r>
              <w:rPr>
                <w:i/>
              </w:rPr>
              <w:t xml:space="preserve">Baker</w:t>
            </w:r>
            <w:r>
              <w:rPr>
                <w:i/>
              </w:rPr>
              <w:t xml:space="preserve"> </w:t>
            </w:r>
            <w:r>
              <w:rPr>
                <w:i/>
              </w:rPr>
              <w:t xml:space="preserve">&amp;</w:t>
            </w:r>
            <w:r>
              <w:rPr>
                <w:i/>
              </w:rPr>
              <w:t xml:space="preserve"> </w:t>
            </w:r>
            <w:r>
              <w:rPr>
                <w:i/>
              </w:rPr>
              <w:t xml:space="preserve">Hostetler</w:t>
            </w:r>
            <w:r>
              <w:rPr>
                <w:i/>
              </w:rPr>
              <w:t xml:space="preserve"> </w:t>
            </w:r>
            <w:r>
              <w:rPr>
                <w:i/>
              </w:rPr>
              <w:t xml:space="preserve">LLP</w:t>
            </w:r>
          </w:p>
          <w:p>
            <w:pPr>
              <w:pStyle w:val="CACounsel"/>
              <w:keepNext/>
              <w:spacing w:before="0" w:after="0" w:line="340" w:lineRule="exact"/>
              <w:jc w:val="center"/>
            </w:pPr>
            <w:r>
              <w:rPr>
                <w:i/>
              </w:rPr>
              <w:t xml:space="preserve">One</w:t>
            </w:r>
            <w:r>
              <w:rPr>
                <w:i/>
              </w:rPr>
              <w:t xml:space="preserve"> </w:t>
            </w:r>
            <w:r>
              <w:rPr>
                <w:i/>
              </w:rPr>
              <w:t xml:space="preserve">North</w:t>
            </w:r>
            <w:r>
              <w:rPr>
                <w:i/>
              </w:rPr>
              <w:t xml:space="preserve"> </w:t>
            </w:r>
            <w:r>
              <w:rPr>
                <w:i/>
              </w:rPr>
              <w:t xml:space="preserve">Wacker</w:t>
            </w:r>
            <w:r>
              <w:rPr>
                <w:i/>
              </w:rPr>
              <w:t xml:space="preserve"> </w:t>
            </w:r>
            <w:r>
              <w:rPr>
                <w:i/>
              </w:rPr>
              <w:t xml:space="preserve">Dr.,</w:t>
            </w:r>
            <w:r>
              <w:rPr>
                <w:i/>
              </w:rPr>
              <w:t xml:space="preserve"> </w:t>
            </w:r>
            <w:r>
              <w:rPr>
                <w:i/>
              </w:rPr>
              <w:t xml:space="preserve">Suite</w:t>
            </w:r>
            <w:r>
              <w:rPr>
                <w:i/>
              </w:rPr>
              <w:t xml:space="preserve"> </w:t>
            </w:r>
            <w:r>
              <w:rPr>
                <w:i/>
              </w:rPr>
              <w:t xml:space="preserve">4500</w:t>
            </w:r>
          </w:p>
          <w:p>
            <w:pPr>
              <w:pStyle w:val="CACounsel"/>
              <w:keepNext/>
              <w:spacing w:before="0" w:after="0" w:line="340" w:lineRule="exact"/>
              <w:jc w:val="center"/>
            </w:pPr>
            <w:r>
              <w:rPr>
                <w:i/>
              </w:rPr>
              <w:t xml:space="preserve">Chicago,</w:t>
            </w:r>
            <w:r>
              <w:rPr>
                <w:i/>
              </w:rPr>
              <w:t xml:space="preserve"> </w:t>
            </w:r>
            <w:r>
              <w:rPr>
                <w:i/>
              </w:rPr>
              <w:t xml:space="preserve">IL</w:t>
            </w:r>
            <w:r>
              <w:rPr>
                <w:i/>
              </w:rPr>
              <w:t xml:space="preserve"> </w:t>
            </w:r>
            <w:r>
              <w:rPr>
                <w:i/>
              </w:rPr>
              <w:t xml:space="preserve">60606</w:t>
            </w:r>
          </w:p>
          <w:p>
            <w:pPr>
              <w:pStyle w:val="CACounsel"/>
              <w:keepNext/>
              <w:spacing w:before="0" w:after="0" w:line="340" w:lineRule="exact"/>
              <w:jc w:val="center"/>
            </w:pPr>
            <w:r>
              <w:rPr>
                <w:i/>
              </w:rPr>
              <w:t xml:space="preserve">bdelgobbo@bakerlaw.com</w:t>
            </w:r>
          </w:p>
          <w:p>
            <w:pPr>
              <w:pStyle w:val="CACounsel"/>
              <w:keepNext/>
              <w:spacing w:before="0" w:after="0" w:line="340" w:lineRule="exact"/>
              <w:jc w:val="center"/>
            </w:pPr>
            <w:r>
              <w:rPr>
                <w:i/>
              </w:rPr>
              <w:t xml:space="preserve">jcgriswold@bakerlaw.com</w:t>
            </w:r>
          </w:p>
          <w:p>
            <w:pPr>
              <w:pStyle w:val="CACounsel"/>
              <w:keepNext/>
              <w:spacing w:before="0" w:after="0" w:line="340" w:lineRule="exact"/>
              <w:jc w:val="center"/>
            </w:pPr>
            <w:r>
              <w:rPr>
                <w:i/>
              </w:rPr>
              <w:t xml:space="preserve">(312)</w:t>
            </w:r>
            <w:r>
              <w:rPr>
                <w:i/>
              </w:rPr>
              <w:t xml:space="preserve"> </w:t>
            </w:r>
            <w:r>
              <w:rPr>
                <w:i/>
              </w:rPr>
              <w:t xml:space="preserve">416-6200</w:t>
            </w:r>
          </w:p>
        </w:tc>
      </w:tr>
    </w:tbl>
    <w:p>
      <w:pPr>
        <w:pStyle w:val="CADoubleRule"/>
        <w:spacing w:before="280" w:after="280" w:line="50" w:lineRule="exact"/>
      </w:pPr>
    </w:p>
    <w:p>
      <w:pPr>
        <w:spacing w:before="0" w:after="0" w:line="20" w:lineRule="exact"/>
        <w:sectPr>
          <w:pgSz w:w="12240" w:h="15840"/>
          <w:pgMar w:top="1440" w:right="1440" w:bottom="1440" w:left="1440" w:header="720" w:footer="720" w:gutter="0"/>
        </w:sectPr>
      </w:pPr>
    </w:p>
    <w:p>
      <w:pPr>
        <w:pStyle w:val="CASection"/>
        <w:spacing w:before="0" w:after="308" w:line="340" w:lineRule="exact"/>
      </w:pPr>
      <w:r>
        <w:t xml:space="preserve">Summary of the Case and Statement on Oral Argument</w:t>
      </w:r>
    </w:p>
    <w:p>
      <w:pPr>
        <w:pStyle w:val="FirstParagraph"/>
      </w:pPr>
      <w:r>
        <w:t xml:space="preserve">The district court dismissed Plaintiff Desmond Banks’s single claim under the Video Privacy Protection Act (the Act) against Defendant CoStar Realty Information, Inc. (CoStar) on multiple independently sufficient grounds. It held that CoStar is not a regulated “video tape service provider” because its apartment-listing website does not deliver video cassette tapes or similar physical items and, in any event, is not a video delivery business. The court held that Plaintiff is not a protected “consumer” under the Act because he does not allege a subscription that entitled him to relevant goods or services. And the court held that Plaintiff does not allege he was subject to a disclosure of “personally identifiable information” because his complaint alleged no meaningful factual content concerning the information disclosed. On these and other grounds, the court’s judgment stands unimpeachable.</w:t>
      </w:r>
    </w:p>
    <w:p>
      <w:pPr>
        <w:pStyle w:val="BodyText"/>
      </w:pPr>
      <w:r>
        <w:t xml:space="preserve">CoStar does not view the questions presented as difficult—especially given that the Court can affirm on any of the independent grounds, however narrow—and takes no position whether the Court should entertain oral argument.</w:t>
      </w:r>
    </w:p>
    <w:p>
      <w:pPr>
        <w:pStyle w:val="CASection"/>
        <w:pageBreakBefore/>
        <w:spacing w:before="0" w:after="308" w:line="340" w:lineRule="exact"/>
      </w:pPr>
      <w:r>
        <w:t xml:space="preserve">Corporate Disclosure Statement</w:t>
      </w:r>
    </w:p>
    <w:p>
      <w:pPr>
        <w:pStyle w:val="BodyText"/>
      </w:pPr>
      <w:r>
        <w:t xml:space="preserve">Pursuant to Federal Rule of Appellate Procedure 26.1 and Eighth Circuit Rule 26.1A, Defendant-Appellee CoStar Realty Information, Inc. hereby states that it is a wholly owned subsidiary of its parent company CoStar Group Inc., which is publicly traded on the NASDAQ exchange.</w:t>
      </w:r>
    </w:p>
    <w:p>
      <w:pPr>
        <w:pStyle w:val="CASection"/>
        <w:pageBreakBefore/>
        <w:spacing w:before="0" w:after="308" w:line="340" w:lineRule="exact"/>
      </w:pPr>
      <w:r>
        <w:t xml:space="preserve">Table of Contents</w:t>
      </w:r>
    </w:p>
    <w:p>
      <w:pPr>
        <w:pStyle w:val="CATocTop"/>
      </w:pPr>
      <w:r>
        <w:t xml:space="preserve">SUMMARY OF THE CASE AND STATEMENT ON ORAL ARGUMENT</w:t>
      </w:r>
      <w:r>
        <w:t xml:space="preserve">   </w:t>
      </w:r>
      <w:r>
        <w:tab/>
      </w:r>
      <w:r>
        <w:t xml:space="preserve">i</w:t>
      </w:r>
    </w:p>
    <w:p>
      <w:pPr>
        <w:pStyle w:val="CATocTop"/>
      </w:pPr>
      <w:r>
        <w:t xml:space="preserve">CORPORATE DISCLOSURE STATEMENT</w:t>
      </w:r>
      <w:r>
        <w:t xml:space="preserve">   </w:t>
      </w:r>
      <w:r>
        <w:tab/>
      </w:r>
      <w:r>
        <w:t xml:space="preserve">ii</w:t>
      </w:r>
    </w:p>
    <w:p>
      <w:pPr>
        <w:pStyle w:val="CATocTop"/>
      </w:pPr>
      <w:r>
        <w:t xml:space="preserve">TABLE OF CONTENTS</w:t>
      </w:r>
      <w:r>
        <w:t xml:space="preserve">   </w:t>
      </w:r>
      <w:r>
        <w:tab/>
      </w:r>
      <w:r>
        <w:t xml:space="preserve">iii</w:t>
      </w:r>
    </w:p>
    <w:p>
      <w:pPr>
        <w:pStyle w:val="CATocTop"/>
      </w:pPr>
      <w:r>
        <w:t xml:space="preserve">TABLE OF AUTHORITIES</w:t>
      </w:r>
      <w:r>
        <w:t xml:space="preserve">   </w:t>
      </w:r>
      <w:r>
        <w:tab/>
      </w:r>
      <w:r>
        <w:t xml:space="preserve">iv</w:t>
      </w:r>
    </w:p>
    <w:p>
      <w:pPr>
        <w:pStyle w:val="CATocTop"/>
      </w:pPr>
      <w:r>
        <w:t xml:space="preserve">STATEMENT</w:t>
      </w:r>
      <w:r>
        <w:t xml:space="preserve">   </w:t>
      </w:r>
      <w:r>
        <w:tab/>
      </w:r>
      <w:r>
        <w:t xml:space="preserve">1</w:t>
      </w:r>
    </w:p>
    <w:p>
      <w:pPr>
        <w:pStyle w:val="CATocTop"/>
      </w:pPr>
      <w:r>
        <w:t xml:space="preserve">STATEMENT</w:t>
      </w:r>
      <w:r>
        <w:t xml:space="preserve"> </w:t>
      </w:r>
      <w:r>
        <w:t xml:space="preserve">OF</w:t>
      </w:r>
      <w:r>
        <w:t xml:space="preserve"> </w:t>
      </w:r>
      <w:r>
        <w:t xml:space="preserve">JURISDICTION</w:t>
      </w:r>
      <w:r>
        <w:t xml:space="preserve">   </w:t>
      </w:r>
      <w:r>
        <w:tab/>
      </w:r>
      <w:r>
        <w:t xml:space="preserve">1</w:t>
      </w:r>
    </w:p>
    <w:p>
      <w:pPr>
        <w:pStyle w:val="CATocTop"/>
      </w:pPr>
      <w:r>
        <w:t xml:space="preserve">STATEMENT</w:t>
      </w:r>
      <w:r>
        <w:t xml:space="preserve"> </w:t>
      </w:r>
      <w:r>
        <w:t xml:space="preserve">OF</w:t>
      </w:r>
      <w:r>
        <w:t xml:space="preserve"> </w:t>
      </w:r>
      <w:r>
        <w:t xml:space="preserve">ISSUES</w:t>
      </w:r>
      <w:r>
        <w:t xml:space="preserve">   </w:t>
      </w:r>
      <w:r>
        <w:tab/>
      </w:r>
      <w:r>
        <w:t xml:space="preserve">2</w:t>
      </w:r>
    </w:p>
    <w:p>
      <w:pPr>
        <w:pStyle w:val="CATocTop"/>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pStyle w:val="CATocS1"/>
      </w:pPr>
      <w:r>
        <w:t xml:space="preserve">A.</w:t>
      </w:r>
      <w:r>
        <w:tab/>
      </w:r>
      <w:r>
        <w:t xml:space="preserve">Background</w:t>
      </w:r>
      <w:r>
        <w:t xml:space="preserve">   </w:t>
      </w:r>
      <w:r>
        <w:tab/>
      </w:r>
      <w:r>
        <w:t xml:space="preserve">3</w:t>
      </w:r>
    </w:p>
    <w:p>
      <w:pPr>
        <w:pStyle w:val="CATocTop"/>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4</w:t>
      </w:r>
    </w:p>
    <w:p>
      <w:pPr>
        <w:pStyle w:val="CATocTop"/>
      </w:pPr>
      <w:r>
        <w:t xml:space="preserve">ARGUMENT</w:t>
      </w:r>
      <w:r>
        <w:t xml:space="preserve">   </w:t>
      </w:r>
      <w:r>
        <w:tab/>
      </w:r>
      <w:r>
        <w:t xml:space="preserve">4</w:t>
      </w:r>
    </w:p>
    <w:p>
      <w:pPr>
        <w:pStyle w:val="CATocS0"/>
      </w:pPr>
      <w:r>
        <w:t xml:space="preserve">I.</w:t>
      </w:r>
      <w:r>
        <w:tab/>
      </w:r>
      <w:r>
        <w:t xml:space="preserve">CoStar</w:t>
      </w:r>
      <w:r>
        <w:t xml:space="preserve"> </w:t>
      </w:r>
      <w:r>
        <w:t xml:space="preserve">Is</w:t>
      </w:r>
      <w:r>
        <w:t xml:space="preserve"> </w:t>
      </w:r>
      <w:r>
        <w:t xml:space="preserve">Not</w:t>
      </w:r>
      <w:r>
        <w:t xml:space="preserve"> </w:t>
      </w:r>
      <w:r>
        <w:t xml:space="preserve">a</w:t>
      </w:r>
      <w:r>
        <w:t xml:space="preserve"> </w:t>
      </w:r>
      <w:r>
        <w:t xml:space="preserve">Video</w:t>
      </w:r>
      <w:r>
        <w:t xml:space="preserve"> </w:t>
      </w:r>
      <w:r>
        <w:t xml:space="preserve">Tape</w:t>
      </w:r>
      <w:r>
        <w:t xml:space="preserve"> </w:t>
      </w:r>
      <w:r>
        <w:t xml:space="preserve">Service</w:t>
      </w:r>
      <w:r>
        <w:t xml:space="preserve"> </w:t>
      </w:r>
      <w:r>
        <w:t xml:space="preserve">Provider</w:t>
      </w:r>
      <w:r>
        <w:t xml:space="preserve">   </w:t>
      </w:r>
      <w:r>
        <w:tab/>
      </w:r>
      <w:r>
        <w:t xml:space="preserve">4</w:t>
      </w:r>
    </w:p>
    <w:p>
      <w:pPr>
        <w:pStyle w:val="CATocS1"/>
      </w:pPr>
      <w:r>
        <w:t xml:space="preserve">A.</w:t>
      </w:r>
      <w:r>
        <w:tab/>
      </w:r>
      <w:r>
        <w:t xml:space="preserve">Video</w:t>
      </w:r>
      <w:r>
        <w:t xml:space="preserve"> </w:t>
      </w:r>
      <w:r>
        <w:t xml:space="preserve">Content</w:t>
      </w:r>
      <w:r>
        <w:t xml:space="preserve"> </w:t>
      </w:r>
      <w:r>
        <w:t xml:space="preserve">Posted</w:t>
      </w:r>
      <w:r>
        <w:t xml:space="preserve"> </w:t>
      </w:r>
      <w:r>
        <w:t xml:space="preserve">on</w:t>
      </w:r>
      <w:r>
        <w:t xml:space="preserve"> </w:t>
      </w:r>
      <w:r>
        <w:t xml:space="preserve">CoStar’s</w:t>
      </w:r>
      <w:r>
        <w:t xml:space="preserve"> </w:t>
      </w:r>
      <w:r>
        <w:t xml:space="preserve">Website</w:t>
      </w:r>
      <w:r>
        <w:t xml:space="preserve"> </w:t>
      </w:r>
      <w:r>
        <w:t xml:space="preserve">Is</w:t>
      </w:r>
      <w:r>
        <w:t xml:space="preserve"> </w:t>
      </w:r>
      <w:r>
        <w:t xml:space="preserve">Not</w:t>
      </w:r>
      <w:r>
        <w:t xml:space="preserve"> </w:t>
      </w:r>
      <w:r>
        <w:t xml:space="preserve">a</w:t>
      </w:r>
      <w:r>
        <w:t xml:space="preserve"> </w:t>
      </w:r>
      <w:r>
        <w:t xml:space="preserve">Video</w:t>
      </w:r>
      <w:r>
        <w:t xml:space="preserve"> </w:t>
      </w:r>
      <w:r>
        <w:t xml:space="preserve">Cassette</w:t>
      </w:r>
      <w:r>
        <w:t xml:space="preserve"> </w:t>
      </w:r>
      <w:r>
        <w:t xml:space="preserve">Tape</w:t>
      </w:r>
      <w:r>
        <w:t xml:space="preserve"> </w:t>
      </w:r>
      <w:r>
        <w:t xml:space="preserve">or</w:t>
      </w:r>
      <w:r>
        <w:t xml:space="preserve"> </w:t>
      </w:r>
      <w:r>
        <w:t xml:space="preserve">Similar</w:t>
      </w:r>
      <w:r>
        <w:t xml:space="preserve"> </w:t>
      </w:r>
      <w:r>
        <w:t xml:space="preserve">Item</w:t>
      </w:r>
      <w:r>
        <w:t xml:space="preserve">   </w:t>
      </w:r>
      <w:r>
        <w:tab/>
      </w:r>
      <w:r>
        <w:t xml:space="preserve">5</w:t>
      </w:r>
    </w:p>
    <w:p>
      <w:pPr>
        <w:pStyle w:val="CATocTop"/>
      </w:pPr>
      <w:r>
        <w:t xml:space="preserve">CONCLUSION</w:t>
      </w:r>
      <w:r>
        <w:t xml:space="preserve">   </w:t>
      </w:r>
      <w:r>
        <w:tab/>
      </w:r>
      <w:r>
        <w:t xml:space="preserve">6</w:t>
      </w:r>
    </w:p>
    <w:p>
      <w:pPr>
        <w:pStyle w:val="CATocTop"/>
      </w:pPr>
      <w:r>
        <w:t xml:space="preserve">CERTIFICATE OF COMPLIANCE</w:t>
      </w:r>
      <w:r>
        <w:t xml:space="preserve">   </w:t>
      </w:r>
      <w:r>
        <w:tab/>
      </w:r>
      <w:r>
        <w:t xml:space="preserve">7</w:t>
      </w:r>
    </w:p>
    <w:p>
      <w:pPr>
        <w:pStyle w:val="CATocTop"/>
      </w:pPr>
      <w:r>
        <w:t xml:space="preserve">CERTIFICATE OF SERVICE</w:t>
      </w:r>
      <w:r>
        <w:t xml:space="preserve">   </w:t>
      </w:r>
      <w:r>
        <w:tab/>
      </w:r>
      <w:r>
        <w:t xml:space="preserve">8</w:t>
      </w:r>
    </w:p>
    <w:p>
      <w:pPr>
        <w:pStyle w:val="CASection"/>
        <w:pageBreakBefore/>
        <w:spacing w:before="0" w:after="308" w:line="340" w:lineRule="exact"/>
      </w:pPr>
      <w:r>
        <w:t xml:space="preserve">Table of Authorities</w:t>
      </w:r>
    </w:p>
    <w:p>
      <w:pPr>
        <w:pStyle w:val="CAToaGroup"/>
      </w:pPr>
      <w:r>
        <w:t xml:space="preserve">Cases</w:t>
      </w:r>
    </w:p>
    <w:p>
      <w:pPr>
        <w:pStyle w:val="CAToaEntry"/>
      </w:pPr>
      <w:r>
        <w:rPr>
          <w:i/>
        </w:rPr>
        <w:t xml:space="preserve">Christopherson</w:t>
      </w:r>
      <w:r>
        <w:rPr>
          <w:i/>
        </w:rPr>
        <w:t xml:space="preserve"> </w:t>
      </w:r>
      <w:r>
        <w:rPr>
          <w:i/>
        </w:rPr>
        <w:t xml:space="preserve">v.</w:t>
      </w:r>
      <w:r>
        <w:rPr>
          <w:i/>
        </w:rPr>
        <w:t xml:space="preserve"> </w:t>
      </w:r>
      <w:r>
        <w:rPr>
          <w:i/>
        </w:rPr>
        <w:t xml:space="preserve">Cinema</w:t>
      </w:r>
      <w:r>
        <w:rPr>
          <w:i/>
        </w:rPr>
        <w:t xml:space="preserve"> </w:t>
      </w:r>
      <w:r>
        <w:rPr>
          <w:i/>
        </w:rPr>
        <w:t xml:space="preserve">Ent.</w:t>
      </w:r>
      <w:r>
        <w:rPr>
          <w:i/>
        </w:rPr>
        <w:t xml:space="preserve"> </w:t>
      </w:r>
      <w:r>
        <w:rPr>
          <w:i/>
        </w:rPr>
        <w:t xml:space="preserve">Corp.</w:t>
      </w:r>
      <w:r>
        <w:t xml:space="preserve">,</w:t>
      </w:r>
      <w:r>
        <w:br/>
      </w:r>
      <w:r>
        <w:t xml:space="preserve">161</w:t>
      </w:r>
      <w:r>
        <w:t xml:space="preserve"> </w:t>
      </w:r>
      <w:r>
        <w:t xml:space="preserve">F.4th</w:t>
      </w:r>
      <w:r>
        <w:t xml:space="preserve"> </w:t>
      </w:r>
      <w:r>
        <w:t xml:space="preserve">525</w:t>
      </w:r>
      <w:r>
        <w:t xml:space="preserve"> </w:t>
      </w:r>
      <w:r>
        <w:t xml:space="preserve">(8th</w:t>
      </w:r>
      <w:r>
        <w:t xml:space="preserve"> </w:t>
      </w:r>
      <w:r>
        <w:t xml:space="preserve">Cir.</w:t>
      </w:r>
      <w:r>
        <w:t xml:space="preserve"> </w:t>
      </w:r>
      <w:r>
        <w:t xml:space="preserve">2025)</w:t>
      </w:r>
      <w:r>
        <w:t xml:space="preserve">   </w:t>
      </w:r>
      <w:r>
        <w:tab/>
      </w:r>
      <w:r>
        <w:t xml:space="preserve">2, 5</w:t>
      </w:r>
    </w:p>
    <w:p>
      <w:pPr>
        <w:pStyle w:val="CAToaEntry"/>
      </w:pPr>
      <w:r>
        <w:rPr>
          <w:i/>
        </w:rPr>
        <w:t xml:space="preserve">Colson</w:t>
      </w:r>
      <w:r>
        <w:rPr>
          <w:i/>
        </w:rPr>
        <w:t xml:space="preserve"> </w:t>
      </w:r>
      <w:r>
        <w:rPr>
          <w:i/>
        </w:rPr>
        <w:t xml:space="preserve">v.</w:t>
      </w:r>
      <w:r>
        <w:rPr>
          <w:i/>
        </w:rPr>
        <w:t xml:space="preserve"> </w:t>
      </w:r>
      <w:r>
        <w:rPr>
          <w:i/>
        </w:rPr>
        <w:t xml:space="preserve">Hennepin</w:t>
      </w:r>
      <w:r>
        <w:rPr>
          <w:i/>
        </w:rPr>
        <w:t xml:space="preserve"> </w:t>
      </w:r>
      <w:r>
        <w:rPr>
          <w:i/>
        </w:rPr>
        <w:t xml:space="preserve">County</w:t>
      </w:r>
      <w:r>
        <w:t xml:space="preserve">,</w:t>
      </w:r>
      <w:r>
        <w:br/>
      </w:r>
      <w:r>
        <w:t xml:space="preserve">169</w:t>
      </w:r>
      <w:r>
        <w:t xml:space="preserve"> </w:t>
      </w:r>
      <w:r>
        <w:t xml:space="preserve">F.4th</w:t>
      </w:r>
      <w:r>
        <w:t xml:space="preserve"> </w:t>
      </w:r>
      <w:r>
        <w:t xml:space="preserve">773</w:t>
      </w:r>
      <w:r>
        <w:t xml:space="preserve"> </w:t>
      </w:r>
      <w:r>
        <w:t xml:space="preserve">(8th</w:t>
      </w:r>
      <w:r>
        <w:t xml:space="preserve"> </w:t>
      </w:r>
      <w:r>
        <w:t xml:space="preserve">Cir.</w:t>
      </w:r>
      <w:r>
        <w:t xml:space="preserve"> </w:t>
      </w:r>
      <w:r>
        <w:t xml:space="preserve">2026)</w:t>
      </w:r>
      <w:r>
        <w:t xml:space="preserve">   </w:t>
      </w:r>
      <w:r>
        <w:tab/>
      </w:r>
      <w:r>
        <w:t xml:space="preserve">2</w:t>
      </w:r>
    </w:p>
    <w:p>
      <w:pPr>
        <w:pStyle w:val="CAToaEntry"/>
      </w:pPr>
      <w:r>
        <w:rPr>
          <w:i/>
        </w:rPr>
        <w:t xml:space="preserve">Delaware</w:t>
      </w:r>
      <w:r>
        <w:rPr>
          <w:i/>
        </w:rPr>
        <w:t xml:space="preserve"> </w:t>
      </w:r>
      <w:r>
        <w:rPr>
          <w:i/>
        </w:rPr>
        <w:t xml:space="preserve">v.</w:t>
      </w:r>
      <w:r>
        <w:rPr>
          <w:i/>
        </w:rPr>
        <w:t xml:space="preserve"> </w:t>
      </w:r>
      <w:r>
        <w:rPr>
          <w:i/>
        </w:rPr>
        <w:t xml:space="preserve">Pennsylvania</w:t>
      </w:r>
      <w:r>
        <w:t xml:space="preserve">,</w:t>
      </w:r>
      <w:r>
        <w:br/>
      </w:r>
      <w:r>
        <w:t xml:space="preserve">598</w:t>
      </w:r>
      <w:r>
        <w:t xml:space="preserve"> </w:t>
      </w:r>
      <w:r>
        <w:t xml:space="preserve">U.S.</w:t>
      </w:r>
      <w:r>
        <w:t xml:space="preserve"> </w:t>
      </w:r>
      <w:r>
        <w:t xml:space="preserve">115</w:t>
      </w:r>
      <w:r>
        <w:t xml:space="preserve"> </w:t>
      </w:r>
      <w:r>
        <w:t xml:space="preserve">(2023)</w:t>
      </w:r>
      <w:r>
        <w:t xml:space="preserve">   </w:t>
      </w:r>
      <w:r>
        <w:tab/>
      </w:r>
      <w:r>
        <w:t xml:space="preserve">5</w:t>
      </w:r>
    </w:p>
    <w:p>
      <w:pPr>
        <w:pStyle w:val="CAToaEntry"/>
      </w:pPr>
      <w:r>
        <w:rPr>
          <w:i/>
        </w:rPr>
        <w:t xml:space="preserve">DRE</w:t>
      </w:r>
      <w:r>
        <w:rPr>
          <w:i/>
        </w:rPr>
        <w:t xml:space="preserve"> </w:t>
      </w:r>
      <w:r>
        <w:rPr>
          <w:i/>
        </w:rPr>
        <w:t xml:space="preserve">Health</w:t>
      </w:r>
      <w:r>
        <w:rPr>
          <w:i/>
        </w:rPr>
        <w:t xml:space="preserve"> </w:t>
      </w:r>
      <w:r>
        <w:rPr>
          <w:i/>
        </w:rPr>
        <w:t xml:space="preserve">Corp. v.</w:t>
      </w:r>
      <w:r>
        <w:rPr>
          <w:i/>
        </w:rPr>
        <w:t xml:space="preserve"> </w:t>
      </w:r>
      <w:r>
        <w:rPr>
          <w:i/>
        </w:rPr>
        <w:t xml:space="preserve">BRM</w:t>
      </w:r>
      <w:r>
        <w:rPr>
          <w:i/>
        </w:rPr>
        <w:t xml:space="preserve"> </w:t>
      </w:r>
      <w:r>
        <w:rPr>
          <w:i/>
        </w:rPr>
        <w:t xml:space="preserve">Trades,</w:t>
      </w:r>
      <w:r>
        <w:rPr>
          <w:i/>
        </w:rPr>
        <w:t xml:space="preserve"> </w:t>
      </w:r>
      <w:r>
        <w:rPr>
          <w:i/>
        </w:rPr>
        <w:t xml:space="preserve">LLC</w:t>
      </w:r>
      <w:r>
        <w:t xml:space="preserve">,</w:t>
      </w:r>
      <w:r>
        <w:br/>
      </w:r>
      <w:r>
        <w:t xml:space="preserve">151</w:t>
      </w:r>
      <w:r>
        <w:t xml:space="preserve"> </w:t>
      </w:r>
      <w:r>
        <w:t xml:space="preserve">F.4th</w:t>
      </w:r>
      <w:r>
        <w:t xml:space="preserve"> </w:t>
      </w:r>
      <w:r>
        <w:t xml:space="preserve">957</w:t>
      </w:r>
      <w:r>
        <w:t xml:space="preserve"> </w:t>
      </w:r>
      <w:r>
        <w:t xml:space="preserve">(8th</w:t>
      </w:r>
      <w:r>
        <w:t xml:space="preserve"> </w:t>
      </w:r>
      <w:r>
        <w:t xml:space="preserve">Cir.</w:t>
      </w:r>
      <w:r>
        <w:t xml:space="preserve"> </w:t>
      </w:r>
      <w:r>
        <w:t xml:space="preserve">2025)</w:t>
      </w:r>
      <w:r>
        <w:t xml:space="preserve">   </w:t>
      </w:r>
      <w:r>
        <w:tab/>
      </w:r>
      <w:r>
        <w:t xml:space="preserve">2</w:t>
      </w:r>
    </w:p>
    <w:p>
      <w:pPr>
        <w:pStyle w:val="CAToaEntry"/>
      </w:pPr>
      <w:r>
        <w:rPr>
          <w:i/>
        </w:rPr>
        <w:t xml:space="preserve">Drobnak</w:t>
      </w:r>
      <w:r>
        <w:rPr>
          <w:i/>
        </w:rPr>
        <w:t xml:space="preserve"> </w:t>
      </w:r>
      <w:r>
        <w:rPr>
          <w:i/>
        </w:rPr>
        <w:t xml:space="preserve">v.</w:t>
      </w:r>
      <w:r>
        <w:rPr>
          <w:i/>
        </w:rPr>
        <w:t xml:space="preserve"> </w:t>
      </w:r>
      <w:r>
        <w:rPr>
          <w:i/>
        </w:rPr>
        <w:t xml:space="preserve">Andersen</w:t>
      </w:r>
      <w:r>
        <w:rPr>
          <w:i/>
        </w:rPr>
        <w:t xml:space="preserve"> </w:t>
      </w:r>
      <w:r>
        <w:rPr>
          <w:i/>
        </w:rPr>
        <w:t xml:space="preserve">Corp.</w:t>
      </w:r>
      <w:r>
        <w:t xml:space="preserve">,</w:t>
      </w:r>
      <w:r>
        <w:br/>
      </w:r>
      <w:r>
        <w:t xml:space="preserve">561</w:t>
      </w:r>
      <w:r>
        <w:t xml:space="preserve"> </w:t>
      </w:r>
      <w:r>
        <w:t xml:space="preserve">F.3d</w:t>
      </w:r>
      <w:r>
        <w:t xml:space="preserve"> </w:t>
      </w:r>
      <w:r>
        <w:t xml:space="preserve">778</w:t>
      </w:r>
      <w:r>
        <w:t xml:space="preserve"> </w:t>
      </w:r>
      <w:r>
        <w:t xml:space="preserve">(8th</w:t>
      </w:r>
      <w:r>
        <w:t xml:space="preserve"> </w:t>
      </w:r>
      <w:r>
        <w:t xml:space="preserve">Cir.</w:t>
      </w:r>
      <w:r>
        <w:t xml:space="preserve"> </w:t>
      </w:r>
      <w:r>
        <w:t xml:space="preserve">2009)</w:t>
      </w:r>
      <w:r>
        <w:t xml:space="preserve">   </w:t>
      </w:r>
      <w:r>
        <w:tab/>
      </w:r>
      <w:r>
        <w:t xml:space="preserve">3</w:t>
      </w:r>
    </w:p>
    <w:p>
      <w:pPr>
        <w:pStyle w:val="CAToaEntry"/>
      </w:pPr>
      <w:r>
        <w:rPr>
          <w:i/>
        </w:rPr>
        <w:t xml:space="preserve">Eichenberger</w:t>
      </w:r>
      <w:r>
        <w:rPr>
          <w:i/>
        </w:rPr>
        <w:t xml:space="preserve"> </w:t>
      </w:r>
      <w:r>
        <w:rPr>
          <w:i/>
        </w:rPr>
        <w:t xml:space="preserve">v.</w:t>
      </w:r>
      <w:r>
        <w:rPr>
          <w:i/>
        </w:rPr>
        <w:t xml:space="preserve"> </w:t>
      </w:r>
      <w:r>
        <w:rPr>
          <w:i/>
        </w:rPr>
        <w:t xml:space="preserve">ESPN,</w:t>
      </w:r>
      <w:r>
        <w:rPr>
          <w:i/>
        </w:rPr>
        <w:t xml:space="preserve"> </w:t>
      </w:r>
      <w:r>
        <w:rPr>
          <w:i/>
        </w:rPr>
        <w:t xml:space="preserve">Inc.</w:t>
      </w:r>
      <w:r>
        <w:t xml:space="preserve">,</w:t>
      </w:r>
      <w:r>
        <w:br/>
      </w:r>
      <w:r>
        <w:t xml:space="preserve">876</w:t>
      </w:r>
      <w:r>
        <w:t xml:space="preserve"> </w:t>
      </w:r>
      <w:r>
        <w:t xml:space="preserve">F.3d</w:t>
      </w:r>
      <w:r>
        <w:t xml:space="preserve"> </w:t>
      </w:r>
      <w:r>
        <w:t xml:space="preserve">979</w:t>
      </w:r>
      <w:r>
        <w:t xml:space="preserve"> </w:t>
      </w:r>
      <w:r>
        <w:t xml:space="preserve">(9th</w:t>
      </w:r>
      <w:r>
        <w:t xml:space="preserve"> </w:t>
      </w:r>
      <w:r>
        <w:t xml:space="preserve">Cir.</w:t>
      </w:r>
      <w:r>
        <w:t xml:space="preserve"> </w:t>
      </w:r>
      <w:r>
        <w:t xml:space="preserve">2017)</w:t>
      </w:r>
      <w:r>
        <w:t xml:space="preserve">   </w:t>
      </w:r>
      <w:r>
        <w:tab/>
      </w:r>
      <w:r>
        <w:t xml:space="preserve">3</w:t>
      </w:r>
    </w:p>
    <w:p>
      <w:pPr>
        <w:pStyle w:val="CAToaEntry"/>
      </w:pPr>
      <w:r>
        <w:rPr>
          <w:i/>
        </w:rPr>
        <w:t xml:space="preserve">Ellis</w:t>
      </w:r>
      <w:r>
        <w:rPr>
          <w:i/>
        </w:rPr>
        <w:t xml:space="preserve"> </w:t>
      </w:r>
      <w:r>
        <w:rPr>
          <w:i/>
        </w:rPr>
        <w:t xml:space="preserve">v.</w:t>
      </w:r>
      <w:r>
        <w:rPr>
          <w:i/>
        </w:rPr>
        <w:t xml:space="preserve"> </w:t>
      </w:r>
      <w:r>
        <w:rPr>
          <w:i/>
        </w:rPr>
        <w:t xml:space="preserve">Cartoon</w:t>
      </w:r>
      <w:r>
        <w:rPr>
          <w:i/>
        </w:rPr>
        <w:t xml:space="preserve"> </w:t>
      </w:r>
      <w:r>
        <w:rPr>
          <w:i/>
        </w:rPr>
        <w:t xml:space="preserve">Network,</w:t>
      </w:r>
      <w:r>
        <w:rPr>
          <w:i/>
        </w:rPr>
        <w:t xml:space="preserve"> </w:t>
      </w:r>
      <w:r>
        <w:rPr>
          <w:i/>
        </w:rPr>
        <w:t xml:space="preserve">Inc.</w:t>
      </w:r>
      <w:r>
        <w:t xml:space="preserve">,</w:t>
      </w:r>
      <w:r>
        <w:br/>
      </w:r>
      <w:r>
        <w:t xml:space="preserve">803</w:t>
      </w:r>
      <w:r>
        <w:t xml:space="preserve"> </w:t>
      </w:r>
      <w:r>
        <w:t xml:space="preserve">F.3d</w:t>
      </w:r>
      <w:r>
        <w:t xml:space="preserve"> </w:t>
      </w:r>
      <w:r>
        <w:t xml:space="preserve">1251</w:t>
      </w:r>
      <w:r>
        <w:t xml:space="preserve"> </w:t>
      </w:r>
      <w:r>
        <w:t xml:space="preserve">(11th</w:t>
      </w:r>
      <w:r>
        <w:t xml:space="preserve"> </w:t>
      </w:r>
      <w:r>
        <w:t xml:space="preserve">Cir.</w:t>
      </w:r>
      <w:r>
        <w:t xml:space="preserve"> </w:t>
      </w:r>
      <w:r>
        <w:t xml:space="preserve">2015)</w:t>
      </w:r>
      <w:r>
        <w:t xml:space="preserve">   </w:t>
      </w:r>
      <w:r>
        <w:tab/>
      </w:r>
      <w:r>
        <w:t xml:space="preserve">2</w:t>
      </w:r>
    </w:p>
    <w:p>
      <w:pPr>
        <w:pStyle w:val="CAToaEntry"/>
      </w:pPr>
      <w:r>
        <w:rPr>
          <w:i/>
        </w:rPr>
        <w:t xml:space="preserve">In</w:t>
      </w:r>
      <w:r>
        <w:rPr>
          <w:i/>
        </w:rPr>
        <w:t xml:space="preserve"> </w:t>
      </w:r>
      <w:r>
        <w:rPr>
          <w:i/>
        </w:rPr>
        <w:t xml:space="preserve">re</w:t>
      </w:r>
      <w:r>
        <w:rPr>
          <w:i/>
        </w:rPr>
        <w:t xml:space="preserve"> </w:t>
      </w:r>
      <w:r>
        <w:rPr>
          <w:i/>
        </w:rPr>
        <w:t xml:space="preserve">Nickelodeon</w:t>
      </w:r>
      <w:r>
        <w:rPr>
          <w:i/>
        </w:rPr>
        <w:t xml:space="preserve"> </w:t>
      </w:r>
      <w:r>
        <w:rPr>
          <w:i/>
        </w:rPr>
        <w:t xml:space="preserve">Consumer</w:t>
      </w:r>
      <w:r>
        <w:rPr>
          <w:i/>
        </w:rPr>
        <w:t xml:space="preserve"> </w:t>
      </w:r>
      <w:r>
        <w:rPr>
          <w:i/>
        </w:rPr>
        <w:t xml:space="preserve">Priv.</w:t>
      </w:r>
      <w:r>
        <w:rPr>
          <w:i/>
        </w:rPr>
        <w:t xml:space="preserve"> </w:t>
      </w:r>
      <w:r>
        <w:rPr>
          <w:i/>
        </w:rPr>
        <w:t xml:space="preserve">Litig.</w:t>
      </w:r>
      <w:r>
        <w:t xml:space="preserve">,</w:t>
      </w:r>
      <w:r>
        <w:br/>
      </w:r>
      <w:r>
        <w:t xml:space="preserve">827</w:t>
      </w:r>
      <w:r>
        <w:t xml:space="preserve"> </w:t>
      </w:r>
      <w:r>
        <w:t xml:space="preserve">F.3d</w:t>
      </w:r>
      <w:r>
        <w:t xml:space="preserve"> </w:t>
      </w:r>
      <w:r>
        <w:t xml:space="preserve">262</w:t>
      </w:r>
      <w:r>
        <w:t xml:space="preserve"> </w:t>
      </w:r>
      <w:r>
        <w:t xml:space="preserve">(3d</w:t>
      </w:r>
      <w:r>
        <w:t xml:space="preserve"> </w:t>
      </w:r>
      <w:r>
        <w:t xml:space="preserve">Cir.</w:t>
      </w:r>
      <w:r>
        <w:t xml:space="preserve"> </w:t>
      </w:r>
      <w:r>
        <w:t xml:space="preserve">2016)</w:t>
      </w:r>
      <w:r>
        <w:t xml:space="preserve">   </w:t>
      </w:r>
      <w:r>
        <w:tab/>
      </w:r>
      <w:r>
        <w:t xml:space="preserve">3</w:t>
      </w:r>
    </w:p>
    <w:p>
      <w:pPr>
        <w:pStyle w:val="CAToaEntry"/>
      </w:pPr>
      <w:r>
        <w:rPr>
          <w:i/>
        </w:rPr>
        <w:t xml:space="preserve">PACK</w:t>
      </w:r>
      <w:r>
        <w:rPr>
          <w:i/>
        </w:rPr>
        <w:t xml:space="preserve"> </w:t>
      </w:r>
      <w:r>
        <w:rPr>
          <w:i/>
        </w:rPr>
        <w:t xml:space="preserve">Private</w:t>
      </w:r>
      <w:r>
        <w:rPr>
          <w:i/>
        </w:rPr>
        <w:t xml:space="preserve"> </w:t>
      </w:r>
      <w:r>
        <w:rPr>
          <w:i/>
        </w:rPr>
        <w:t xml:space="preserve">Cap.,</w:t>
      </w:r>
      <w:r>
        <w:rPr>
          <w:i/>
        </w:rPr>
        <w:t xml:space="preserve"> </w:t>
      </w:r>
      <w:r>
        <w:rPr>
          <w:i/>
        </w:rPr>
        <w:t xml:space="preserve">LLC</w:t>
      </w:r>
      <w:r>
        <w:rPr>
          <w:i/>
        </w:rPr>
        <w:t xml:space="preserve"> </w:t>
      </w:r>
      <w:r>
        <w:rPr>
          <w:i/>
        </w:rPr>
        <w:t xml:space="preserve">v.</w:t>
      </w:r>
      <w:r>
        <w:rPr>
          <w:i/>
        </w:rPr>
        <w:t xml:space="preserve"> </w:t>
      </w:r>
      <w:r>
        <w:rPr>
          <w:i/>
        </w:rPr>
        <w:t xml:space="preserve">Associated</w:t>
      </w:r>
      <w:r>
        <w:rPr>
          <w:i/>
        </w:rPr>
        <w:t xml:space="preserve"> </w:t>
      </w:r>
      <w:r>
        <w:rPr>
          <w:i/>
        </w:rPr>
        <w:t xml:space="preserve">Bank,</w:t>
      </w:r>
      <w:r>
        <w:rPr>
          <w:i/>
        </w:rPr>
        <w:t xml:space="preserve"> </w:t>
      </w:r>
      <w:r>
        <w:rPr>
          <w:i/>
        </w:rPr>
        <w:t xml:space="preserve">N.A.</w:t>
      </w:r>
      <w:r>
        <w:t xml:space="preserve">,</w:t>
      </w:r>
      <w:r>
        <w:br/>
      </w:r>
      <w:r>
        <w:t xml:space="preserve">155</w:t>
      </w:r>
      <w:r>
        <w:t xml:space="preserve"> </w:t>
      </w:r>
      <w:r>
        <w:t xml:space="preserve">F.4th</w:t>
      </w:r>
      <w:r>
        <w:t xml:space="preserve"> </w:t>
      </w:r>
      <w:r>
        <w:t xml:space="preserve">981</w:t>
      </w:r>
      <w:r>
        <w:t xml:space="preserve"> </w:t>
      </w:r>
      <w:r>
        <w:t xml:space="preserve">(8th</w:t>
      </w:r>
      <w:r>
        <w:t xml:space="preserve"> </w:t>
      </w:r>
      <w:r>
        <w:t xml:space="preserve">Cir.</w:t>
      </w:r>
      <w:r>
        <w:t xml:space="preserve"> </w:t>
      </w:r>
      <w:r>
        <w:t xml:space="preserve">2025)</w:t>
      </w:r>
      <w:r>
        <w:t xml:space="preserve">   </w:t>
      </w:r>
      <w:r>
        <w:tab/>
      </w:r>
      <w:r>
        <w:t xml:space="preserve">3</w:t>
      </w:r>
    </w:p>
    <w:p>
      <w:pPr>
        <w:pStyle w:val="CAToaEntry"/>
      </w:pPr>
      <w:r>
        <w:rPr>
          <w:i/>
        </w:rPr>
        <w:t xml:space="preserve">Park</w:t>
      </w:r>
      <w:r>
        <w:rPr>
          <w:i/>
        </w:rPr>
        <w:t xml:space="preserve"> </w:t>
      </w:r>
      <w:r>
        <w:rPr>
          <w:i/>
        </w:rPr>
        <w:t xml:space="preserve">Irmat</w:t>
      </w:r>
      <w:r>
        <w:rPr>
          <w:i/>
        </w:rPr>
        <w:t xml:space="preserve"> </w:t>
      </w:r>
      <w:r>
        <w:rPr>
          <w:i/>
        </w:rPr>
        <w:t xml:space="preserve">Drug</w:t>
      </w:r>
      <w:r>
        <w:rPr>
          <w:i/>
        </w:rPr>
        <w:t xml:space="preserve"> </w:t>
      </w:r>
      <w:r>
        <w:rPr>
          <w:i/>
        </w:rPr>
        <w:t xml:space="preserve">Corp. v.</w:t>
      </w:r>
      <w:r>
        <w:rPr>
          <w:i/>
        </w:rPr>
        <w:t xml:space="preserve"> </w:t>
      </w:r>
      <w:r>
        <w:rPr>
          <w:i/>
        </w:rPr>
        <w:t xml:space="preserve">Express</w:t>
      </w:r>
      <w:r>
        <w:rPr>
          <w:i/>
        </w:rPr>
        <w:t xml:space="preserve"> </w:t>
      </w:r>
      <w:r>
        <w:rPr>
          <w:i/>
        </w:rPr>
        <w:t xml:space="preserve">Scripts</w:t>
      </w:r>
      <w:r>
        <w:rPr>
          <w:i/>
        </w:rPr>
        <w:t xml:space="preserve"> </w:t>
      </w:r>
      <w:r>
        <w:rPr>
          <w:i/>
        </w:rPr>
        <w:t xml:space="preserve">Holding</w:t>
      </w:r>
      <w:r>
        <w:rPr>
          <w:i/>
        </w:rPr>
        <w:t xml:space="preserve"> </w:t>
      </w:r>
      <w:r>
        <w:rPr>
          <w:i/>
        </w:rPr>
        <w:t xml:space="preserve">Co.</w:t>
      </w:r>
      <w:r>
        <w:t xml:space="preserve">,</w:t>
      </w:r>
      <w:r>
        <w:br/>
      </w:r>
      <w:r>
        <w:t xml:space="preserve">911</w:t>
      </w:r>
      <w:r>
        <w:t xml:space="preserve"> </w:t>
      </w:r>
      <w:r>
        <w:t xml:space="preserve">F.3d</w:t>
      </w:r>
      <w:r>
        <w:t xml:space="preserve"> </w:t>
      </w:r>
      <w:r>
        <w:t xml:space="preserve">505</w:t>
      </w:r>
      <w:r>
        <w:t xml:space="preserve"> </w:t>
      </w:r>
      <w:r>
        <w:t xml:space="preserve">(8th</w:t>
      </w:r>
      <w:r>
        <w:t xml:space="preserve"> </w:t>
      </w:r>
      <w:r>
        <w:t xml:space="preserve">Cir.</w:t>
      </w:r>
      <w:r>
        <w:t xml:space="preserve"> </w:t>
      </w:r>
      <w:r>
        <w:t xml:space="preserve">2018)</w:t>
      </w:r>
      <w:r>
        <w:t xml:space="preserve">   </w:t>
      </w:r>
      <w:r>
        <w:tab/>
      </w:r>
      <w:r>
        <w:t xml:space="preserve">3</w:t>
      </w:r>
    </w:p>
    <w:p>
      <w:pPr>
        <w:pStyle w:val="CAToaEntry"/>
      </w:pPr>
      <w:r>
        <w:rPr>
          <w:i/>
        </w:rPr>
        <w:t xml:space="preserve">Perry</w:t>
      </w:r>
      <w:r>
        <w:rPr>
          <w:i/>
        </w:rPr>
        <w:t xml:space="preserve"> </w:t>
      </w:r>
      <w:r>
        <w:rPr>
          <w:i/>
        </w:rPr>
        <w:t xml:space="preserve">v.</w:t>
      </w:r>
      <w:r>
        <w:rPr>
          <w:i/>
        </w:rPr>
        <w:t xml:space="preserve"> </w:t>
      </w:r>
      <w:r>
        <w:rPr>
          <w:i/>
        </w:rPr>
        <w:t xml:space="preserve">CNN</w:t>
      </w:r>
      <w:r>
        <w:t xml:space="preserve">,</w:t>
      </w:r>
      <w:r>
        <w:br/>
      </w:r>
      <w:r>
        <w:t xml:space="preserve">854</w:t>
      </w:r>
      <w:r>
        <w:t xml:space="preserve"> </w:t>
      </w:r>
      <w:r>
        <w:t xml:space="preserve">F.3d</w:t>
      </w:r>
      <w:r>
        <w:t xml:space="preserve"> </w:t>
      </w:r>
      <w:r>
        <w:t xml:space="preserve">1336</w:t>
      </w:r>
      <w:r>
        <w:t xml:space="preserve"> </w:t>
      </w:r>
      <w:r>
        <w:t xml:space="preserve">(11th</w:t>
      </w:r>
      <w:r>
        <w:t xml:space="preserve"> </w:t>
      </w:r>
      <w:r>
        <w:t xml:space="preserve">Cir.</w:t>
      </w:r>
      <w:r>
        <w:t xml:space="preserve"> </w:t>
      </w:r>
      <w:r>
        <w:t xml:space="preserve">2017)</w:t>
      </w:r>
      <w:r>
        <w:t xml:space="preserve">   </w:t>
      </w:r>
      <w:r>
        <w:tab/>
      </w:r>
      <w:r>
        <w:t xml:space="preserve">3</w:t>
      </w:r>
    </w:p>
    <w:p>
      <w:pPr>
        <w:pStyle w:val="CAToaEntry"/>
      </w:pPr>
      <w:r>
        <w:rPr>
          <w:i/>
        </w:rPr>
        <w:t xml:space="preserve">Pileggi</w:t>
      </w:r>
      <w:r>
        <w:rPr>
          <w:i/>
        </w:rPr>
        <w:t xml:space="preserve"> </w:t>
      </w:r>
      <w:r>
        <w:rPr>
          <w:i/>
        </w:rPr>
        <w:t xml:space="preserve">v.</w:t>
      </w:r>
      <w:r>
        <w:rPr>
          <w:i/>
        </w:rPr>
        <w:t xml:space="preserve"> </w:t>
      </w:r>
      <w:r>
        <w:rPr>
          <w:i/>
        </w:rPr>
        <w:t xml:space="preserve">Washington</w:t>
      </w:r>
      <w:r>
        <w:rPr>
          <w:i/>
        </w:rPr>
        <w:t xml:space="preserve"> </w:t>
      </w:r>
      <w:r>
        <w:rPr>
          <w:i/>
        </w:rPr>
        <w:t xml:space="preserve">Newspaper</w:t>
      </w:r>
      <w:r>
        <w:rPr>
          <w:i/>
        </w:rPr>
        <w:t xml:space="preserve"> </w:t>
      </w:r>
      <w:r>
        <w:rPr>
          <w:i/>
        </w:rPr>
        <w:t xml:space="preserve">Publ’g</w:t>
      </w:r>
      <w:r>
        <w:rPr>
          <w:i/>
        </w:rPr>
        <w:t xml:space="preserve"> </w:t>
      </w:r>
      <w:r>
        <w:rPr>
          <w:i/>
        </w:rPr>
        <w:t xml:space="preserve">Co.,</w:t>
      </w:r>
      <w:r>
        <w:rPr>
          <w:i/>
        </w:rPr>
        <w:t xml:space="preserve"> </w:t>
      </w:r>
      <w:r>
        <w:rPr>
          <w:i/>
        </w:rPr>
        <w:t xml:space="preserve">LLC</w:t>
      </w:r>
      <w:r>
        <w:t xml:space="preserve">,</w:t>
      </w:r>
      <w:r>
        <w:br/>
      </w:r>
      <w:r>
        <w:t xml:space="preserve">146</w:t>
      </w:r>
      <w:r>
        <w:t xml:space="preserve"> </w:t>
      </w:r>
      <w:r>
        <w:t xml:space="preserve">F.4th</w:t>
      </w:r>
      <w:r>
        <w:t xml:space="preserve"> </w:t>
      </w:r>
      <w:r>
        <w:t xml:space="preserve">1219</w:t>
      </w:r>
      <w:r>
        <w:t xml:space="preserve"> </w:t>
      </w:r>
      <w:r>
        <w:t xml:space="preserve">(D.C.</w:t>
      </w:r>
      <w:r>
        <w:t xml:space="preserve"> </w:t>
      </w:r>
      <w:r>
        <w:t xml:space="preserve">Cir.</w:t>
      </w:r>
      <w:r>
        <w:t xml:space="preserve"> </w:t>
      </w:r>
      <w:r>
        <w:t xml:space="preserve">2025)</w:t>
      </w:r>
      <w:r>
        <w:t xml:space="preserve">   </w:t>
      </w:r>
      <w:r>
        <w:tab/>
      </w:r>
      <w:r>
        <w:t xml:space="preserve">2</w:t>
      </w:r>
    </w:p>
    <w:p>
      <w:pPr>
        <w:pStyle w:val="CAToaEntry"/>
      </w:pPr>
      <w:r>
        <w:rPr>
          <w:i/>
        </w:rPr>
        <w:t xml:space="preserve">Solomon</w:t>
      </w:r>
      <w:r>
        <w:rPr>
          <w:i/>
        </w:rPr>
        <w:t xml:space="preserve"> </w:t>
      </w:r>
      <w:r>
        <w:rPr>
          <w:i/>
        </w:rPr>
        <w:t xml:space="preserve">v.</w:t>
      </w:r>
      <w:r>
        <w:rPr>
          <w:i/>
        </w:rPr>
        <w:t xml:space="preserve"> </w:t>
      </w:r>
      <w:r>
        <w:rPr>
          <w:i/>
        </w:rPr>
        <w:t xml:space="preserve">Flipps</w:t>
      </w:r>
      <w:r>
        <w:rPr>
          <w:i/>
        </w:rPr>
        <w:t xml:space="preserve"> </w:t>
      </w:r>
      <w:r>
        <w:rPr>
          <w:i/>
        </w:rPr>
        <w:t xml:space="preserve">Media,</w:t>
      </w:r>
      <w:r>
        <w:rPr>
          <w:i/>
        </w:rPr>
        <w:t xml:space="preserve"> </w:t>
      </w:r>
      <w:r>
        <w:rPr>
          <w:i/>
        </w:rPr>
        <w:t xml:space="preserve">Inc.</w:t>
      </w:r>
      <w:r>
        <w:t xml:space="preserve">,</w:t>
      </w:r>
      <w:r>
        <w:br/>
      </w:r>
      <w:r>
        <w:t xml:space="preserve">136</w:t>
      </w:r>
      <w:r>
        <w:t xml:space="preserve"> </w:t>
      </w:r>
      <w:r>
        <w:t xml:space="preserve">F.4th</w:t>
      </w:r>
      <w:r>
        <w:t xml:space="preserve"> </w:t>
      </w:r>
      <w:r>
        <w:t xml:space="preserve">41</w:t>
      </w:r>
      <w:r>
        <w:t xml:space="preserve"> </w:t>
      </w:r>
      <w:r>
        <w:t xml:space="preserve">(2d</w:t>
      </w:r>
      <w:r>
        <w:t xml:space="preserve"> </w:t>
      </w:r>
      <w:r>
        <w:t xml:space="preserve">Cir.),</w:t>
      </w:r>
      <w:r>
        <w:t xml:space="preserve"> </w:t>
      </w:r>
      <w:r>
        <w:t xml:space="preserve">cert.</w:t>
      </w:r>
      <w:r>
        <w:t xml:space="preserve"> </w:t>
      </w:r>
      <w:r>
        <w:t xml:space="preserve">denied,</w:t>
      </w:r>
      <w:r>
        <w:t xml:space="preserve"> </w:t>
      </w:r>
      <w:r>
        <w:t xml:space="preserve">146</w:t>
      </w:r>
      <w:r>
        <w:t xml:space="preserve"> </w:t>
      </w:r>
      <w:r>
        <w:t xml:space="preserve">S.</w:t>
      </w:r>
      <w:r>
        <w:t xml:space="preserve"> </w:t>
      </w:r>
      <w:r>
        <w:t xml:space="preserve">Ct.</w:t>
      </w:r>
      <w:r>
        <w:t xml:space="preserve"> </w:t>
      </w:r>
      <w:r>
        <w:t xml:space="preserve">885</w:t>
      </w:r>
      <w:r>
        <w:t xml:space="preserve"> </w:t>
      </w:r>
      <w:r>
        <w:t xml:space="preserve">(2025)</w:t>
      </w:r>
      <w:r>
        <w:t xml:space="preserve">   </w:t>
      </w:r>
      <w:r>
        <w:tab/>
      </w:r>
      <w:r>
        <w:t xml:space="preserve">3</w:t>
      </w:r>
    </w:p>
    <w:p>
      <w:pPr>
        <w:pStyle w:val="CAToaEntry"/>
      </w:pPr>
      <w:r>
        <w:rPr>
          <w:i/>
        </w:rPr>
        <w:t xml:space="preserve">United</w:t>
      </w:r>
      <w:r>
        <w:rPr>
          <w:i/>
        </w:rPr>
        <w:t xml:space="preserve"> </w:t>
      </w:r>
      <w:r>
        <w:rPr>
          <w:i/>
        </w:rPr>
        <w:t xml:space="preserve">States</w:t>
      </w:r>
      <w:r>
        <w:rPr>
          <w:i/>
        </w:rPr>
        <w:t xml:space="preserve"> </w:t>
      </w:r>
      <w:r>
        <w:rPr>
          <w:i/>
        </w:rPr>
        <w:t xml:space="preserve">v.</w:t>
      </w:r>
      <w:r>
        <w:rPr>
          <w:i/>
        </w:rPr>
        <w:t xml:space="preserve"> </w:t>
      </w:r>
      <w:r>
        <w:rPr>
          <w:i/>
        </w:rPr>
        <w:t xml:space="preserve">Mask</w:t>
      </w:r>
      <w:r>
        <w:rPr>
          <w:i/>
        </w:rPr>
        <w:t xml:space="preserve"> </w:t>
      </w:r>
      <w:r>
        <w:rPr>
          <w:i/>
        </w:rPr>
        <w:t xml:space="preserve">of</w:t>
      </w:r>
      <w:r>
        <w:rPr>
          <w:i/>
        </w:rPr>
        <w:t xml:space="preserve"> </w:t>
      </w:r>
      <w:r>
        <w:rPr>
          <w:i/>
        </w:rPr>
        <w:t xml:space="preserve">Ka-Nefer-Nefer</w:t>
      </w:r>
      <w:r>
        <w:t xml:space="preserve">,</w:t>
      </w:r>
      <w:r>
        <w:br/>
      </w:r>
      <w:r>
        <w:t xml:space="preserve">752</w:t>
      </w:r>
      <w:r>
        <w:t xml:space="preserve"> </w:t>
      </w:r>
      <w:r>
        <w:t xml:space="preserve">F.3d</w:t>
      </w:r>
      <w:r>
        <w:t xml:space="preserve"> </w:t>
      </w:r>
      <w:r>
        <w:t xml:space="preserve">737</w:t>
      </w:r>
      <w:r>
        <w:t xml:space="preserve"> </w:t>
      </w:r>
      <w:r>
        <w:t xml:space="preserve">(8th</w:t>
      </w:r>
      <w:r>
        <w:t xml:space="preserve"> </w:t>
      </w:r>
      <w:r>
        <w:t xml:space="preserve">Cir.</w:t>
      </w:r>
      <w:r>
        <w:t xml:space="preserve"> </w:t>
      </w:r>
      <w:r>
        <w:t xml:space="preserve">2014)</w:t>
      </w:r>
      <w:r>
        <w:t xml:space="preserve">   </w:t>
      </w:r>
      <w:r>
        <w:tab/>
      </w:r>
      <w:r>
        <w:t xml:space="preserve">3</w:t>
      </w:r>
    </w:p>
    <w:p>
      <w:pPr>
        <w:pStyle w:val="CAToaEntry"/>
      </w:pPr>
      <w:r>
        <w:rPr>
          <w:i/>
        </w:rPr>
        <w:t xml:space="preserve">Yershov</w:t>
      </w:r>
      <w:r>
        <w:rPr>
          <w:i/>
        </w:rPr>
        <w:t xml:space="preserve"> </w:t>
      </w:r>
      <w:r>
        <w:rPr>
          <w:i/>
        </w:rPr>
        <w:t xml:space="preserve">v.</w:t>
      </w:r>
      <w:r>
        <w:rPr>
          <w:i/>
        </w:rPr>
        <w:t xml:space="preserve"> </w:t>
      </w:r>
      <w:r>
        <w:rPr>
          <w:i/>
        </w:rPr>
        <w:t xml:space="preserve">Gannett</w:t>
      </w:r>
      <w:r>
        <w:rPr>
          <w:i/>
        </w:rPr>
        <w:t xml:space="preserve"> </w:t>
      </w:r>
      <w:r>
        <w:rPr>
          <w:i/>
        </w:rPr>
        <w:t xml:space="preserve">Satellite</w:t>
      </w:r>
      <w:r>
        <w:rPr>
          <w:i/>
        </w:rPr>
        <w:t xml:space="preserve"> </w:t>
      </w:r>
      <w:r>
        <w:rPr>
          <w:i/>
        </w:rPr>
        <w:t xml:space="preserve">Info.</w:t>
      </w:r>
      <w:r>
        <w:rPr>
          <w:i/>
        </w:rPr>
        <w:t xml:space="preserve"> </w:t>
      </w:r>
      <w:r>
        <w:rPr>
          <w:i/>
        </w:rPr>
        <w:t xml:space="preserve">Network,</w:t>
      </w:r>
      <w:r>
        <w:rPr>
          <w:i/>
        </w:rPr>
        <w:t xml:space="preserve"> </w:t>
      </w:r>
      <w:r>
        <w:rPr>
          <w:i/>
        </w:rPr>
        <w:t xml:space="preserve">Inc.</w:t>
      </w:r>
      <w:r>
        <w:t xml:space="preserve">,</w:t>
      </w:r>
      <w:r>
        <w:br/>
      </w:r>
      <w:r>
        <w:t xml:space="preserve">820</w:t>
      </w:r>
      <w:r>
        <w:t xml:space="preserve"> </w:t>
      </w:r>
      <w:r>
        <w:t xml:space="preserve">F.3d</w:t>
      </w:r>
      <w:r>
        <w:t xml:space="preserve"> </w:t>
      </w:r>
      <w:r>
        <w:t xml:space="preserve">482</w:t>
      </w:r>
      <w:r>
        <w:t xml:space="preserve"> </w:t>
      </w:r>
      <w:r>
        <w:t xml:space="preserve">(1st</w:t>
      </w:r>
      <w:r>
        <w:t xml:space="preserve"> </w:t>
      </w:r>
      <w:r>
        <w:t xml:space="preserve">Cir.</w:t>
      </w:r>
      <w:r>
        <w:t xml:space="preserve"> </w:t>
      </w:r>
      <w:r>
        <w:t xml:space="preserve">2016)</w:t>
      </w:r>
      <w:r>
        <w:t xml:space="preserve">   </w:t>
      </w:r>
      <w:r>
        <w:tab/>
      </w:r>
      <w:r>
        <w:t xml:space="preserve">3</w:t>
      </w:r>
    </w:p>
    <w:p>
      <w:pPr>
        <w:pStyle w:val="CAToaGroup"/>
      </w:pPr>
      <w:r>
        <w:t xml:space="preserve">Statutes</w:t>
      </w:r>
    </w:p>
    <w:p>
      <w:pPr>
        <w:pStyle w:val="CAToaEntry"/>
      </w:pPr>
      <w:r>
        <w:t xml:space="preserve">18</w:t>
      </w:r>
      <w:r>
        <w:t xml:space="preserve"> </w:t>
      </w:r>
      <w:r>
        <w:t xml:space="preserve">U.S.C.</w:t>
      </w:r>
      <w:r>
        <w:t xml:space="preserve"> </w:t>
      </w:r>
      <w:r>
        <w:t xml:space="preserve">§</w:t>
      </w:r>
      <w:r>
        <w:t xml:space="preserve"> </w:t>
      </w:r>
      <w:r>
        <w:t xml:space="preserve">2710</w:t>
      </w:r>
      <w:r>
        <w:t xml:space="preserve">   </w:t>
      </w:r>
      <w:r>
        <w:tab/>
      </w:r>
      <w:r>
        <w:t xml:space="preserve">2, 3, 4, 5</w:t>
      </w:r>
    </w:p>
    <w:p>
      <w:pPr>
        <w:pStyle w:val="CAToaEntry"/>
      </w:pPr>
      <w:r>
        <w:t xml:space="preserve">28</w:t>
      </w:r>
      <w:r>
        <w:t xml:space="preserve"> </w:t>
      </w:r>
      <w:r>
        <w:t xml:space="preserve">U.S.C.</w:t>
      </w:r>
      <w:r>
        <w:t xml:space="preserve"> </w:t>
      </w:r>
      <w:r>
        <w:t xml:space="preserve">§§</w:t>
      </w:r>
      <w:r>
        <w:t xml:space="preserve"> </w:t>
      </w:r>
      <w:r>
        <w:t xml:space="preserve">1291,</w:t>
      </w:r>
      <w:r>
        <w:t xml:space="preserve"> </w:t>
      </w:r>
      <w:r>
        <w:t xml:space="preserve">1331,</w:t>
      </w:r>
      <w:r>
        <w:t xml:space="preserve"> </w:t>
      </w:r>
      <w:r>
        <w:t xml:space="preserve">1332</w:t>
      </w:r>
      <w:r>
        <w:t xml:space="preserve">   </w:t>
      </w:r>
      <w:r>
        <w:tab/>
      </w:r>
      <w:r>
        <w:t xml:space="preserve">1, 2</w:t>
      </w:r>
    </w:p>
    <w:p>
      <w:pPr>
        <w:pStyle w:val="CAToaGroup"/>
      </w:pPr>
      <w:r>
        <w:t xml:space="preserve">Rules</w:t>
      </w:r>
    </w:p>
    <w:p>
      <w:pPr>
        <w:pStyle w:val="CAToaEntry"/>
      </w:pPr>
      <w:r>
        <w:t xml:space="preserve">Fed.</w:t>
      </w:r>
      <w:r>
        <w:t xml:space="preserve"> </w:t>
      </w:r>
      <w:r>
        <w:t xml:space="preserve">R.</w:t>
      </w:r>
      <w:r>
        <w:t xml:space="preserve"> </w:t>
      </w:r>
      <w:r>
        <w:t xml:space="preserve">Civ.</w:t>
      </w:r>
      <w:r>
        <w:t xml:space="preserve"> </w:t>
      </w:r>
      <w:r>
        <w:t xml:space="preserve">P.</w:t>
      </w:r>
      <w:r>
        <w:t xml:space="preserve"> </w:t>
      </w:r>
      <w:r>
        <w:t xml:space="preserve">58</w:t>
      </w:r>
      <w:r>
        <w:t xml:space="preserve">   </w:t>
      </w:r>
      <w:r>
        <w:tab/>
      </w:r>
      <w:r>
        <w:t xml:space="preserve">2</w:t>
      </w:r>
    </w:p>
    <w:p>
      <w:pPr>
        <w:pStyle w:val="CAToaGroup"/>
      </w:pPr>
      <w:r>
        <w:t xml:space="preserve">Other Authorities</w:t>
      </w:r>
    </w:p>
    <w:p>
      <w:pPr>
        <w:pStyle w:val="CAToaEntry"/>
      </w:pPr>
      <w:r>
        <w:t xml:space="preserve">S.</w:t>
      </w:r>
      <w:r>
        <w:t xml:space="preserve"> </w:t>
      </w:r>
      <w:r>
        <w:t xml:space="preserve">Rep.</w:t>
      </w:r>
      <w:r>
        <w:t xml:space="preserve"> </w:t>
      </w:r>
      <w:r>
        <w:t xml:space="preserve">No.</w:t>
      </w:r>
      <w:r>
        <w:t xml:space="preserve"> </w:t>
      </w:r>
      <w:r>
        <w:t xml:space="preserve">100</w:t>
      </w:r>
      <w:r>
        <w:noBreakHyphen/>
      </w:r>
      <w:r>
        <w:t xml:space="preserve">599</w:t>
      </w:r>
      <w:r>
        <w:t xml:space="preserve"> </w:t>
      </w:r>
      <w:r>
        <w:t xml:space="preserve">(1988)</w:t>
      </w:r>
      <w:r>
        <w:t xml:space="preserve">   </w:t>
      </w:r>
      <w:r>
        <w:tab/>
      </w:r>
      <w:r>
        <w:t xml:space="preserve">6</w:t>
      </w:r>
    </w:p>
    <w:p>
      <w:pPr>
        <w:spacing w:before="0" w:after="0" w:line="20" w:lineRule="exact"/>
        <w:sectPr>
          <w:footerReference w:type="default" r:id="rIdRomanFtr"/>
          <w:pgSz w:w="12240" w:h="15840"/>
          <w:pgMar w:top="1440" w:right="1440" w:bottom="1440" w:left="1440" w:header="720" w:footer="720" w:gutter="0"/>
          <w:pgNumType w:fmt="lowerRoman" w:start="1"/>
        </w:sectPr>
      </w:pPr>
    </w:p>
    <w:p>
      <w:pPr>
        <w:pStyle w:val="CASection"/>
        <w:keepNext/>
        <w:spacing w:before="0" w:after="308" w:line="340" w:lineRule="exact"/>
      </w:pPr>
      <w:r>
        <w:t xml:space="preserve">Statement</w:t>
      </w:r>
    </w:p>
    <w:p>
      <w:pPr>
        <w:pStyle w:val="BodyText"/>
      </w:pPr>
      <w:r>
        <w:t xml:space="preserve">Congress passed the Video Privacy Protection Act (the Act) to regulate a multi-billion-dollar industry that was then prominent but has mostly vanished today. Addressing the concern that employees of video rental stores could embarrass patrons by disclosing their rental records—which happened to Judge Robert Bork—Congress built the Act around the term “video tape.” That was a physical object that could be bought, sold, rented, and delivered, as they were on a massive scale in 1988.</w:t>
      </w:r>
    </w:p>
    <w:p>
      <w:pPr>
        <w:pStyle w:val="BodyText"/>
      </w:pPr>
      <w:r>
        <w:t xml:space="preserve">This case is one of many attempts to convert the Act into an expansive internet-privacy regulation that forbids some—but not most—tools for targeted advertising. Technology like the “Meta Pixel” provides means by which computers communicate with each other with little or no human involvement so that advertisements may be disseminated in maximally efficient fashion, matching marketing content with similar content accessed on a given device or account. This creates the likelihood that internet users receive advertisements that interest them. Reasonable minds can and do differ on the merits of this technology, and different types of coherent legislation could balance privacy concerns against efficiencies and benefits it creates. But the Act has nothing to do with these questions.</w:t>
      </w:r>
    </w:p>
    <w:p>
      <w:pPr>
        <w:pStyle w:val="CASection"/>
        <w:keepNext/>
      </w:pPr>
      <w:r>
        <w:t xml:space="preserve">Statement</w:t>
      </w:r>
      <w:r>
        <w:t xml:space="preserve"> </w:t>
      </w:r>
      <w:r>
        <w:t xml:space="preserve">of</w:t>
      </w:r>
      <w:r>
        <w:t xml:space="preserve"> </w:t>
      </w:r>
      <w:r>
        <w:t xml:space="preserve">Jurisdiction</w:t>
      </w:r>
    </w:p>
    <w:p>
      <w:pPr>
        <w:pStyle w:val="BodyText"/>
      </w:pPr>
      <w:r>
        <w:t xml:space="preserve">The district court had jurisdiction over Plaintiff’s federal claim, which was timely removed from state court, under the federal-question statute, 28 U.S.C. § 1331, and the Class Action Fairness Act,</w:t>
      </w:r>
      <w:r>
        <w:t xml:space="preserve"> </w:t>
      </w:r>
      <w:r>
        <w:rPr>
          <w:i/>
          <w:iCs/>
        </w:rPr>
        <w:t xml:space="preserve">id.</w:t>
      </w:r>
      <w:r>
        <w:t xml:space="preserve"> </w:t>
      </w:r>
      <w:r>
        <w:t xml:space="preserve">§ 1332. (App. 6–12; R. Doc. 1, at 1–7.) The district court entered an order dismissing Plaintiff’s claim with prejudice on October 20, 2025. (App. 93–108; Add. 1–16; R. Doc. 34, at 1–16.) Although the district court did not enter judgment “in a separate document,” and Plaintiff did not “request that judgment be set out in a separate document,” Fed. R. Civ. P. 58(a) and (d), that error does not deprive this Court of jurisdiction. See</w:t>
      </w:r>
      <w:r>
        <w:t xml:space="preserve"> </w:t>
      </w:r>
      <w:r>
        <w:rPr>
          <w:i/>
          <w:iCs/>
        </w:rPr>
        <w:t xml:space="preserve">DRE Health Corp. v. BRM Trades, LLC</w:t>
      </w:r>
      <w:r>
        <w:t xml:space="preserve">, 151 F.4th 957, 960 n.1 (8th Cir. 2025). Plaintiff timely appealed on November 19, 2025. (App. 109–11; R. Doc. 35, at 1–3.) This Court has jurisdiction under 28 U.S.C. § 1291.</w:t>
      </w:r>
    </w:p>
    <w:p>
      <w:pPr>
        <w:pStyle w:val="CASection"/>
        <w:keepNext/>
      </w:pPr>
      <w:r>
        <w:t xml:space="preserve">Statement</w:t>
      </w:r>
      <w:r>
        <w:t xml:space="preserve"> </w:t>
      </w:r>
      <w:r>
        <w:t xml:space="preserve">of</w:t>
      </w:r>
      <w:r>
        <w:t xml:space="preserve"> </w:t>
      </w:r>
      <w:r>
        <w:t xml:space="preserve">Issues</w:t>
      </w:r>
    </w:p>
    <w:p>
      <w:pPr>
        <w:pStyle w:val="BodyText"/>
      </w:pPr>
      <w:r>
        <w:t xml:space="preserve">1. Does a statute regulating persons engaged in “the business” of “video cassette tapes or similar audio visual materials,” 18 U.S.C. § 2710(a)⁠(3), reach a rental-listing website that enables property owners to design pages as they please, with or without web-based prerecorded video?</w:t>
      </w:r>
    </w:p>
    <w:p>
      <w:pPr>
        <w:pStyle w:val="BodyText"/>
      </w:pPr>
      <w:r>
        <w:t xml:space="preserve">Apposite Authority:</w:t>
      </w:r>
      <w:r>
        <w:t xml:space="preserve"> </w:t>
      </w:r>
      <w:r>
        <w:rPr>
          <w:i/>
          <w:iCs/>
        </w:rPr>
        <w:t xml:space="preserve">Christopherson v. Cinema Ent. Corp.</w:t>
      </w:r>
      <w:r>
        <w:t xml:space="preserve">, 161 F.4th 525 (8th Cir. 2025);</w:t>
      </w:r>
      <w:r>
        <w:t xml:space="preserve"> </w:t>
      </w:r>
      <w:r>
        <w:rPr>
          <w:i/>
          <w:iCs/>
        </w:rPr>
        <w:t xml:space="preserve">Pileggi v. Washington Newspaper Publ’g Co., LLC</w:t>
      </w:r>
      <w:r>
        <w:t xml:space="preserve">, 146 F.4th 1219 (D.C. Cir. 2025) (Randolph, J., concurring).</w:t>
      </w:r>
    </w:p>
    <w:p>
      <w:pPr>
        <w:pStyle w:val="BodyText"/>
      </w:pPr>
      <w:r>
        <w:t xml:space="preserve">2. Does a statute protecting “any renter, purchaser, or subscriber of goods or services from a video tape service provider,” 18 U.S.C. § 2710(a)⁠(1), apply where Plaintiff alleges only that he created an account on apartments.com, but not that he received any goods or services, much less video related goods or services?</w:t>
      </w:r>
    </w:p>
    <w:p>
      <w:pPr>
        <w:pStyle w:val="BodyText"/>
      </w:pPr>
      <w:r>
        <w:t xml:space="preserve">Apposite Authority:</w:t>
      </w:r>
      <w:r>
        <w:t xml:space="preserve"> </w:t>
      </w:r>
      <w:r>
        <w:rPr>
          <w:i/>
          <w:iCs/>
        </w:rPr>
        <w:t xml:space="preserve">Colson v. Hennepin County</w:t>
      </w:r>
      <w:r>
        <w:t xml:space="preserve">, 169 F.4th 773, 776 (8th Cir. 2026) (pleading standard);</w:t>
      </w:r>
      <w:r>
        <w:t xml:space="preserve"> </w:t>
      </w:r>
      <w:r>
        <w:rPr>
          <w:i/>
          <w:iCs/>
        </w:rPr>
        <w:t xml:space="preserve">Ellis v. Cartoon Network, Inc.</w:t>
      </w:r>
      <w:r>
        <w:t xml:space="preserve">, 803 F.3d 1251, 1256 (11th Cir. 2015);</w:t>
      </w:r>
      <w:r>
        <w:t xml:space="preserve"> </w:t>
      </w:r>
      <w:r>
        <w:rPr>
          <w:i/>
          <w:iCs/>
        </w:rPr>
        <w:t xml:space="preserve">Yershov v. Gannett Satellite Info. Network, Inc.</w:t>
      </w:r>
      <w:r>
        <w:t xml:space="preserve">, 820 F.3d 482, 489 (1st Cir. 2016);</w:t>
      </w:r>
      <w:r>
        <w:t xml:space="preserve"> </w:t>
      </w:r>
      <w:r>
        <w:rPr>
          <w:i/>
          <w:iCs/>
        </w:rPr>
        <w:t xml:space="preserve">Perry v. CNN</w:t>
      </w:r>
      <w:r>
        <w:t xml:space="preserve">, 854 F.3d 1336 (11th Cir. 2017).</w:t>
      </w:r>
    </w:p>
    <w:p>
      <w:pPr>
        <w:pStyle w:val="BodyText"/>
      </w:pPr>
      <w:r>
        <w:t xml:space="preserve">3. Does a statute regulating disclosure of “information which identifies a person as having requested or obtained specific video materials or services,” 18 U.S.C. § 2710(a)⁠(3), apply where a complaint alleges hypothetical ways in which transmission of numbers and letters inscrutable to any person might have occurred?</w:t>
      </w:r>
    </w:p>
    <w:p>
      <w:pPr>
        <w:pStyle w:val="BodyText"/>
      </w:pPr>
      <w:r>
        <w:t xml:space="preserve">Apposite Authority:</w:t>
      </w:r>
      <w:r>
        <w:t xml:space="preserve"> </w:t>
      </w:r>
      <w:r>
        <w:rPr>
          <w:i/>
          <w:iCs/>
        </w:rPr>
        <w:t xml:space="preserve">Solomon v. Flipps Media, Inc.</w:t>
      </w:r>
      <w:r>
        <w:t xml:space="preserve">, 136 F.4th 41, 54 (2d Cir.),</w:t>
      </w:r>
      <w:r>
        <w:t xml:space="preserve"> </w:t>
      </w:r>
      <w:r>
        <w:rPr>
          <w:i/>
          <w:iCs/>
        </w:rPr>
        <w:t xml:space="preserve">cert. denied</w:t>
      </w:r>
      <w:r>
        <w:t xml:space="preserve">, 146 S. Ct. 885 (2025);</w:t>
      </w:r>
      <w:r>
        <w:t xml:space="preserve"> </w:t>
      </w:r>
      <w:r>
        <w:rPr>
          <w:i/>
          <w:iCs/>
        </w:rPr>
        <w:t xml:space="preserve">Eichenberger v. ESPN, Inc.</w:t>
      </w:r>
      <w:r>
        <w:t xml:space="preserve">, 876 F.3d 979 (9th Cir. 2017);</w:t>
      </w:r>
      <w:r>
        <w:t xml:space="preserve"> </w:t>
      </w:r>
      <w:r>
        <w:rPr>
          <w:i/>
          <w:iCs/>
        </w:rPr>
        <w:t xml:space="preserve">In re Nickelodeon Consumer Priv. Litig.</w:t>
      </w:r>
      <w:r>
        <w:t xml:space="preserve">, 827 F.3d 262, 284 (3d Cir. 2016).</w:t>
      </w:r>
    </w:p>
    <w:p>
      <w:pPr>
        <w:pStyle w:val="BodyText"/>
      </w:pPr>
      <w:r>
        <w:t xml:space="preserve">4. Is a plaintiff who did not ask the district court for leave to amend, provide a proposed amended pleading, identify substance that could in good faith be added in an amended pleading, or seek relief from an adverse judgment entitled to an appellate order directing leave to replead?</w:t>
      </w:r>
    </w:p>
    <w:p>
      <w:pPr>
        <w:pStyle w:val="BodyText"/>
      </w:pPr>
      <w:r>
        <w:t xml:space="preserve">Apposite Authority:</w:t>
      </w:r>
      <w:r>
        <w:t xml:space="preserve"> </w:t>
      </w:r>
      <w:r>
        <w:rPr>
          <w:i/>
          <w:iCs/>
        </w:rPr>
        <w:t xml:space="preserve">Park Irmat Drug Corp. v. Express Scripts Holding Co.</w:t>
      </w:r>
      <w:r>
        <w:t xml:space="preserve">, 911 F.3d 505 (8th Cir. 2018);</w:t>
      </w:r>
      <w:r>
        <w:t xml:space="preserve"> </w:t>
      </w:r>
      <w:r>
        <w:rPr>
          <w:i/>
          <w:iCs/>
        </w:rPr>
        <w:t xml:space="preserve">United States v. Mask of Ka-Nefer-Nefer</w:t>
      </w:r>
      <w:r>
        <w:t xml:space="preserve">, 752 F.3d 737 (8th Cir. 2014);</w:t>
      </w:r>
      <w:r>
        <w:t xml:space="preserve"> </w:t>
      </w:r>
      <w:r>
        <w:rPr>
          <w:i/>
          <w:iCs/>
        </w:rPr>
        <w:t xml:space="preserve">PACK Private Cap., LLC v. Associated Bank, N.A.</w:t>
      </w:r>
      <w:r>
        <w:t xml:space="preserve">, 155 F.4th 981 (8th Cir. 2025);</w:t>
      </w:r>
      <w:r>
        <w:t xml:space="preserve"> </w:t>
      </w:r>
      <w:r>
        <w:rPr>
          <w:i/>
          <w:iCs/>
        </w:rPr>
        <w:t xml:space="preserve">Drobnak v. Andersen Corp.</w:t>
      </w:r>
      <w:r>
        <w:t xml:space="preserve">, 561 F.3d 778 (8th Cir. 2009).</w:t>
      </w:r>
    </w:p>
    <w:p>
      <w:pPr>
        <w:pStyle w:val="CASection"/>
        <w:keepNext/>
      </w:pPr>
      <w:r>
        <w:t xml:space="preserve">Statement</w:t>
      </w:r>
      <w:r>
        <w:t xml:space="preserve"> </w:t>
      </w:r>
      <w:r>
        <w:t xml:space="preserve">of</w:t>
      </w:r>
      <w:r>
        <w:t xml:space="preserve"> </w:t>
      </w:r>
      <w:r>
        <w:t xml:space="preserve">the</w:t>
      </w:r>
      <w:r>
        <w:t xml:space="preserve"> </w:t>
      </w:r>
      <w:r>
        <w:t xml:space="preserve">Case</w:t>
      </w:r>
    </w:p>
    <w:p>
      <w:pPr>
        <w:pStyle w:val="CAHeadL2S1"/>
        <w:keepNext/>
      </w:pPr>
      <w:r>
        <w:t xml:space="preserve">A.</w:t>
      </w:r>
      <w:r>
        <w:tab/>
      </w:r>
      <w:r>
        <w:t xml:space="preserve">Background</w:t>
      </w:r>
    </w:p>
    <w:p>
      <w:pPr>
        <w:pStyle w:val="BodyText"/>
      </w:pPr>
      <w:r>
        <w:t xml:space="preserve">1. A “videotape” is “the magnetic tape used for” a “recording of visual images and sound.” Webster’s Ninth New Collegiate Dictionary 1314 (1987) (Webster’s 1987);</w:t>
      </w:r>
      <w:r>
        <w:t xml:space="preserve"> </w:t>
      </w:r>
      <w:r>
        <w:rPr>
          <w:i/>
          <w:iCs/>
        </w:rPr>
        <w:t xml:space="preserve">see also</w:t>
      </w:r>
      <w:r>
        <w:t xml:space="preserve"> </w:t>
      </w:r>
      <w:r>
        <w:t xml:space="preserve">The American Heritage Dictionary of the English Language, New College Edition 1428 (1976) (American Heritage 1976) (“[a] relatively wide magnetic tape . . . used to record television images” (boldface omitted)). “A relatively simple looking device,” it “contains two small spools of magnetic tape, including the supply reel and the take-up reel,” totaling “about 1,140 feet of tape (nearly four football fields), and about 4 hours of footage.” Mollee Shannon,</w:t>
      </w:r>
      <w:r>
        <w:t xml:space="preserve"> </w:t>
      </w:r>
      <w:r>
        <w:rPr>
          <w:i/>
          <w:iCs/>
        </w:rPr>
        <w:t xml:space="preserve">History of the VHS Tape</w:t>
      </w:r>
      <w:r>
        <w:t xml:space="preserve">, aperture: A Kodak Digitizing Blog.</w:t>
      </w:r>
      <w:r>
        <w:rPr>
          <w:rStyle w:val="FootnoteReference"/>
        </w:rPr>
        <w:footnoteReference w:id="9"/>
      </w:r>
    </w:p>
    <w:p>
      <w:pPr>
        <w:pStyle w:val="CASection"/>
        <w:keepNext/>
      </w:pPr>
      <w:r>
        <w:t xml:space="preserve">Summary</w:t>
      </w:r>
      <w:r>
        <w:t xml:space="preserve"> </w:t>
      </w:r>
      <w:r>
        <w:t xml:space="preserve">of</w:t>
      </w:r>
      <w:r>
        <w:t xml:space="preserve"> </w:t>
      </w:r>
      <w:r>
        <w:t xml:space="preserve">the</w:t>
      </w:r>
      <w:r>
        <w:t xml:space="preserve"> </w:t>
      </w:r>
      <w:r>
        <w:t xml:space="preserve">Argument</w:t>
      </w:r>
    </w:p>
    <w:p>
      <w:pPr>
        <w:pStyle w:val="BodyText"/>
      </w:pPr>
      <w:r>
        <w:t xml:space="preserve">The district court’s order stands firm on at least seven independent grounds. This Court should affirm and enjoys the discretion to select the grounds for doing so.</w:t>
      </w:r>
    </w:p>
    <w:p>
      <w:pPr>
        <w:pStyle w:val="BodyText"/>
      </w:pPr>
      <w:r>
        <w:t xml:space="preserve">I. CoStar is not subject to the Act because it is not a video tape service provider. That is for two reasons.</w:t>
      </w:r>
    </w:p>
    <w:p>
      <w:pPr>
        <w:pStyle w:val="CASection"/>
        <w:keepNext/>
      </w:pPr>
      <w:r>
        <w:t xml:space="preserve">Argument</w:t>
      </w:r>
    </w:p>
    <w:p>
      <w:pPr>
        <w:pStyle w:val="CAPoint"/>
        <w:keepNext/>
      </w:pPr>
      <w:r>
        <w:t xml:space="preserve">I.</w:t>
      </w:r>
      <w:r>
        <w:t xml:space="preserve"> </w:t>
      </w:r>
      <w:r>
        <w:t xml:space="preserve">CoStar</w:t>
      </w:r>
      <w:r>
        <w:t xml:space="preserve"> </w:t>
      </w:r>
      <w:r>
        <w:t xml:space="preserve">Is</w:t>
      </w:r>
      <w:r>
        <w:t xml:space="preserve"> </w:t>
      </w:r>
      <w:r>
        <w:t xml:space="preserve">Not</w:t>
      </w:r>
      <w:r>
        <w:t xml:space="preserve"> </w:t>
      </w:r>
      <w:r>
        <w:t xml:space="preserve">a</w:t>
      </w:r>
      <w:r>
        <w:t xml:space="preserve"> </w:t>
      </w:r>
      <w:r>
        <w:t xml:space="preserve">Video</w:t>
      </w:r>
      <w:r>
        <w:t xml:space="preserve"> </w:t>
      </w:r>
      <w:r>
        <w:t xml:space="preserve">Tape</w:t>
      </w:r>
      <w:r>
        <w:t xml:space="preserve"> </w:t>
      </w:r>
      <w:r>
        <w:t xml:space="preserve">Service</w:t>
      </w:r>
      <w:r>
        <w:t xml:space="preserve"> </w:t>
      </w:r>
      <w:r>
        <w:t xml:space="preserve">Provider</w:t>
      </w:r>
    </w:p>
    <w:p>
      <w:pPr>
        <w:pStyle w:val="BodyText"/>
      </w:pPr>
      <w:r>
        <w:t xml:space="preserve">CoStar cannot be sued under the Act because it is not a “video tape service provider.” To qualify as such, a person must be “in the business” of “rental, sale, or delivery of prerecorded video cassette tapes or similar audio visual materials.” 18 U.S.C. § 2710(a)⁠(4). Only a person who meets both elements is covered by the Act. See</w:t>
      </w:r>
      <w:r>
        <w:t xml:space="preserve"> </w:t>
      </w:r>
      <w:r>
        <w:rPr>
          <w:i/>
          <w:iCs/>
        </w:rPr>
        <w:t xml:space="preserve">Christopherson v. Cinema Ent. Corp.</w:t>
      </w:r>
      <w:r>
        <w:t xml:space="preserve">, 161 F.4th 525, 527 (8th Cir. 2025). CoStar fits neither.</w:t>
      </w:r>
    </w:p>
    <w:p>
      <w:pPr>
        <w:pStyle w:val="CAHeadL3S1"/>
        <w:keepNext/>
      </w:pPr>
      <w:r>
        <w:t xml:space="preserve">A.</w:t>
      </w:r>
      <w:r>
        <w:tab/>
      </w:r>
      <w:r>
        <w:t xml:space="preserve">Video</w:t>
      </w:r>
      <w:r>
        <w:t xml:space="preserve"> </w:t>
      </w:r>
      <w:r>
        <w:t xml:space="preserve">Content</w:t>
      </w:r>
      <w:r>
        <w:t xml:space="preserve"> </w:t>
      </w:r>
      <w:r>
        <w:t xml:space="preserve">Posted</w:t>
      </w:r>
      <w:r>
        <w:t xml:space="preserve"> </w:t>
      </w:r>
      <w:r>
        <w:t xml:space="preserve">on</w:t>
      </w:r>
      <w:r>
        <w:t xml:space="preserve"> </w:t>
      </w:r>
      <w:r>
        <w:t xml:space="preserve">CoStar’s</w:t>
      </w:r>
      <w:r>
        <w:t xml:space="preserve"> </w:t>
      </w:r>
      <w:r>
        <w:t xml:space="preserve">Website</w:t>
      </w:r>
      <w:r>
        <w:t xml:space="preserve"> </w:t>
      </w:r>
      <w:r>
        <w:t xml:space="preserve">Is</w:t>
      </w:r>
      <w:r>
        <w:t xml:space="preserve"> </w:t>
      </w:r>
      <w:r>
        <w:t xml:space="preserve">Not</w:t>
      </w:r>
      <w:r>
        <w:t xml:space="preserve"> </w:t>
      </w:r>
      <w:r>
        <w:t xml:space="preserve">a</w:t>
      </w:r>
      <w:r>
        <w:t xml:space="preserve"> </w:t>
      </w:r>
      <w:r>
        <w:t xml:space="preserve">Video</w:t>
      </w:r>
      <w:r>
        <w:t xml:space="preserve"> </w:t>
      </w:r>
      <w:r>
        <w:t xml:space="preserve">Cassette</w:t>
      </w:r>
      <w:r>
        <w:t xml:space="preserve"> </w:t>
      </w:r>
      <w:r>
        <w:t xml:space="preserve">Tape</w:t>
      </w:r>
      <w:r>
        <w:t xml:space="preserve"> </w:t>
      </w:r>
      <w:r>
        <w:t xml:space="preserve">or</w:t>
      </w:r>
      <w:r>
        <w:t xml:space="preserve"> </w:t>
      </w:r>
      <w:r>
        <w:t xml:space="preserve">Similar</w:t>
      </w:r>
      <w:r>
        <w:t xml:space="preserve"> </w:t>
      </w:r>
      <w:r>
        <w:t xml:space="preserve">Item</w:t>
      </w:r>
    </w:p>
    <w:p>
      <w:pPr>
        <w:pStyle w:val="BodyText"/>
      </w:pPr>
      <w:r>
        <w:t xml:space="preserve">CoStar is not a video tape service provider because the videos others post to its website are not “video cassette tapes or similar audio visual materials.” 18 U.S.C. § 2710(a)⁠(4). Plaintiff is incorrect in proposing that the phrase “similar audio visual materials” reaches “prerecorded videos viewed over the internet.” Br. 15.</w:t>
      </w:r>
    </w:p>
    <w:p>
      <w:pPr>
        <w:pStyle w:val="BodyText"/>
      </w:pPr>
      <w:r>
        <w:t xml:space="preserve">The textual problem here, as in</w:t>
      </w:r>
      <w:r>
        <w:t xml:space="preserve"> </w:t>
      </w:r>
      <w:r>
        <w:rPr>
          <w:i/>
          <w:iCs/>
        </w:rPr>
        <w:t xml:space="preserve">Christopherson</w:t>
      </w:r>
      <w:r>
        <w:t xml:space="preserve">, 161 F.4th at 528 (citation omitted). Under “the interpretive principle known as ejusdem generis,” “general words . . . embrace only objects similar in nature to those objects enumerated by the preceding specific words.”</w:t>
      </w:r>
      <w:r>
        <w:t xml:space="preserve"> </w:t>
      </w:r>
      <w:r>
        <w:rPr>
          <w:i/>
          <w:iCs/>
        </w:rPr>
        <w:t xml:space="preserve">Id.</w:t>
      </w:r>
      <w:r>
        <w:t xml:space="preserve"> </w:t>
      </w:r>
      <w:r>
        <w:t xml:space="preserve">(citation omitted);</w:t>
      </w:r>
      <w:r>
        <w:t xml:space="preserve"> </w:t>
      </w:r>
      <w:r>
        <w:rPr>
          <w:i/>
          <w:iCs/>
        </w:rPr>
        <w:t xml:space="preserve">see</w:t>
      </w:r>
      <w:r>
        <w:t xml:space="preserve"> </w:t>
      </w:r>
      <w:r>
        <w:rPr>
          <w:i/>
          <w:iCs/>
        </w:rPr>
        <w:t xml:space="preserve">Delaware v. Pennsylvania</w:t>
      </w:r>
      <w:r>
        <w:t xml:space="preserve">, 598 U.S. 115, 127–28 (2023) (applying this canon to the statutory phrase “money order . . . or other similar written instrument”). Accordingly, the term “‘audio visual materials’” must be read “by reference to the item that precedes it, ‘prerecorded video cassette tapes.’”</w:t>
      </w:r>
      <w:r>
        <w:t xml:space="preserve"> </w:t>
      </w:r>
      <w:r>
        <w:rPr>
          <w:i/>
          <w:iCs/>
        </w:rPr>
        <w:t xml:space="preserve">Christopherson</w:t>
      </w:r>
      <w:r>
        <w:t xml:space="preserve">, 161 F.4th at 528. Moreover, “[i]mmediately after ‘audio visual’ is the word ‘materials,’” which indicates “physical existence.”</w:t>
      </w:r>
      <w:r>
        <w:t xml:space="preserve"> </w:t>
      </w:r>
      <w:r>
        <w:rPr>
          <w:i/>
          <w:iCs/>
        </w:rPr>
        <w:t xml:space="preserve">Id.</w:t>
      </w:r>
      <w:r>
        <w:t xml:space="preserve"> </w:t>
      </w:r>
      <w:r>
        <w:t xml:space="preserve">(citation omitted). These terms identify the “attributes owing to” “video cassettes,” including that “they can be touched.”</w:t>
      </w:r>
      <w:r>
        <w:t xml:space="preserve"> </w:t>
      </w:r>
      <w:r>
        <w:rPr>
          <w:i/>
          <w:iCs/>
        </w:rPr>
        <w:t xml:space="preserve">Id.</w:t>
      </w:r>
      <w:r>
        <w:t xml:space="preserve"> </w:t>
      </w:r>
      <w:r>
        <w:t xml:space="preserve">Audio visual materials like video cassette tapes include “laser disks, open-reel movies, or CDI [compact disc] technology.” S. Rep. No. 100</w:t>
      </w:r>
      <w:r>
        <w:noBreakHyphen/>
      </w:r>
      <w:r>
        <w:t xml:space="preserve">599, at 12 (1988).</w:t>
      </w:r>
    </w:p>
    <w:p>
      <w:pPr>
        <w:pStyle w:val="CASection"/>
        <w:keepNext/>
      </w:pPr>
      <w:r>
        <w:t xml:space="preserve">Conclusion</w:t>
      </w:r>
    </w:p>
    <w:p>
      <w:pPr>
        <w:pStyle w:val="BodyText"/>
      </w:pPr>
      <w:r>
        <w:t xml:space="preserve">The Court should affirm the district court’s judgment.</w:t>
      </w:r>
    </w:p>
    <w:tbl>
      <w:tblPr>
        <w:tblW w:w="9360" w:type="dxa"/>
        <w:tblBorders>
          <w:top w:val="nil"/>
          <w:left w:val="nil"/>
          <w:bottom w:val="nil"/>
          <w:right w:val="nil"/>
          <w:insideH w:val="nil"/>
          <w:insideV w:val="nil"/>
        </w:tblBorders>
        <w:tblLayout w:type="fixed"/>
        <w:tblCellMar>
          <w:left w:w="0" w:type="dxa"/>
          <w:right w:w="0" w:type="dxa"/>
        </w:tblCellMar>
      </w:tblPr>
      <w:tblGrid>
        <w:gridCol w:w="4820"/>
        <w:gridCol w:w="4540"/>
      </w:tblGrid>
      <w:tr>
        <w:trPr>
          <w:cantSplit/>
        </w:trPr>
        <w:tc>
          <w:tcPr>
            <w:tcW w:w="4820" w:type="dxa"/>
            <w:tcMar>
              <w:right w:w="280" w:type="dxa"/>
            </w:tcMar>
          </w:tcPr>
          <w:p>
            <w:pPr>
              <w:pStyle w:val="CACounsel"/>
              <w:keepNext/>
              <w:spacing w:before="392" w:after="0" w:line="340" w:lineRule="exact"/>
            </w:pPr>
            <w:r>
              <w:t xml:space="preserve">Dated: </w:t>
            </w:r>
            <w:r>
              <w:t xml:space="preserve">April</w:t>
            </w:r>
            <w:r>
              <w:t xml:space="preserve"> </w:t>
            </w:r>
            <w:r>
              <w:t xml:space="preserve">29,</w:t>
            </w:r>
            <w:r>
              <w:t xml:space="preserve"> </w:t>
            </w:r>
            <w:r>
              <w:t xml:space="preserve">2026</w:t>
            </w:r>
          </w:p>
        </w:tc>
        <w:tc>
          <w:tcPr>
            <w:tcW w:w="4540" w:type="dxa"/>
            <w:tcMar>
              <w:right w:w="0" w:type="dxa"/>
            </w:tcMar>
          </w:tcPr>
          <w:p>
            <w:pPr>
              <w:pStyle w:val="CACounsel"/>
              <w:keepNext/>
              <w:spacing w:before="392" w:after="0" w:line="340" w:lineRule="exact"/>
            </w:pPr>
            <w:r>
              <w:t xml:space="preserve">Respectfully submitted,</w:t>
            </w:r>
          </w:p>
          <w:p>
            <w:pPr>
              <w:pStyle w:val="CACounsel"/>
              <w:keepNext/>
              <w:spacing w:before="336" w:after="0" w:line="340" w:lineRule="exact"/>
            </w:pPr>
            <w:r>
              <w:rPr>
                <w:i/>
              </w:rPr>
              <w:t xml:space="preserve">/​s/​ </w:t>
            </w:r>
            <w:r>
              <w:rPr>
                <w:i/>
              </w:rPr>
              <w:t xml:space="preserve">Bonnie</w:t>
            </w:r>
            <w:r>
              <w:rPr>
                <w:i/>
              </w:rPr>
              <w:t xml:space="preserve"> </w:t>
            </w:r>
            <w:r>
              <w:rPr>
                <w:i/>
              </w:rPr>
              <w:t xml:space="preserve">Keane</w:t>
            </w:r>
            <w:r>
              <w:rPr>
                <w:i/>
              </w:rPr>
              <w:t xml:space="preserve"> </w:t>
            </w:r>
            <w:r>
              <w:rPr>
                <w:i/>
              </w:rPr>
              <w:t xml:space="preserve">DelGobbo</w:t>
            </w:r>
          </w:p>
          <w:p>
            <w:pPr>
              <w:pStyle w:val="CACounsel"/>
              <w:keepNext/>
              <w:spacing w:before="0" w:after="0" w:line="340" w:lineRule="exact"/>
            </w:pPr>
            <w:r>
              <w:t xml:space="preserve">BONNIE KEANE DELGOBBO</w:t>
            </w:r>
          </w:p>
          <w:p>
            <w:pPr>
              <w:pStyle w:val="CACounsel"/>
              <w:keepNext/>
              <w:spacing w:before="0" w:after="0" w:line="340" w:lineRule="exact"/>
            </w:pPr>
            <w:r>
              <w:rPr>
                <w:i/>
              </w:rPr>
              <w:t xml:space="preserve">Baker</w:t>
            </w:r>
            <w:r>
              <w:rPr>
                <w:i/>
              </w:rPr>
              <w:t xml:space="preserve"> </w:t>
            </w:r>
            <w:r>
              <w:rPr>
                <w:i/>
              </w:rPr>
              <w:t xml:space="preserve">&amp;</w:t>
            </w:r>
            <w:r>
              <w:rPr>
                <w:i/>
              </w:rPr>
              <w:t xml:space="preserve"> </w:t>
            </w:r>
            <w:r>
              <w:rPr>
                <w:i/>
              </w:rPr>
              <w:t xml:space="preserve">Hostetler</w:t>
            </w:r>
            <w:r>
              <w:rPr>
                <w:i/>
              </w:rPr>
              <w:t xml:space="preserve"> </w:t>
            </w:r>
            <w:r>
              <w:rPr>
                <w:i/>
              </w:rPr>
              <w:t xml:space="preserve">LLP</w:t>
            </w:r>
          </w:p>
          <w:p>
            <w:pPr>
              <w:pStyle w:val="CACounsel"/>
              <w:keepNext/>
              <w:spacing w:before="0" w:after="0" w:line="340" w:lineRule="exact"/>
            </w:pPr>
            <w:r>
              <w:rPr>
                <w:i/>
              </w:rPr>
              <w:t xml:space="preserve">One</w:t>
            </w:r>
            <w:r>
              <w:rPr>
                <w:i/>
              </w:rPr>
              <w:t xml:space="preserve"> </w:t>
            </w:r>
            <w:r>
              <w:rPr>
                <w:i/>
              </w:rPr>
              <w:t xml:space="preserve">North</w:t>
            </w:r>
            <w:r>
              <w:rPr>
                <w:i/>
              </w:rPr>
              <w:t xml:space="preserve"> </w:t>
            </w:r>
            <w:r>
              <w:rPr>
                <w:i/>
              </w:rPr>
              <w:t xml:space="preserve">Wacker</w:t>
            </w:r>
            <w:r>
              <w:rPr>
                <w:i/>
              </w:rPr>
              <w:t xml:space="preserve"> </w:t>
            </w:r>
            <w:r>
              <w:rPr>
                <w:i/>
              </w:rPr>
              <w:t xml:space="preserve">Dr.,</w:t>
            </w:r>
            <w:r>
              <w:rPr>
                <w:i/>
              </w:rPr>
              <w:t xml:space="preserve"> </w:t>
            </w:r>
            <w:r>
              <w:rPr>
                <w:i/>
              </w:rPr>
              <w:t xml:space="preserve">Suite</w:t>
            </w:r>
            <w:r>
              <w:rPr>
                <w:i/>
              </w:rPr>
              <w:t xml:space="preserve"> </w:t>
            </w:r>
            <w:r>
              <w:rPr>
                <w:i/>
              </w:rPr>
              <w:t xml:space="preserve">4500</w:t>
            </w:r>
          </w:p>
          <w:p>
            <w:pPr>
              <w:pStyle w:val="CACounsel"/>
              <w:keepNext/>
              <w:spacing w:before="0" w:after="0" w:line="340" w:lineRule="exact"/>
            </w:pPr>
            <w:r>
              <w:rPr>
                <w:i/>
              </w:rPr>
              <w:t xml:space="preserve">Chicago,</w:t>
            </w:r>
            <w:r>
              <w:rPr>
                <w:i/>
              </w:rPr>
              <w:t xml:space="preserve"> </w:t>
            </w:r>
            <w:r>
              <w:rPr>
                <w:i/>
              </w:rPr>
              <w:t xml:space="preserve">IL</w:t>
            </w:r>
            <w:r>
              <w:rPr>
                <w:i/>
              </w:rPr>
              <w:t xml:space="preserve"> </w:t>
            </w:r>
            <w:r>
              <w:rPr>
                <w:i/>
              </w:rPr>
              <w:t xml:space="preserve">60606</w:t>
            </w:r>
          </w:p>
          <w:p>
            <w:pPr>
              <w:pStyle w:val="CACounsel"/>
              <w:keepNext/>
              <w:spacing w:before="0" w:after="0" w:line="340" w:lineRule="exact"/>
            </w:pPr>
            <w:r>
              <w:rPr>
                <w:i/>
              </w:rPr>
              <w:t xml:space="preserve">(312)</w:t>
            </w:r>
            <w:r>
              <w:rPr>
                <w:i/>
              </w:rPr>
              <w:t xml:space="preserve"> </w:t>
            </w:r>
            <w:r>
              <w:rPr>
                <w:i/>
              </w:rPr>
              <w:t xml:space="preserve">416-6200</w:t>
            </w:r>
          </w:p>
          <w:p>
            <w:pPr>
              <w:pStyle w:val="CACounsel"/>
              <w:keepNext/>
              <w:spacing w:before="0" w:after="0" w:line="340" w:lineRule="exact"/>
            </w:pPr>
            <w:r>
              <w:rPr>
                <w:i/>
              </w:rPr>
              <w:t xml:space="preserve">bdelgobbo@bakerlaw.com</w:t>
            </w:r>
          </w:p>
        </w:tc>
      </w:tr>
    </w:tbl>
    <w:p>
      <w:pPr>
        <w:pStyle w:val="CASection"/>
        <w:pageBreakBefore/>
        <w:spacing w:before="0" w:after="308" w:line="340" w:lineRule="exact"/>
      </w:pPr>
      <w:r>
        <w:t xml:space="preserve">Certificate of Compliance</w:t>
      </w:r>
    </w:p>
    <w:p>
      <w:pPr>
        <w:pStyle w:val="BodyText"/>
      </w:pPr>
      <w:r>
        <w:t xml:space="preserve">This brief complies with the type-volume limitations imposed by Federal Rule of Appellate Procedure 32(a)⁠(7)⁠(B)⁠(i) because it contains 1,193 words, excluding the parts of the brief exempted by Rule 32(f). This brief complies with the typeface and typestyle requirements of Federal Rules of Appellate Procedure 32(a)⁠(5) and 32(a)⁠(6) because it has been prepared in a proportionally spaced typeface, 14-point Times New Roman. This brief complies with the electronic-filing requirements of Local Rule 28A(h)⁠(2) because it was </w:t>
      </w:r>
      <w:r>
        <w:t xml:space="preserve">scanned</w:t>
      </w:r>
      <w:r>
        <w:t xml:space="preserve"> </w:t>
      </w:r>
      <w:r>
        <w:t xml:space="preserve">for</w:t>
      </w:r>
      <w:r>
        <w:t xml:space="preserve"> </w:t>
      </w:r>
      <w:r>
        <w:t xml:space="preserve">viruses</w:t>
      </w:r>
      <w:r>
        <w:t xml:space="preserve"> </w:t>
      </w:r>
      <w:r>
        <w:t xml:space="preserve">and</w:t>
      </w:r>
      <w:r>
        <w:t xml:space="preserve"> </w:t>
      </w:r>
      <w:r>
        <w:t xml:space="preserve">no</w:t>
      </w:r>
      <w:r>
        <w:t xml:space="preserve"> </w:t>
      </w:r>
      <w:r>
        <w:t xml:space="preserve">virus</w:t>
      </w:r>
      <w:r>
        <w:t xml:space="preserve"> </w:t>
      </w:r>
      <w:r>
        <w:t xml:space="preserve">was</w:t>
      </w:r>
      <w:r>
        <w:t xml:space="preserve"> </w:t>
      </w:r>
      <w:r>
        <w:t xml:space="preserve">detected</w:t>
      </w:r>
      <w:r>
        <w:t xml:space="preserve">.</w:t>
      </w:r>
    </w:p>
    <w:tbl>
      <w:tblPr>
        <w:tblW w:w="9360" w:type="dxa"/>
        <w:tblBorders>
          <w:top w:val="nil"/>
          <w:left w:val="nil"/>
          <w:bottom w:val="nil"/>
          <w:right w:val="nil"/>
          <w:insideH w:val="nil"/>
          <w:insideV w:val="nil"/>
        </w:tblBorders>
        <w:tblLayout w:type="fixed"/>
        <w:tblCellMar>
          <w:left w:w="0" w:type="dxa"/>
          <w:right w:w="0" w:type="dxa"/>
        </w:tblCellMar>
      </w:tblPr>
      <w:tblGrid>
        <w:gridCol w:w="4820"/>
        <w:gridCol w:w="4540"/>
      </w:tblGrid>
      <w:tr>
        <w:trPr>
          <w:cantSplit/>
        </w:trPr>
        <w:tc>
          <w:tcPr>
            <w:tcW w:w="4820" w:type="dxa"/>
            <w:tcMar>
              <w:right w:w="280" w:type="dxa"/>
            </w:tcMar>
          </w:tcPr>
          <w:p>
            <w:pPr>
              <w:pStyle w:val="CACounsel"/>
              <w:keepNext/>
              <w:spacing w:before="448" w:after="0" w:line="340" w:lineRule="exact"/>
            </w:pPr>
            <w:r>
              <w:t xml:space="preserve">Dated: </w:t>
            </w:r>
            <w:r>
              <w:t xml:space="preserve">April</w:t>
            </w:r>
            <w:r>
              <w:t xml:space="preserve"> </w:t>
            </w:r>
            <w:r>
              <w:t xml:space="preserve">29,</w:t>
            </w:r>
            <w:r>
              <w:t xml:space="preserve"> </w:t>
            </w:r>
            <w:r>
              <w:t xml:space="preserve">2026</w:t>
            </w:r>
          </w:p>
        </w:tc>
        <w:tc>
          <w:tcPr>
            <w:tcW w:w="4540" w:type="dxa"/>
            <w:tcMar>
              <w:right w:w="0" w:type="dxa"/>
            </w:tcMar>
          </w:tcPr>
          <w:p>
            <w:pPr>
              <w:pStyle w:val="CACounsel"/>
              <w:keepNext/>
              <w:spacing w:before="448" w:after="0" w:line="340" w:lineRule="exact"/>
            </w:pPr>
            <w:r>
              <w:rPr>
                <w:i/>
              </w:rPr>
              <w:t xml:space="preserve">/​s/​ </w:t>
            </w:r>
            <w:r>
              <w:rPr>
                <w:i/>
              </w:rPr>
              <w:t xml:space="preserve">Bonnie</w:t>
            </w:r>
            <w:r>
              <w:rPr>
                <w:i/>
              </w:rPr>
              <w:t xml:space="preserve"> </w:t>
            </w:r>
            <w:r>
              <w:rPr>
                <w:i/>
              </w:rPr>
              <w:t xml:space="preserve">Keane</w:t>
            </w:r>
            <w:r>
              <w:rPr>
                <w:i/>
              </w:rPr>
              <w:t xml:space="preserve"> </w:t>
            </w:r>
            <w:r>
              <w:rPr>
                <w:i/>
              </w:rPr>
              <w:t xml:space="preserve">DelGobbo</w:t>
            </w:r>
          </w:p>
          <w:p>
            <w:pPr>
              <w:pStyle w:val="CACounsel"/>
              <w:keepNext/>
              <w:spacing w:before="0" w:after="0" w:line="340" w:lineRule="exact"/>
            </w:pPr>
            <w:r>
              <w:t xml:space="preserve">BONNIE KEANE DELGOBBO</w:t>
            </w:r>
          </w:p>
        </w:tc>
      </w:tr>
    </w:tbl>
    <w:p>
      <w:pPr>
        <w:pStyle w:val="CASection"/>
        <w:pageBreakBefore/>
        <w:spacing w:before="0" w:after="308" w:line="340" w:lineRule="exact"/>
      </w:pPr>
      <w:r>
        <w:t xml:space="preserve">Certificate of Service</w:t>
      </w:r>
    </w:p>
    <w:p>
      <w:pPr>
        <w:pStyle w:val="BodyText"/>
      </w:pPr>
      <w:r>
        <w:t xml:space="preserve">I hereby certify that on </w:t>
      </w:r>
      <w:r>
        <w:t xml:space="preserve">April</w:t>
      </w:r>
      <w:r>
        <w:t xml:space="preserve"> </w:t>
      </w:r>
      <w:r>
        <w:t xml:space="preserve">29,</w:t>
      </w:r>
      <w:r>
        <w:t xml:space="preserve"> </w:t>
      </w:r>
      <w:r>
        <w:t xml:space="preserve">2026</w:t>
      </w:r>
      <w:r>
        <w:t xml:space="preserve">, the foregoing brief was filed with the Clerk of Court for the U.S. Court of Appeals for the Eighth Circuit through the CM/​ECF system, which will send a notification of such filing to all counsel of record.</w:t>
      </w:r>
    </w:p>
    <w:tbl>
      <w:tblPr>
        <w:tblW w:w="9360" w:type="dxa"/>
        <w:tblBorders>
          <w:top w:val="nil"/>
          <w:left w:val="nil"/>
          <w:bottom w:val="nil"/>
          <w:right w:val="nil"/>
          <w:insideH w:val="nil"/>
          <w:insideV w:val="nil"/>
        </w:tblBorders>
        <w:tblLayout w:type="fixed"/>
        <w:tblCellMar>
          <w:left w:w="0" w:type="dxa"/>
          <w:right w:w="0" w:type="dxa"/>
        </w:tblCellMar>
      </w:tblPr>
      <w:tblGrid>
        <w:gridCol w:w="4820"/>
        <w:gridCol w:w="4540"/>
      </w:tblGrid>
      <w:tr>
        <w:trPr>
          <w:cantSplit/>
        </w:trPr>
        <w:tc>
          <w:tcPr>
            <w:tcW w:w="4820" w:type="dxa"/>
            <w:tcMar>
              <w:right w:w="280" w:type="dxa"/>
            </w:tcMar>
          </w:tcPr>
          <w:p>
            <w:pPr>
              <w:pStyle w:val="CACounsel"/>
              <w:keepNext/>
              <w:spacing w:before="448" w:after="0" w:line="340" w:lineRule="exact"/>
            </w:pPr>
            <w:r>
              <w:t xml:space="preserve">Dated: </w:t>
            </w:r>
            <w:r>
              <w:t xml:space="preserve">April</w:t>
            </w:r>
            <w:r>
              <w:t xml:space="preserve"> </w:t>
            </w:r>
            <w:r>
              <w:t xml:space="preserve">29,</w:t>
            </w:r>
            <w:r>
              <w:t xml:space="preserve"> </w:t>
            </w:r>
            <w:r>
              <w:t xml:space="preserve">2026</w:t>
            </w:r>
          </w:p>
        </w:tc>
        <w:tc>
          <w:tcPr>
            <w:tcW w:w="4540" w:type="dxa"/>
            <w:tcMar>
              <w:right w:w="0" w:type="dxa"/>
            </w:tcMar>
          </w:tcPr>
          <w:p>
            <w:pPr>
              <w:pStyle w:val="CACounsel"/>
              <w:keepNext/>
              <w:spacing w:before="448" w:after="0" w:line="340" w:lineRule="exact"/>
            </w:pPr>
            <w:r>
              <w:rPr>
                <w:i/>
              </w:rPr>
              <w:t xml:space="preserve">/​s/​ </w:t>
            </w:r>
            <w:r>
              <w:rPr>
                <w:i/>
              </w:rPr>
              <w:t xml:space="preserve">Bonnie</w:t>
            </w:r>
            <w:r>
              <w:rPr>
                <w:i/>
              </w:rPr>
              <w:t xml:space="preserve"> </w:t>
            </w:r>
            <w:r>
              <w:rPr>
                <w:i/>
              </w:rPr>
              <w:t xml:space="preserve">Keane</w:t>
            </w:r>
            <w:r>
              <w:rPr>
                <w:i/>
              </w:rPr>
              <w:t xml:space="preserve"> </w:t>
            </w:r>
            <w:r>
              <w:rPr>
                <w:i/>
              </w:rPr>
              <w:t xml:space="preserve">DelGobbo</w:t>
            </w:r>
          </w:p>
          <w:p>
            <w:pPr>
              <w:pStyle w:val="CACounsel"/>
              <w:keepNext/>
              <w:spacing w:before="0" w:after="0" w:line="340" w:lineRule="exact"/>
            </w:pPr>
            <w:r>
              <w:t xml:space="preserve">BONNIE KEANE DELGOBBO</w:t>
            </w:r>
          </w:p>
        </w:tc>
      </w:tr>
    </w:tbl>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rabic.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roman.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Available at https://⁠kodakdigitizing.com/​blogs/​news/​history-of-the-vhs-tape?​srsltid=​AfmBOopsBABKIQUr0c5eP5VZZHon2bydMzkXRiBOqPFEZUd8Mo4jjr6 (last visited Apr. 28,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4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4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4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60"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BodyLast">
    <w:name w:val="CA Body Last"/>
    <w:basedOn w:val="BodyText"/>
    <w:qFormat/>
    <w:pPr>
      <w:keepNext/>
      <w:keepLines/>
    </w:pPr>
    <w:rPr/>
  </w:style>
  <w:style w:type="paragraph" w:customStyle="1" w:styleId="CASection">
    <w:name w:val="CA Section"/>
    <w:basedOn w:val="Normal"/>
    <w:qFormat/>
    <w:pPr>
      <w:keepNext/>
      <w:keepLines/>
      <w:spacing w:before="420" w:after="308" w:line="340" w:lineRule="exact"/>
      <w:ind w:firstLine="0"/>
      <w:jc w:val="center"/>
      <w:outlineLvl w:val="0"/>
    </w:pPr>
    <w:rPr>
      <w:b/>
      <w:caps/>
    </w:rPr>
  </w:style>
  <w:style w:type="paragraph" w:customStyle="1" w:styleId="CAPoint">
    <w:name w:val="CA Point"/>
    <w:basedOn w:val="Normal"/>
    <w:qFormat/>
    <w:pPr>
      <w:keepNext/>
      <w:keepLines/>
      <w:spacing w:before="336" w:after="280" w:line="340" w:lineRule="exact"/>
      <w:ind w:firstLine="0"/>
      <w:jc w:val="center"/>
      <w:outlineLvl w:val="1"/>
    </w:pPr>
    <w:rPr>
      <w:b/>
    </w:rPr>
  </w:style>
  <w:style w:type="paragraph" w:customStyle="1" w:styleId="CAHeadL2S0">
    <w:name w:val="CA Heading L2 S0"/>
    <w:basedOn w:val="Normal"/>
    <w:qFormat/>
    <w:pPr>
      <w:keepNext/>
      <w:keepLines/>
      <w:tabs>
        <w:tab w:val="left" w:pos="720"/>
      </w:tabs>
      <w:spacing w:before="308" w:after="252" w:line="340" w:lineRule="exact"/>
      <w:ind w:left="720" w:hanging="720"/>
      <w:jc w:val="left"/>
      <w:outlineLvl w:val="1"/>
    </w:pPr>
    <w:rPr>
      <w:b/>
    </w:rPr>
  </w:style>
  <w:style w:type="paragraph" w:customStyle="1" w:styleId="CAHeadL2S1">
    <w:name w:val="CA Heading L2 S1"/>
    <w:basedOn w:val="Normal"/>
    <w:qFormat/>
    <w:pPr>
      <w:keepNext/>
      <w:keepLines/>
      <w:tabs>
        <w:tab w:val="left" w:pos="1440"/>
      </w:tabs>
      <w:spacing w:before="308" w:after="252" w:line="340" w:lineRule="exact"/>
      <w:ind w:left="1440" w:hanging="720"/>
      <w:jc w:val="left"/>
      <w:outlineLvl w:val="1"/>
    </w:pPr>
    <w:rPr>
      <w:b/>
    </w:rPr>
  </w:style>
  <w:style w:type="paragraph" w:customStyle="1" w:styleId="CAHeadL2S2">
    <w:name w:val="CA Heading L2 S2"/>
    <w:basedOn w:val="Normal"/>
    <w:qFormat/>
    <w:pPr>
      <w:keepNext/>
      <w:keepLines/>
      <w:tabs>
        <w:tab w:val="left" w:pos="2160"/>
      </w:tabs>
      <w:spacing w:before="308" w:after="252" w:line="340" w:lineRule="exact"/>
      <w:ind w:left="2160" w:hanging="720"/>
      <w:jc w:val="left"/>
      <w:outlineLvl w:val="1"/>
    </w:pPr>
    <w:rPr>
      <w:b/>
    </w:rPr>
  </w:style>
  <w:style w:type="paragraph" w:customStyle="1" w:styleId="CAHeadL2S3">
    <w:name w:val="CA Heading L2 S3"/>
    <w:basedOn w:val="Normal"/>
    <w:qFormat/>
    <w:pPr>
      <w:keepNext/>
      <w:keepLines/>
      <w:tabs>
        <w:tab w:val="left" w:pos="2880"/>
      </w:tabs>
      <w:spacing w:before="308" w:after="252" w:line="340" w:lineRule="exact"/>
      <w:ind w:left="2880" w:hanging="720"/>
      <w:jc w:val="left"/>
      <w:outlineLvl w:val="1"/>
    </w:pPr>
    <w:rPr>
      <w:b/>
    </w:rPr>
  </w:style>
  <w:style w:type="paragraph" w:customStyle="1" w:styleId="CAHeadL2S4">
    <w:name w:val="CA Heading L2 S4"/>
    <w:basedOn w:val="Normal"/>
    <w:qFormat/>
    <w:pPr>
      <w:keepNext/>
      <w:keepLines/>
      <w:tabs>
        <w:tab w:val="left" w:pos="3600"/>
      </w:tabs>
      <w:spacing w:before="308" w:after="252" w:line="340" w:lineRule="exact"/>
      <w:ind w:left="3600" w:hanging="720"/>
      <w:jc w:val="left"/>
      <w:outlineLvl w:val="1"/>
    </w:pPr>
    <w:rPr>
      <w:b/>
    </w:rPr>
  </w:style>
  <w:style w:type="paragraph" w:customStyle="1" w:styleId="CAHeadL3S0">
    <w:name w:val="CA Heading L3 S0"/>
    <w:basedOn w:val="Normal"/>
    <w:qFormat/>
    <w:pPr>
      <w:keepNext/>
      <w:keepLines/>
      <w:tabs>
        <w:tab w:val="left" w:pos="720"/>
      </w:tabs>
      <w:spacing w:before="308" w:after="252" w:line="340" w:lineRule="exact"/>
      <w:ind w:left="720" w:hanging="720"/>
      <w:jc w:val="left"/>
      <w:outlineLvl w:val="2"/>
    </w:pPr>
    <w:rPr>
      <w:b/>
    </w:rPr>
  </w:style>
  <w:style w:type="paragraph" w:customStyle="1" w:styleId="CAHeadL3S1">
    <w:name w:val="CA Heading L3 S1"/>
    <w:basedOn w:val="Normal"/>
    <w:qFormat/>
    <w:pPr>
      <w:keepNext/>
      <w:keepLines/>
      <w:tabs>
        <w:tab w:val="left" w:pos="1440"/>
      </w:tabs>
      <w:spacing w:before="308" w:after="252" w:line="340" w:lineRule="exact"/>
      <w:ind w:left="1440" w:hanging="720"/>
      <w:jc w:val="left"/>
      <w:outlineLvl w:val="2"/>
    </w:pPr>
    <w:rPr>
      <w:b/>
    </w:rPr>
  </w:style>
  <w:style w:type="paragraph" w:customStyle="1" w:styleId="CAHeadL3S2">
    <w:name w:val="CA Heading L3 S2"/>
    <w:basedOn w:val="Normal"/>
    <w:qFormat/>
    <w:pPr>
      <w:keepNext/>
      <w:keepLines/>
      <w:tabs>
        <w:tab w:val="left" w:pos="2160"/>
      </w:tabs>
      <w:spacing w:before="308" w:after="252" w:line="340" w:lineRule="exact"/>
      <w:ind w:left="2160" w:hanging="720"/>
      <w:jc w:val="left"/>
      <w:outlineLvl w:val="2"/>
    </w:pPr>
    <w:rPr>
      <w:b/>
    </w:rPr>
  </w:style>
  <w:style w:type="paragraph" w:customStyle="1" w:styleId="CAHeadL3S3">
    <w:name w:val="CA Heading L3 S3"/>
    <w:basedOn w:val="Normal"/>
    <w:qFormat/>
    <w:pPr>
      <w:keepNext/>
      <w:keepLines/>
      <w:tabs>
        <w:tab w:val="left" w:pos="2880"/>
      </w:tabs>
      <w:spacing w:before="308" w:after="252" w:line="340" w:lineRule="exact"/>
      <w:ind w:left="2880" w:hanging="720"/>
      <w:jc w:val="left"/>
      <w:outlineLvl w:val="2"/>
    </w:pPr>
    <w:rPr>
      <w:b/>
    </w:rPr>
  </w:style>
  <w:style w:type="paragraph" w:customStyle="1" w:styleId="CAHeadL3S4">
    <w:name w:val="CA Heading L3 S4"/>
    <w:basedOn w:val="Normal"/>
    <w:qFormat/>
    <w:pPr>
      <w:keepNext/>
      <w:keepLines/>
      <w:tabs>
        <w:tab w:val="left" w:pos="3600"/>
      </w:tabs>
      <w:spacing w:before="308" w:after="252" w:line="340" w:lineRule="exact"/>
      <w:ind w:left="3600" w:hanging="720"/>
      <w:jc w:val="left"/>
      <w:outlineLvl w:val="2"/>
    </w:pPr>
    <w:rPr>
      <w:b/>
    </w:rPr>
  </w:style>
  <w:style w:type="paragraph" w:customStyle="1" w:styleId="CAHeadL4S0">
    <w:name w:val="CA Heading L4 S0"/>
    <w:basedOn w:val="Normal"/>
    <w:qFormat/>
    <w:pPr>
      <w:keepNext/>
      <w:keepLines/>
      <w:tabs>
        <w:tab w:val="left" w:pos="720"/>
      </w:tabs>
      <w:spacing w:before="308" w:after="252" w:line="340" w:lineRule="exact"/>
      <w:ind w:left="720" w:hanging="720"/>
      <w:jc w:val="left"/>
      <w:outlineLvl w:val="3"/>
    </w:pPr>
    <w:rPr>
      <w:b/>
      <w:i/>
    </w:rPr>
  </w:style>
  <w:style w:type="paragraph" w:customStyle="1" w:styleId="CAHeadL4S1">
    <w:name w:val="CA Heading L4 S1"/>
    <w:basedOn w:val="Normal"/>
    <w:qFormat/>
    <w:pPr>
      <w:keepNext/>
      <w:keepLines/>
      <w:tabs>
        <w:tab w:val="left" w:pos="1440"/>
      </w:tabs>
      <w:spacing w:before="308" w:after="252" w:line="340" w:lineRule="exact"/>
      <w:ind w:left="1440" w:hanging="720"/>
      <w:jc w:val="left"/>
      <w:outlineLvl w:val="3"/>
    </w:pPr>
    <w:rPr>
      <w:b/>
      <w:i/>
    </w:rPr>
  </w:style>
  <w:style w:type="paragraph" w:customStyle="1" w:styleId="CAHeadL4S2">
    <w:name w:val="CA Heading L4 S2"/>
    <w:basedOn w:val="Normal"/>
    <w:qFormat/>
    <w:pPr>
      <w:keepNext/>
      <w:keepLines/>
      <w:tabs>
        <w:tab w:val="left" w:pos="2160"/>
      </w:tabs>
      <w:spacing w:before="308" w:after="252" w:line="340" w:lineRule="exact"/>
      <w:ind w:left="2160" w:hanging="720"/>
      <w:jc w:val="left"/>
      <w:outlineLvl w:val="3"/>
    </w:pPr>
    <w:rPr>
      <w:b/>
      <w:i/>
    </w:rPr>
  </w:style>
  <w:style w:type="paragraph" w:customStyle="1" w:styleId="CAHeadL4S3">
    <w:name w:val="CA Heading L4 S3"/>
    <w:basedOn w:val="Normal"/>
    <w:qFormat/>
    <w:pPr>
      <w:keepNext/>
      <w:keepLines/>
      <w:tabs>
        <w:tab w:val="left" w:pos="2880"/>
      </w:tabs>
      <w:spacing w:before="308" w:after="252" w:line="340" w:lineRule="exact"/>
      <w:ind w:left="2880" w:hanging="720"/>
      <w:jc w:val="left"/>
      <w:outlineLvl w:val="3"/>
    </w:pPr>
    <w:rPr>
      <w:b/>
      <w:i/>
    </w:rPr>
  </w:style>
  <w:style w:type="paragraph" w:customStyle="1" w:styleId="CAHeadL4S4">
    <w:name w:val="CA Heading L4 S4"/>
    <w:basedOn w:val="Normal"/>
    <w:qFormat/>
    <w:pPr>
      <w:keepNext/>
      <w:keepLines/>
      <w:tabs>
        <w:tab w:val="left" w:pos="3600"/>
      </w:tabs>
      <w:spacing w:before="308" w:after="252" w:line="340" w:lineRule="exact"/>
      <w:ind w:left="3600" w:hanging="720"/>
      <w:jc w:val="left"/>
      <w:outlineLvl w:val="3"/>
    </w:pPr>
    <w:rPr>
      <w:b/>
      <w:i/>
    </w:rPr>
  </w:style>
  <w:style w:type="paragraph" w:customStyle="1" w:styleId="CAHeadL5S0">
    <w:name w:val="CA Heading L5 S0"/>
    <w:basedOn w:val="Normal"/>
    <w:qFormat/>
    <w:pPr>
      <w:keepNext/>
      <w:keepLines/>
      <w:tabs>
        <w:tab w:val="left" w:pos="720"/>
      </w:tabs>
      <w:spacing w:before="308" w:after="252" w:line="340" w:lineRule="exact"/>
      <w:ind w:left="720" w:hanging="720"/>
      <w:jc w:val="left"/>
      <w:outlineLvl w:val="4"/>
    </w:pPr>
    <w:rPr>
      <w:b/>
      <w:i/>
    </w:rPr>
  </w:style>
  <w:style w:type="paragraph" w:customStyle="1" w:styleId="CAHeadL5S1">
    <w:name w:val="CA Heading L5 S1"/>
    <w:basedOn w:val="Normal"/>
    <w:qFormat/>
    <w:pPr>
      <w:keepNext/>
      <w:keepLines/>
      <w:tabs>
        <w:tab w:val="left" w:pos="1440"/>
      </w:tabs>
      <w:spacing w:before="308" w:after="252" w:line="340" w:lineRule="exact"/>
      <w:ind w:left="1440" w:hanging="720"/>
      <w:jc w:val="left"/>
      <w:outlineLvl w:val="4"/>
    </w:pPr>
    <w:rPr>
      <w:b/>
      <w:i/>
    </w:rPr>
  </w:style>
  <w:style w:type="paragraph" w:customStyle="1" w:styleId="CAHeadL5S2">
    <w:name w:val="CA Heading L5 S2"/>
    <w:basedOn w:val="Normal"/>
    <w:qFormat/>
    <w:pPr>
      <w:keepNext/>
      <w:keepLines/>
      <w:tabs>
        <w:tab w:val="left" w:pos="2160"/>
      </w:tabs>
      <w:spacing w:before="308" w:after="252" w:line="340" w:lineRule="exact"/>
      <w:ind w:left="2160" w:hanging="720"/>
      <w:jc w:val="left"/>
      <w:outlineLvl w:val="4"/>
    </w:pPr>
    <w:rPr>
      <w:b/>
      <w:i/>
    </w:rPr>
  </w:style>
  <w:style w:type="paragraph" w:customStyle="1" w:styleId="CAHeadL5S3">
    <w:name w:val="CA Heading L5 S3"/>
    <w:basedOn w:val="Normal"/>
    <w:qFormat/>
    <w:pPr>
      <w:keepNext/>
      <w:keepLines/>
      <w:tabs>
        <w:tab w:val="left" w:pos="2880"/>
      </w:tabs>
      <w:spacing w:before="308" w:after="252" w:line="340" w:lineRule="exact"/>
      <w:ind w:left="2880" w:hanging="720"/>
      <w:jc w:val="left"/>
      <w:outlineLvl w:val="4"/>
    </w:pPr>
    <w:rPr>
      <w:b/>
      <w:i/>
    </w:rPr>
  </w:style>
  <w:style w:type="paragraph" w:customStyle="1" w:styleId="CAHeadL5S4">
    <w:name w:val="CA Heading L5 S4"/>
    <w:basedOn w:val="Normal"/>
    <w:qFormat/>
    <w:pPr>
      <w:keepNext/>
      <w:keepLines/>
      <w:tabs>
        <w:tab w:val="left" w:pos="3600"/>
      </w:tabs>
      <w:spacing w:before="308" w:after="252" w:line="340" w:lineRule="exact"/>
      <w:ind w:left="3600" w:hanging="720"/>
      <w:jc w:val="left"/>
      <w:outlineLvl w:val="4"/>
    </w:pPr>
    <w:rPr>
      <w:b/>
      <w:i/>
    </w:rPr>
  </w:style>
  <w:style w:type="paragraph" w:customStyle="1" w:styleId="CACentered">
    <w:name w:val="CA Centered"/>
    <w:basedOn w:val="Normal"/>
    <w:qFormat/>
    <w:pPr>
      <w:spacing w:before="0" w:after="0" w:line="340" w:lineRule="exact"/>
      <w:ind w:firstLine="0"/>
      <w:jc w:val="center"/>
    </w:pPr>
    <w:rPr/>
  </w:style>
  <w:style w:type="paragraph" w:customStyle="1" w:styleId="CADoubleRule">
    <w:name w:val="CA Double Rule"/>
    <w:basedOn w:val="Normal"/>
    <w:qFormat/>
    <w:pPr>
      <w:keepNext/>
      <w:pBdr>
        <w:top w:val="single" w:sz="12" w:space="0" w:color="000000"/>
        <w:bottom w:val="single" w:sz="4" w:space="0" w:color="000000"/>
      </w:pBdr>
      <w:spacing w:before="0" w:after="0" w:line="50" w:lineRule="exact"/>
      <w:ind w:firstLine="0"/>
    </w:pPr>
    <w:rPr/>
  </w:style>
  <w:style w:type="paragraph" w:customStyle="1" w:styleId="CACounsel">
    <w:name w:val="CA Counsel"/>
    <w:basedOn w:val="Normal"/>
    <w:qFormat/>
    <w:pPr>
      <w:spacing w:before="0" w:after="0" w:line="340" w:lineRule="exact"/>
      <w:ind w:firstLine="0"/>
      <w:jc w:val="left"/>
    </w:pPr>
    <w:rPr/>
  </w:style>
  <w:style w:type="paragraph" w:customStyle="1" w:styleId="CATocTop">
    <w:name w:val="CA TOC 1"/>
    <w:basedOn w:val="Normal"/>
    <w:qFormat/>
    <w:pPr>
      <w:keepLines/>
      <w:tabs>
        <w:tab w:val="right" w:leader="dot" w:pos="9360"/>
      </w:tabs>
      <w:spacing w:before="168" w:after="0" w:line="340" w:lineRule="exact"/>
      <w:ind w:left="720" w:right="720" w:hanging="720"/>
    </w:pPr>
    <w:rPr/>
  </w:style>
  <w:style w:type="paragraph" w:customStyle="1" w:styleId="CATocS0">
    <w:name w:val="CA TOC Entry S0"/>
    <w:basedOn w:val="Normal"/>
    <w:qFormat/>
    <w:pPr>
      <w:keepLines/>
      <w:tabs>
        <w:tab w:val="left" w:leader="none" w:pos="720"/>
        <w:tab w:val="right" w:leader="dot" w:pos="9360"/>
      </w:tabs>
      <w:spacing w:before="98" w:after="0" w:line="340" w:lineRule="exact"/>
      <w:ind w:left="720" w:right="720" w:hanging="720"/>
    </w:pPr>
    <w:rPr/>
  </w:style>
  <w:style w:type="paragraph" w:customStyle="1" w:styleId="CATocS1">
    <w:name w:val="CA TOC Entry S1"/>
    <w:basedOn w:val="Normal"/>
    <w:qFormat/>
    <w:pPr>
      <w:keepLines/>
      <w:tabs>
        <w:tab w:val="left" w:leader="none" w:pos="1440"/>
        <w:tab w:val="right" w:leader="dot" w:pos="9360"/>
      </w:tabs>
      <w:spacing w:before="98" w:after="0" w:line="340" w:lineRule="exact"/>
      <w:ind w:left="1440" w:right="720" w:hanging="720"/>
    </w:pPr>
    <w:rPr/>
  </w:style>
  <w:style w:type="paragraph" w:customStyle="1" w:styleId="CATocS2">
    <w:name w:val="CA TOC Entry S2"/>
    <w:basedOn w:val="Normal"/>
    <w:qFormat/>
    <w:pPr>
      <w:keepLines/>
      <w:tabs>
        <w:tab w:val="left" w:leader="none" w:pos="2160"/>
        <w:tab w:val="right" w:leader="dot" w:pos="9360"/>
      </w:tabs>
      <w:spacing w:before="98" w:after="0" w:line="340" w:lineRule="exact"/>
      <w:ind w:left="2160" w:right="720" w:hanging="720"/>
    </w:pPr>
    <w:rPr/>
  </w:style>
  <w:style w:type="paragraph" w:customStyle="1" w:styleId="CATocS3">
    <w:name w:val="CA TOC Entry S3"/>
    <w:basedOn w:val="Normal"/>
    <w:qFormat/>
    <w:pPr>
      <w:keepLines/>
      <w:tabs>
        <w:tab w:val="left" w:leader="none" w:pos="2880"/>
        <w:tab w:val="right" w:leader="dot" w:pos="9360"/>
      </w:tabs>
      <w:spacing w:before="98" w:after="0" w:line="340" w:lineRule="exact"/>
      <w:ind w:left="2880" w:right="720" w:hanging="720"/>
    </w:pPr>
    <w:rPr/>
  </w:style>
  <w:style w:type="paragraph" w:customStyle="1" w:styleId="CATocS4">
    <w:name w:val="CA TOC Entry S4"/>
    <w:basedOn w:val="Normal"/>
    <w:qFormat/>
    <w:pPr>
      <w:keepLines/>
      <w:tabs>
        <w:tab w:val="left" w:leader="none" w:pos="3600"/>
        <w:tab w:val="right" w:leader="dot" w:pos="9360"/>
      </w:tabs>
      <w:spacing w:before="98" w:after="0" w:line="340" w:lineRule="exact"/>
      <w:ind w:left="3600" w:right="720" w:hanging="720"/>
    </w:pPr>
    <w:rPr/>
  </w:style>
  <w:style w:type="paragraph" w:customStyle="1" w:styleId="CAToaGroup">
    <w:name w:val="CA TOA Group"/>
    <w:basedOn w:val="Normal"/>
    <w:qFormat/>
    <w:pPr>
      <w:keepNext/>
      <w:spacing w:before="308" w:after="56" w:line="340" w:lineRule="exact"/>
      <w:ind w:firstLine="0"/>
    </w:pPr>
    <w:rPr>
      <w:b/>
    </w:rPr>
  </w:style>
  <w:style w:type="paragraph" w:customStyle="1" w:styleId="CAToaEntry">
    <w:name w:val="CA TOA Entry"/>
    <w:basedOn w:val="Normal"/>
    <w:qFormat/>
    <w:pPr>
      <w:keepLines/>
      <w:tabs>
        <w:tab w:val="right" w:leader="dot" w:pos="9360"/>
      </w:tabs>
      <w:spacing w:before="196" w:after="0" w:line="340" w:lineRule="exact"/>
      <w:ind w:left="504" w:right="1120" w:hanging="504"/>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RomanFtr" Target="footer-roman.xml"/><Relationship Type="http://schemas.openxmlformats.org/officeDocument/2006/relationships/footer" Id="rIdArabicFtr" Target="footer-arabic.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