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rPr>
                <w:sz w:val="24"/>
                <w:szCs w:val="24"/>
              </w:rPr>
              <w:t xml:space="preserve">ANNE</w:t>
            </w:r>
            <w:r>
              <w:rPr>
                <w:sz w:val="24"/>
                <w:szCs w:val="24"/>
              </w:rPr>
              <w:t xml:space="preserve"> </w:t>
            </w:r>
            <w:r>
              <w:rPr>
                <w:sz w:val="24"/>
                <w:szCs w:val="24"/>
              </w:rPr>
              <w:t xml:space="preserve">E.</w:t>
            </w:r>
            <w:r>
              <w:rPr>
                <w:sz w:val="24"/>
                <w:szCs w:val="24"/>
              </w:rPr>
              <w:t xml:space="preserve"> </w:t>
            </w:r>
            <w:r>
              <w:rPr>
                <w:sz w:val="24"/>
                <w:szCs w:val="24"/>
              </w:rPr>
              <w:t xml:space="preserve">LOPEZ</w:t>
            </w:r>
            <w:r>
              <w:rPr>
                <w:sz w:val="24"/>
                <w:szCs w:val="24"/>
              </w:rPr>
              <w:t xml:space="preserve"> </w:t>
            </w:r>
            <w:r>
              <w:rPr>
                <w:sz w:val="24"/>
                <w:szCs w:val="24"/>
              </w:rPr>
              <w:t xml:space="preserve">(7609)</w:t>
            </w:r>
          </w:p>
          <w:p>
            <w:pPr>
              <w:spacing w:before="0" w:after="0" w:line="276" w:lineRule="exact"/>
              <w:ind w:left="0" w:firstLine="0"/>
              <w:jc w:val="left"/>
            </w:pPr>
            <w:r>
              <w:rPr>
                <w:sz w:val="24"/>
                <w:szCs w:val="24"/>
              </w:rPr>
              <w:t xml:space="preserve">Attorney</w:t>
            </w:r>
            <w:r>
              <w:rPr>
                <w:sz w:val="24"/>
                <w:szCs w:val="24"/>
              </w:rPr>
              <w:t xml:space="preserve"> </w:t>
            </w:r>
            <w:r>
              <w:rPr>
                <w:sz w:val="24"/>
                <w:szCs w:val="24"/>
              </w:rPr>
              <w:t xml:space="preserve">General</w:t>
            </w:r>
            <w:r>
              <w:rPr>
                <w:sz w:val="24"/>
                <w:szCs w:val="24"/>
              </w:rPr>
              <w:t xml:space="preserve"> </w:t>
            </w:r>
            <w:r>
              <w:rPr>
                <w:sz w:val="24"/>
                <w:szCs w:val="24"/>
              </w:rPr>
              <w:t xml:space="preserve">of</w:t>
            </w:r>
            <w:r>
              <w:rPr>
                <w:sz w:val="24"/>
                <w:szCs w:val="24"/>
              </w:rPr>
              <w:t xml:space="preserve"> </w:t>
            </w:r>
            <w:r>
              <w:rPr>
                <w:sz w:val="24"/>
                <w:szCs w:val="24"/>
              </w:rPr>
              <w:t xml:space="preserve">Hawai‘i</w:t>
            </w:r>
          </w:p>
          <w:p>
            <w:pPr>
              <w:spacing w:before="0" w:after="0" w:line="276" w:lineRule="exact"/>
              <w:ind w:left="0" w:firstLine="0"/>
              <w:jc w:val="left"/>
            </w:pPr>
            <w:r>
              <w:rPr>
                <w:sz w:val="24"/>
                <w:szCs w:val="24"/>
              </w:rPr>
              <w:t xml:space="preserve">KALIKO‘ONĀLANI</w:t>
            </w:r>
            <w:r>
              <w:rPr>
                <w:sz w:val="24"/>
                <w:szCs w:val="24"/>
              </w:rPr>
              <w:t xml:space="preserve"> </w:t>
            </w:r>
            <w:r>
              <w:rPr>
                <w:sz w:val="24"/>
                <w:szCs w:val="24"/>
              </w:rPr>
              <w:t xml:space="preserve">D.</w:t>
            </w:r>
            <w:r>
              <w:rPr>
                <w:sz w:val="24"/>
                <w:szCs w:val="24"/>
              </w:rPr>
              <w:t xml:space="preserve"> </w:t>
            </w:r>
            <w:r>
              <w:rPr>
                <w:sz w:val="24"/>
                <w:szCs w:val="24"/>
              </w:rPr>
              <w:t xml:space="preserve">FERNANDES</w:t>
            </w:r>
            <w:r>
              <w:rPr>
                <w:sz w:val="24"/>
                <w:szCs w:val="24"/>
              </w:rPr>
              <w:t xml:space="preserve"> </w:t>
            </w:r>
            <w:r>
              <w:rPr>
                <w:sz w:val="24"/>
                <w:szCs w:val="24"/>
              </w:rPr>
              <w:t xml:space="preserve">(9964)</w:t>
            </w:r>
          </w:p>
          <w:p>
            <w:pPr>
              <w:spacing w:before="0" w:after="0" w:line="276" w:lineRule="exact"/>
              <w:ind w:left="0" w:firstLine="0"/>
              <w:jc w:val="left"/>
            </w:pPr>
            <w:r>
              <w:rPr>
                <w:sz w:val="24"/>
                <w:szCs w:val="24"/>
              </w:rPr>
              <w:t xml:space="preserve">Solicitor</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LAUREN</w:t>
            </w:r>
            <w:r>
              <w:rPr>
                <w:sz w:val="24"/>
                <w:szCs w:val="24"/>
              </w:rPr>
              <w:t xml:space="preserve"> </w:t>
            </w:r>
            <w:r>
              <w:rPr>
                <w:sz w:val="24"/>
                <w:szCs w:val="24"/>
              </w:rPr>
              <w:t xml:space="preserve">K.</w:t>
            </w:r>
            <w:r>
              <w:rPr>
                <w:sz w:val="24"/>
                <w:szCs w:val="24"/>
              </w:rPr>
              <w:t xml:space="preserve"> </w:t>
            </w:r>
            <w:r>
              <w:rPr>
                <w:sz w:val="24"/>
                <w:szCs w:val="24"/>
              </w:rPr>
              <w:t xml:space="preserve">CHUN</w:t>
            </w:r>
            <w:r>
              <w:rPr>
                <w:sz w:val="24"/>
                <w:szCs w:val="24"/>
              </w:rPr>
              <w:t xml:space="preserve"> </w:t>
            </w:r>
            <w:r>
              <w:rPr>
                <w:sz w:val="24"/>
                <w:szCs w:val="24"/>
              </w:rPr>
              <w:t xml:space="preserve">(10196)</w:t>
            </w:r>
          </w:p>
          <w:p>
            <w:pPr>
              <w:spacing w:before="0" w:after="0" w:line="276" w:lineRule="exact"/>
              <w:ind w:left="0" w:firstLine="0"/>
              <w:jc w:val="left"/>
            </w:pPr>
            <w:r>
              <w:rPr>
                <w:sz w:val="24"/>
                <w:szCs w:val="24"/>
              </w:rPr>
              <w:t xml:space="preserve">First</w:t>
            </w:r>
            <w:r>
              <w:rPr>
                <w:sz w:val="24"/>
                <w:szCs w:val="24"/>
              </w:rPr>
              <w:t xml:space="preserve"> </w:t>
            </w:r>
            <w:r>
              <w:rPr>
                <w:sz w:val="24"/>
                <w:szCs w:val="24"/>
              </w:rPr>
              <w:t xml:space="preserve">Deputy</w:t>
            </w:r>
            <w:r>
              <w:rPr>
                <w:sz w:val="24"/>
                <w:szCs w:val="24"/>
              </w:rPr>
              <w:t xml:space="preserve"> </w:t>
            </w:r>
            <w:r>
              <w:rPr>
                <w:sz w:val="24"/>
                <w:szCs w:val="24"/>
              </w:rPr>
              <w:t xml:space="preserve">Solicitor</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THOMAS</w:t>
            </w:r>
            <w:r>
              <w:rPr>
                <w:sz w:val="24"/>
                <w:szCs w:val="24"/>
              </w:rPr>
              <w:t xml:space="preserve"> </w:t>
            </w:r>
            <w:r>
              <w:rPr>
                <w:sz w:val="24"/>
                <w:szCs w:val="24"/>
              </w:rPr>
              <w:t xml:space="preserve">J.</w:t>
            </w:r>
            <w:r>
              <w:rPr>
                <w:sz w:val="24"/>
                <w:szCs w:val="24"/>
              </w:rPr>
              <w:t xml:space="preserve"> </w:t>
            </w:r>
            <w:r>
              <w:rPr>
                <w:sz w:val="24"/>
                <w:szCs w:val="24"/>
              </w:rPr>
              <w:t xml:space="preserve">HUGHES</w:t>
            </w:r>
            <w:r>
              <w:rPr>
                <w:sz w:val="24"/>
                <w:szCs w:val="24"/>
              </w:rPr>
              <w:t xml:space="preserve"> </w:t>
            </w:r>
            <w:r>
              <w:rPr>
                <w:sz w:val="24"/>
                <w:szCs w:val="24"/>
              </w:rPr>
              <w:t xml:space="preserve">(11059)</w:t>
            </w:r>
          </w:p>
          <w:p>
            <w:pPr>
              <w:spacing w:before="0" w:after="0" w:line="276" w:lineRule="exact"/>
              <w:ind w:left="0" w:firstLine="0"/>
              <w:jc w:val="left"/>
            </w:pPr>
            <w:r>
              <w:rPr>
                <w:sz w:val="24"/>
                <w:szCs w:val="24"/>
              </w:rPr>
              <w:t xml:space="preserve">CAITLYN</w:t>
            </w:r>
            <w:r>
              <w:rPr>
                <w:sz w:val="24"/>
                <w:szCs w:val="24"/>
              </w:rPr>
              <w:t xml:space="preserve"> </w:t>
            </w:r>
            <w:r>
              <w:rPr>
                <w:sz w:val="24"/>
                <w:szCs w:val="24"/>
              </w:rPr>
              <w:t xml:space="preserve">B.</w:t>
            </w:r>
            <w:r>
              <w:rPr>
                <w:sz w:val="24"/>
                <w:szCs w:val="24"/>
              </w:rPr>
              <w:t xml:space="preserve"> </w:t>
            </w:r>
            <w:r>
              <w:rPr>
                <w:sz w:val="24"/>
                <w:szCs w:val="24"/>
              </w:rPr>
              <w:t xml:space="preserve">CARPENTER</w:t>
            </w:r>
            <w:r>
              <w:rPr>
                <w:sz w:val="24"/>
                <w:szCs w:val="24"/>
              </w:rPr>
              <w:t xml:space="preserve"> </w:t>
            </w:r>
            <w:r>
              <w:rPr>
                <w:sz w:val="24"/>
                <w:szCs w:val="24"/>
              </w:rPr>
              <w:t xml:space="preserve">(11928)</w:t>
            </w:r>
          </w:p>
          <w:p>
            <w:pPr>
              <w:spacing w:before="0" w:after="0" w:line="276" w:lineRule="exact"/>
              <w:ind w:left="0" w:firstLine="0"/>
              <w:jc w:val="left"/>
            </w:pPr>
            <w:r>
              <w:rPr>
                <w:sz w:val="24"/>
                <w:szCs w:val="24"/>
              </w:rPr>
              <w:t xml:space="preserve">Deputy</w:t>
            </w:r>
            <w:r>
              <w:rPr>
                <w:sz w:val="24"/>
                <w:szCs w:val="24"/>
              </w:rPr>
              <w:t xml:space="preserve"> </w:t>
            </w:r>
            <w:r>
              <w:rPr>
                <w:sz w:val="24"/>
                <w:szCs w:val="24"/>
              </w:rPr>
              <w:t xml:space="preserve">Solicitors</w:t>
            </w:r>
            <w:r>
              <w:rPr>
                <w:sz w:val="24"/>
                <w:szCs w:val="24"/>
              </w:rPr>
              <w:t xml:space="preserve"> </w:t>
            </w:r>
            <w:r>
              <w:rPr>
                <w:sz w:val="24"/>
                <w:szCs w:val="24"/>
              </w:rPr>
              <w:t xml:space="preserve">General</w:t>
            </w:r>
          </w:p>
        </w:tc>
        <w:tc>
          <w:tcPr>
            <w:tcW w:w="4680" w:type="dxa"/>
          </w:tcPr>
          <w:p>
            <w:pPr>
              <w:spacing w:before="0" w:after="0" w:line="276" w:lineRule="exact"/>
              <w:ind w:left="0" w:firstLine="0"/>
              <w:jc w:val="left"/>
            </w:pP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Attorney</w:t>
            </w:r>
            <w:r>
              <w:rPr>
                <w:sz w:val="24"/>
                <w:szCs w:val="24"/>
              </w:rPr>
              <w:t xml:space="preserve"> </w:t>
            </w:r>
            <w:r>
              <w:rPr>
                <w:sz w:val="24"/>
                <w:szCs w:val="24"/>
              </w:rPr>
              <w:t xml:space="preserve">General,</w:t>
            </w:r>
            <w:r>
              <w:rPr>
                <w:sz w:val="24"/>
                <w:szCs w:val="24"/>
              </w:rPr>
              <w:t xml:space="preserve"> </w:t>
            </w:r>
            <w:r>
              <w:rPr>
                <w:sz w:val="24"/>
                <w:szCs w:val="24"/>
              </w:rPr>
              <w:t xml:space="preserve">State</w:t>
            </w:r>
            <w:r>
              <w:rPr>
                <w:sz w:val="24"/>
                <w:szCs w:val="24"/>
              </w:rPr>
              <w:t xml:space="preserve"> </w:t>
            </w:r>
            <w:r>
              <w:rPr>
                <w:sz w:val="24"/>
                <w:szCs w:val="24"/>
              </w:rPr>
              <w:t xml:space="preserve">of</w:t>
            </w:r>
            <w:r>
              <w:rPr>
                <w:sz w:val="24"/>
                <w:szCs w:val="24"/>
              </w:rPr>
              <w:t xml:space="preserve"> </w:t>
            </w:r>
            <w:r>
              <w:rPr>
                <w:sz w:val="24"/>
                <w:szCs w:val="24"/>
              </w:rPr>
              <w:t xml:space="preserve">Hawai‘i</w:t>
            </w:r>
          </w:p>
          <w:p>
            <w:pPr>
              <w:spacing w:before="0" w:after="0" w:line="276" w:lineRule="exact"/>
              <w:ind w:left="0" w:firstLine="0"/>
              <w:jc w:val="left"/>
            </w:pPr>
            <w:r>
              <w:rPr>
                <w:sz w:val="24"/>
                <w:szCs w:val="24"/>
              </w:rPr>
              <w:t xml:space="preserve">425</w:t>
            </w:r>
            <w:r>
              <w:rPr>
                <w:sz w:val="24"/>
                <w:szCs w:val="24"/>
              </w:rPr>
              <w:t xml:space="preserve"> </w:t>
            </w:r>
            <w:r>
              <w:rPr>
                <w:sz w:val="24"/>
                <w:szCs w:val="24"/>
              </w:rPr>
              <w:t xml:space="preserve">Queen</w:t>
            </w:r>
            <w:r>
              <w:rPr>
                <w:sz w:val="24"/>
                <w:szCs w:val="24"/>
              </w:rPr>
              <w:t xml:space="preserve"> </w:t>
            </w:r>
            <w:r>
              <w:rPr>
                <w:sz w:val="24"/>
                <w:szCs w:val="24"/>
              </w:rPr>
              <w:t xml:space="preserve">Street</w:t>
            </w:r>
          </w:p>
          <w:p>
            <w:pPr>
              <w:spacing w:before="0" w:after="0" w:line="276" w:lineRule="exact"/>
              <w:ind w:left="0" w:firstLine="0"/>
              <w:jc w:val="left"/>
            </w:pPr>
            <w:r>
              <w:rPr>
                <w:sz w:val="24"/>
                <w:szCs w:val="24"/>
              </w:rPr>
              <w:t xml:space="preserve">Honolulu,</w:t>
            </w:r>
            <w:r>
              <w:rPr>
                <w:sz w:val="24"/>
                <w:szCs w:val="24"/>
              </w:rPr>
              <w:t xml:space="preserve"> </w:t>
            </w:r>
            <w:r>
              <w:rPr>
                <w:sz w:val="24"/>
                <w:szCs w:val="24"/>
              </w:rPr>
              <w:t xml:space="preserve">Hawai‘i</w:t>
            </w:r>
            <w:r>
              <w:rPr>
                <w:sz w:val="24"/>
                <w:szCs w:val="24"/>
              </w:rPr>
              <w:t xml:space="preserve"> </w:t>
            </w:r>
            <w:r>
              <w:rPr>
                <w:sz w:val="24"/>
                <w:szCs w:val="24"/>
              </w:rPr>
              <w:t xml:space="preserve">96813</w:t>
            </w:r>
          </w:p>
          <w:p>
            <w:pPr>
              <w:spacing w:before="0" w:after="0" w:line="276" w:lineRule="exact"/>
              <w:ind w:left="0" w:firstLine="0"/>
              <w:jc w:val="left"/>
            </w:pPr>
            <w:r>
              <w:rPr>
                <w:sz w:val="24"/>
                <w:szCs w:val="24"/>
              </w:rPr>
              <w:t xml:space="preserve">Tel:</w:t>
            </w:r>
            <w:r>
              <w:rPr>
                <w:sz w:val="24"/>
                <w:szCs w:val="24"/>
              </w:rPr>
              <w:t xml:space="preserve"> </w:t>
            </w:r>
            <w:r>
              <w:rPr>
                <w:sz w:val="24"/>
                <w:szCs w:val="24"/>
              </w:rPr>
              <w:t xml:space="preserve">(808)</w:t>
            </w:r>
            <w:r>
              <w:rPr>
                <w:sz w:val="24"/>
                <w:szCs w:val="24"/>
              </w:rPr>
              <w:t xml:space="preserve"> </w:t>
            </w:r>
            <w:r>
              <w:rPr>
                <w:sz w:val="24"/>
                <w:szCs w:val="24"/>
              </w:rPr>
              <w:t xml:space="preserve">586-⁠1360</w:t>
            </w:r>
          </w:p>
          <w:p>
            <w:pPr>
              <w:spacing w:before="0" w:after="0" w:line="276" w:lineRule="exact"/>
              <w:ind w:left="0" w:firstLine="0"/>
              <w:jc w:val="left"/>
            </w:pPr>
            <w:r>
              <w:rPr>
                <w:sz w:val="24"/>
                <w:szCs w:val="24"/>
              </w:rPr>
              <w:t xml:space="preserve">E-mail:</w:t>
            </w:r>
            <w:r>
              <w:rPr>
                <w:sz w:val="24"/>
                <w:szCs w:val="24"/>
              </w:rPr>
              <w:t xml:space="preserve"> </w:t>
            </w:r>
            <w:r>
              <w:rPr>
                <w:sz w:val="24"/>
                <w:szCs w:val="24"/>
              </w:rPr>
              <w:t xml:space="preserve">kaliko.d.fernandes@hawaii.gov</w:t>
            </w:r>
          </w:p>
          <w:p>
            <w:pPr>
              <w:spacing w:before="0" w:after="0" w:line="276" w:lineRule="exact"/>
              <w:ind w:left="0" w:firstLine="0"/>
              <w:jc w:val="left"/>
            </w:pPr>
            <w:r>
              <w:rPr>
                <w:sz w:val="24"/>
                <w:szCs w:val="24"/>
              </w:rPr>
              <w:t xml:space="preserve">lauren.k.chun@hawaii.gov</w:t>
            </w:r>
          </w:p>
          <w:p>
            <w:pPr>
              <w:spacing w:before="0" w:after="0" w:line="276" w:lineRule="exact"/>
              <w:ind w:left="0" w:firstLine="0"/>
              <w:jc w:val="left"/>
            </w:pPr>
            <w:r>
              <w:rPr>
                <w:sz w:val="24"/>
                <w:szCs w:val="24"/>
              </w:rPr>
              <w:t xml:space="preserve">thomas.j.hughes@hawaii.gov</w:t>
            </w:r>
          </w:p>
          <w:p>
            <w:pPr>
              <w:spacing w:before="0" w:after="0" w:line="276" w:lineRule="exact"/>
              <w:ind w:left="0" w:firstLine="0"/>
              <w:jc w:val="left"/>
            </w:pPr>
            <w:r>
              <w:rPr>
                <w:sz w:val="24"/>
                <w:szCs w:val="24"/>
              </w:rPr>
              <w:t xml:space="preserve">caitlyn.b.carpenter@hawaii.gov</w:t>
            </w:r>
          </w:p>
        </w:tc>
      </w:tr>
    </w:tbl>
    <w:p>
      <w:pPr>
        <w:spacing w:before="322"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p>
    <w:p>
      <w:pPr>
        <w:spacing w:before="644"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322" w:line="322"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HAWAII</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tbl>
            <w:tblPr>
              <w:tblW w:w="4464" w:type="dxa"/>
              <w:tblInd w:w="0" w:type="dxa"/>
              <w:tblBorders>
                <w:top w:val="nil"/>
                <w:left w:val="nil"/>
                <w:bottom w:val="single" w:sz="6"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464"/>
            </w:tblGrid>
            <w:tr>
              <w:trPr>
                <w:cantSplit/>
              </w:trPr>
              <w:tc>
                <w:tcPr>
                  <w:tcW w:w="4464" w:type="dxa"/>
                </w:tcPr>
                <w:tbl>
                  <w:tblPr>
                    <w:tblW w:w="4464" w:type="dxa"/>
                    <w:tblInd w:w="0" w:type="dxa"/>
                    <w:tblBorders>
                      <w:top w:val="nil"/>
                      <w:left w:val="nil"/>
                      <w:bottom w:val="nil"/>
                      <w:right w:val="single" w:sz="6" w:space="0" w:color="000000"/>
                    </w:tblBorders>
                    <w:tblLayout w:type="fixed"/>
                    <w:tblCellMar>
                      <w:top w:w="0" w:type="dxa"/>
                      <w:left w:w="0" w:type="dxa"/>
                      <w:bottom w:w="160" w:type="dxa"/>
                      <w:right w:w="180" w:type="dxa"/>
                    </w:tblCellMar>
                    <w:tblLook w:val="0000" w:firstRow="0" w:lastRow="0" w:firstColumn="0" w:lastColumn="0" w:noHBand="0" w:noVBand="0"/>
                  </w:tblPr>
                  <w:tblGrid>
                    <w:gridCol w:w="4464"/>
                  </w:tblGrid>
                  <w:tr>
                    <w:trPr>
                      <w:cantSplit/>
                    </w:trPr>
                    <w:tc>
                      <w:tcPr>
                        <w:tcW w:w="4464" w:type="dxa"/>
                      </w:tcPr>
                      <w:p>
                        <w:pPr>
                          <w:spacing w:before="0" w:after="0" w:line="322" w:lineRule="exact"/>
                          <w:ind w:left="0" w:firstLine="0"/>
                          <w:jc w:val="left"/>
                        </w:pPr>
                        <w:r>
                          <w:t xml:space="preserve">UNITED</w:t>
                        </w:r>
                        <w:r>
                          <w:t xml:space="preserve"> </w:t>
                        </w:r>
                        <w:r>
                          <w:t xml:space="preserve">STATES</w:t>
                        </w:r>
                        <w:r>
                          <w:t xml:space="preserve"> </w:t>
                        </w:r>
                        <w:r>
                          <w:t xml:space="preserve">OF</w:t>
                        </w:r>
                        <w:r>
                          <w:t xml:space="preserve"> </w:t>
                        </w:r>
                        <w:r>
                          <w:t xml:space="preserve">AMERICA,</w:t>
                        </w:r>
                      </w:p>
                      <w:p>
                        <w:pPr>
                          <w:spacing w:before="322" w:after="0" w:line="322" w:lineRule="exact"/>
                          <w:ind w:left="0" w:firstLine="0"/>
                          <w:jc w:val="right"/>
                        </w:pPr>
                        <w:r>
                          <w:rPr>
                            <w:i/>
                            <w:iCs/>
                          </w:rPr>
                          <w:t xml:space="preserve">Plaintiff,</w:t>
                        </w:r>
                      </w:p>
                      <w:p>
                        <w:pPr>
                          <w:spacing w:before="322" w:after="322" w:line="322" w:lineRule="exact"/>
                          <w:ind w:left="0" w:firstLine="0"/>
                          <w:jc w:val="left"/>
                        </w:pPr>
                        <w:r>
                          <w:t xml:space="preserve">v.</w:t>
                        </w:r>
                      </w:p>
                      <w:p>
                        <w:pPr>
                          <w:spacing w:before="0" w:after="0" w:line="322" w:lineRule="exact"/>
                          <w:ind w:left="0" w:firstLine="0"/>
                          <w:jc w:val="left"/>
                        </w:pPr>
                        <w:r>
                          <w:t xml:space="preserve">STATE</w:t>
                        </w:r>
                        <w:r>
                          <w:t xml:space="preserve"> </w:t>
                        </w:r>
                        <w:r>
                          <w:t xml:space="preserve">OF</w:t>
                        </w:r>
                        <w:r>
                          <w:t xml:space="preserve"> </w:t>
                        </w:r>
                        <w:r>
                          <w:t xml:space="preserve">HAWAI‘I;</w:t>
                        </w:r>
                        <w:r>
                          <w:t xml:space="preserve"> </w:t>
                        </w:r>
                        <w:r>
                          <w:t xml:space="preserve">JOSHUA</w:t>
                        </w:r>
                        <w:r>
                          <w:t xml:space="preserve"> </w:t>
                        </w:r>
                        <w:r>
                          <w:t xml:space="preserve">BOOTH</w:t>
                        </w:r>
                        <w:r>
                          <w:t xml:space="preserve"> </w:t>
                        </w:r>
                        <w:r>
                          <w:t xml:space="preserve">GREEN,</w:t>
                        </w:r>
                        <w:r>
                          <w:t xml:space="preserve"> </w:t>
                        </w:r>
                        <w:r>
                          <w:t xml:space="preserve">Governor</w:t>
                        </w:r>
                        <w:r>
                          <w:t xml:space="preserve"> </w:t>
                        </w:r>
                        <w:r>
                          <w:t xml:space="preserve">of</w:t>
                        </w:r>
                        <w:r>
                          <w:t xml:space="preserve"> </w:t>
                        </w:r>
                        <w:r>
                          <w:t xml:space="preserve">Hawai‘i,</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and</w:t>
                        </w:r>
                        <w:r>
                          <w:t xml:space="preserve"> </w:t>
                        </w:r>
                        <w:r>
                          <w:t xml:space="preserve">ANNE</w:t>
                        </w:r>
                        <w:r>
                          <w:t xml:space="preserve"> </w:t>
                        </w:r>
                        <w:r>
                          <w:t xml:space="preserve">E.</w:t>
                        </w:r>
                        <w:r>
                          <w:t xml:space="preserve"> </w:t>
                        </w:r>
                        <w:r>
                          <w:t xml:space="preserve">LOPEZ,</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Hawai‘i</w:t>
                        </w:r>
                        <w:r>
                          <w:t xml:space="preserve"> </w:t>
                        </w:r>
                        <w:r>
                          <w:t xml:space="preserve">Attorney</w:t>
                        </w:r>
                        <w:r>
                          <w:t xml:space="preserve"> </w:t>
                        </w:r>
                        <w:r>
                          <w:t xml:space="preserve">General,</w:t>
                        </w:r>
                      </w:p>
                      <w:p>
                        <w:pPr>
                          <w:spacing w:before="322" w:after="0" w:line="322" w:lineRule="exact"/>
                          <w:ind w:left="0" w:firstLine="0"/>
                          <w:jc w:val="right"/>
                        </w:pPr>
                        <w:r>
                          <w:rPr>
                            <w:i/>
                            <w:iCs/>
                          </w:rPr>
                          <w:t xml:space="preserve">Defendants.</w:t>
                        </w:r>
                      </w:p>
                    </w:tc>
                  </w:tr>
                </w:tbl>
                <w:p>
                  <w:pPr>
                    <w:spacing w:before="0" w:after="0" w:line="1" w:lineRule="exact"/>
                  </w:pPr>
                </w:p>
              </w:tc>
            </w:tr>
          </w:tbl>
          <w:p>
            <w:pPr>
              <w:spacing w:before="0" w:after="0" w:line="1" w:lineRule="exact"/>
            </w:pPr>
          </w:p>
        </w:tc>
        <w:tc>
          <w:tcPr>
            <w:tcW w:w="4896" w:type="dxa"/>
          </w:tcPr>
          <w:p>
            <w:pPr>
              <w:spacing w:before="322" w:after="0" w:line="322" w:lineRule="exact"/>
              <w:ind w:left="288" w:firstLine="0"/>
              <w:jc w:val="left"/>
            </w:pPr>
            <w:r>
              <w:t xml:space="preserve">No.</w:t>
            </w:r>
            <w:r>
              <w:t xml:space="preserve"> </w:t>
            </w:r>
            <w:r>
              <w:t xml:space="preserve">1:25-cv-⁠00179-HG-WRP</w:t>
            </w:r>
          </w:p>
          <w:p>
            <w:pPr>
              <w:spacing w:before="322" w:after="0" w:line="322" w:lineRule="exact"/>
              <w:ind w:left="288" w:firstLine="0"/>
              <w:jc w:val="left"/>
            </w:pPr>
            <w:r>
              <w:rPr>
                <w:b/>
                <w:bCs/>
              </w:rPr>
              <w:t xml:space="preserve">DEFENDANTS’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PLEADINGS;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APPENDICES</w:t>
            </w:r>
            <w:r>
              <w:rPr>
                <w:b/>
                <w:bCs/>
              </w:rPr>
              <w:t xml:space="preserve"> </w:t>
            </w:r>
            <w:r>
              <w:rPr>
                <w:b/>
                <w:bCs/>
              </w:rPr>
              <w:t xml:space="preserve">A–B;</w:t>
            </w:r>
            <w:r>
              <w:rPr>
                <w:b/>
                <w:bCs/>
              </w:rPr>
              <w:t xml:space="preserve"> </w:t>
            </w: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22" w:after="0" w:line="322" w:lineRule="exact"/>
              <w:ind w:left="288" w:firstLine="0"/>
              <w:jc w:val="left"/>
            </w:pPr>
            <w:r>
              <w:t xml:space="preserve">Judge:</w:t>
            </w:r>
            <w:r>
              <w:t xml:space="preserve"> </w:t>
            </w:r>
            <w:r>
              <w:t xml:space="preserve">Hon.</w:t>
            </w:r>
            <w:r>
              <w:t xml:space="preserve"> </w:t>
            </w:r>
            <w:r>
              <w:t xml:space="preserve">Helen</w:t>
            </w:r>
            <w:r>
              <w:t xml:space="preserve"> </w:t>
            </w:r>
            <w:r>
              <w:t xml:space="preserve">Gillmor</w:t>
            </w:r>
          </w:p>
        </w:tc>
      </w:tr>
    </w:tbl>
    <w:p>
      <w:pPr>
        <w:spacing w:before="322" w:after="0" w:line="644" w:lineRule="exact"/>
        <w:ind w:left="0" w:firstLine="720"/>
        <w:jc w:val="left"/>
      </w:pPr>
      <w:r>
        <w:t xml:space="preserve">Defendants</w:t>
      </w:r>
      <w:r>
        <w:t xml:space="preserve"> </w:t>
      </w:r>
      <w:r>
        <w:t xml:space="preserve">State</w:t>
      </w:r>
      <w:r>
        <w:t xml:space="preserve"> </w:t>
      </w:r>
      <w:r>
        <w:t xml:space="preserve">of</w:t>
      </w:r>
      <w:r>
        <w:t xml:space="preserve"> </w:t>
      </w:r>
      <w:r>
        <w:t xml:space="preserve">Hawai‘i,</w:t>
      </w:r>
      <w:r>
        <w:t xml:space="preserve"> </w:t>
      </w:r>
      <w:r>
        <w:t xml:space="preserve">Joshua</w:t>
      </w:r>
      <w:r>
        <w:t xml:space="preserve"> </w:t>
      </w:r>
      <w:r>
        <w:t xml:space="preserve">Booth</w:t>
      </w:r>
      <w:r>
        <w:t xml:space="preserve"> </w:t>
      </w:r>
      <w:r>
        <w:t xml:space="preserve">Green,</w:t>
      </w:r>
      <w:r>
        <w:t xml:space="preserve"> </w:t>
      </w:r>
      <w:r>
        <w:t xml:space="preserve">and</w:t>
      </w:r>
      <w:r>
        <w:t xml:space="preserve"> </w:t>
      </w:r>
      <w:r>
        <w:t xml:space="preserve">Anne</w:t>
      </w:r>
      <w:r>
        <w:t xml:space="preserve"> </w:t>
      </w:r>
      <w:r>
        <w:t xml:space="preserve">E.</w:t>
      </w:r>
      <w:r>
        <w:t xml:space="preserve"> </w:t>
      </w:r>
      <w:r>
        <w:t xml:space="preserve">Lopez</w:t>
      </w:r>
      <w:r>
        <w:t xml:space="preserve"> </w:t>
      </w:r>
      <w:r>
        <w:t xml:space="preserve">move</w:t>
      </w:r>
      <w:r>
        <w:t xml:space="preserve"> </w:t>
      </w:r>
      <w:r>
        <w:t xml:space="preserve">for</w:t>
      </w:r>
      <w:r>
        <w:t xml:space="preserve"> </w:t>
      </w:r>
      <w:r>
        <w:t xml:space="preserve">judgment</w:t>
      </w:r>
      <w:r>
        <w:t xml:space="preserve"> </w:t>
      </w:r>
      <w:r>
        <w:t xml:space="preserve">on</w:t>
      </w:r>
      <w:r>
        <w:t xml:space="preserve"> </w:t>
      </w:r>
      <w:r>
        <w:t xml:space="preserve">the</w:t>
      </w:r>
      <w:r>
        <w:t xml:space="preserve"> </w:t>
      </w:r>
      <w:r>
        <w:t xml:space="preserve">pleadings</w:t>
      </w:r>
      <w:r>
        <w:t xml:space="preserve"> </w:t>
      </w:r>
      <w:r>
        <w:t xml:space="preserve">pursuant</w:t>
      </w:r>
      <w:r>
        <w:t xml:space="preserve"> </w:t>
      </w:r>
      <w:r>
        <w:t xml:space="preserve">to</w:t>
      </w:r>
      <w:r>
        <w:t xml:space="preserve"> </w:t>
      </w:r>
      <w:r>
        <w:t xml:space="preserve">FRCP</w:t>
      </w:r>
      <w:r>
        <w:t xml:space="preserve"> </w:t>
      </w:r>
      <w:r>
        <w:t xml:space="preserve">Rule</w:t>
      </w:r>
      <w:r>
        <w:t xml:space="preserve"> </w:t>
      </w:r>
      <w:r>
        <w:t xml:space="preserve">12(c).</w:t>
      </w:r>
    </w:p>
    <w:p>
      <w:pPr>
        <w:spacing w:before="0" w:after="0" w:line="644" w:lineRule="exact"/>
        <w:ind w:left="0" w:firstLine="720"/>
        <w:jc w:val="left"/>
      </w:pPr>
      <w:r>
        <w:t xml:space="preserve">This</w:t>
      </w:r>
      <w:r>
        <w:t xml:space="preserve"> </w:t>
      </w:r>
      <w:r>
        <w:t xml:space="preserve">motion</w:t>
      </w:r>
      <w:r>
        <w:t xml:space="preserve"> </w:t>
      </w:r>
      <w:r>
        <w:t xml:space="preserve">is</w:t>
      </w:r>
      <w:r>
        <w:t xml:space="preserve"> </w:t>
      </w:r>
      <w:r>
        <w:t xml:space="preserve">made</w:t>
      </w:r>
      <w:r>
        <w:t xml:space="preserve"> </w:t>
      </w:r>
      <w:r>
        <w:t xml:space="preserve">following</w:t>
      </w:r>
      <w:r>
        <w:t xml:space="preserve"> </w:t>
      </w:r>
      <w:r>
        <w:t xml:space="preserve">the</w:t>
      </w:r>
      <w:r>
        <w:t xml:space="preserve"> </w:t>
      </w:r>
      <w:r>
        <w:t xml:space="preserve">conference</w:t>
      </w:r>
      <w:r>
        <w:t xml:space="preserve"> </w:t>
      </w:r>
      <w:r>
        <w:t xml:space="preserve">of</w:t>
      </w:r>
      <w:r>
        <w:t xml:space="preserve"> </w:t>
      </w:r>
      <w:r>
        <w:t xml:space="preserve">counsel</w:t>
      </w:r>
      <w:r>
        <w:t xml:space="preserve"> </w:t>
      </w:r>
      <w:r>
        <w:t xml:space="preserve">pursuant</w:t>
      </w:r>
      <w:r>
        <w:t xml:space="preserve"> </w:t>
      </w:r>
      <w:r>
        <w:t xml:space="preserve">to</w:t>
      </w:r>
      <w:r>
        <w:t xml:space="preserve"> </w:t>
      </w:r>
      <w:r>
        <w:t xml:space="preserve">LR7.8,</w:t>
      </w:r>
      <w:r>
        <w:t xml:space="preserve"> </w:t>
      </w:r>
      <w:r>
        <w:t xml:space="preserve">which</w:t>
      </w:r>
      <w:r>
        <w:t xml:space="preserve"> </w:t>
      </w:r>
      <w:r>
        <w:t xml:space="preserve">took</w:t>
      </w:r>
      <w:r>
        <w:t xml:space="preserve"> </w:t>
      </w:r>
      <w:r>
        <w:t xml:space="preserve">place</w:t>
      </w:r>
      <w:r>
        <w:t xml:space="preserve"> </w:t>
      </w:r>
      <w:r>
        <w:t xml:space="preserve">on</w:t>
      </w:r>
      <w:r>
        <w:t xml:space="preserve"> </w:t>
      </w:r>
      <w:r>
        <w:t xml:space="preserve">July</w:t>
      </w:r>
      <w:r>
        <w:t xml:space="preserve"> </w:t>
      </w:r>
      <w:r>
        <w:t xml:space="preserve">15,</w:t>
      </w:r>
      <w:r>
        <w:t xml:space="preserve"> </w:t>
      </w:r>
      <w:r>
        <w:t xml:space="preserve">2025.</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Honolulu,</w:t>
            </w:r>
            <w:r>
              <w:t xml:space="preserve"> </w:t>
            </w:r>
            <w:r>
              <w:t xml:space="preserve">Hawai‘i,</w:t>
            </w:r>
            <w:r>
              <w:t xml:space="preserve"> </w:t>
            </w:r>
            <w:r>
              <w:t xml:space="preserve">July</w:t>
            </w:r>
            <w:r>
              <w:t xml:space="preserve"> </w:t>
            </w:r>
            <w:r>
              <w:t xml:space="preserve">25,</w:t>
            </w:r>
            <w:r>
              <w:t xml:space="preserve"> </w:t>
            </w:r>
            <w:r>
              <w:t xml:space="preserve">2025.</w:t>
            </w:r>
          </w:p>
          <w:p>
            <w:pPr>
              <w:spacing w:before="322" w:after="0" w:line="322" w:lineRule="exact"/>
              <w:ind w:left="4320" w:firstLine="0"/>
              <w:jc w:val="left"/>
            </w:pPr>
            <w:r>
              <w:t xml:space="preserve">/s/</w:t>
            </w:r>
            <w:r>
              <w:t xml:space="preserve"> </w:t>
            </w:r>
            <w:r>
              <w:t xml:space="preserve">Kalikoʻonālani</w:t>
            </w:r>
            <w:r>
              <w:t xml:space="preserve"> </w:t>
            </w:r>
            <w:r>
              <w:t xml:space="preserve">D.</w:t>
            </w:r>
            <w:r>
              <w:t xml:space="preserve"> </w:t>
            </w:r>
            <w:r>
              <w:t xml:space="preserve">Fernandes</w:t>
            </w:r>
          </w:p>
          <w:p>
            <w:pPr>
              <w:spacing w:before="0" w:after="0" w:line="322" w:lineRule="exact"/>
              <w:ind w:left="4320" w:firstLine="0"/>
              <w:jc w:val="left"/>
            </w:pPr>
            <w:r>
              <w:t xml:space="preserve">KALIKOʻONĀLANI</w:t>
            </w:r>
            <w:r>
              <w:t xml:space="preserve"> </w:t>
            </w:r>
            <w:r>
              <w:t xml:space="preserve">D.</w:t>
            </w:r>
            <w:r>
              <w:t xml:space="preserve"> </w:t>
            </w:r>
            <w:r>
              <w:t xml:space="preserve">FERNANDES</w:t>
            </w:r>
          </w:p>
          <w:p>
            <w:pPr>
              <w:spacing w:before="0" w:after="0" w:line="322" w:lineRule="exact"/>
              <w:ind w:left="4320" w:firstLine="0"/>
              <w:jc w:val="left"/>
            </w:pPr>
            <w:r>
              <w:t xml:space="preserve">LAUREN</w:t>
            </w:r>
            <w:r>
              <w:t xml:space="preserve"> </w:t>
            </w:r>
            <w:r>
              <w:t xml:space="preserve">K.</w:t>
            </w:r>
            <w:r>
              <w:t xml:space="preserve"> </w:t>
            </w:r>
            <w:r>
              <w:t xml:space="preserve">CHUN</w:t>
            </w:r>
          </w:p>
          <w:p>
            <w:pPr>
              <w:spacing w:before="0" w:after="0" w:line="322" w:lineRule="exact"/>
              <w:ind w:left="4320" w:firstLine="0"/>
              <w:jc w:val="left"/>
            </w:pPr>
            <w:r>
              <w:t xml:space="preserve">THOMAS</w:t>
            </w:r>
            <w:r>
              <w:t xml:space="preserve"> </w:t>
            </w:r>
            <w:r>
              <w:t xml:space="preserve">J.</w:t>
            </w:r>
            <w:r>
              <w:t xml:space="preserve"> </w:t>
            </w:r>
            <w:r>
              <w:t xml:space="preserve">HUGHES</w:t>
            </w:r>
          </w:p>
          <w:p>
            <w:pPr>
              <w:spacing w:before="0" w:after="0" w:line="322" w:lineRule="exact"/>
              <w:ind w:left="4320" w:firstLine="0"/>
              <w:jc w:val="left"/>
            </w:pPr>
            <w:r>
              <w:t xml:space="preserve">CAITLYN</w:t>
            </w:r>
            <w:r>
              <w:t xml:space="preserve"> </w:t>
            </w:r>
            <w:r>
              <w:t xml:space="preserve">B.</w:t>
            </w:r>
            <w:r>
              <w:t xml:space="preserve"> </w:t>
            </w:r>
            <w:r>
              <w:t xml:space="preserve">CARPENTER</w:t>
            </w:r>
          </w:p>
          <w:p>
            <w:pPr>
              <w:spacing w:before="0" w:after="0" w:line="322" w:lineRule="exact"/>
              <w:ind w:left="4320" w:firstLine="0"/>
              <w:jc w:val="left"/>
            </w:pPr>
          </w:p>
          <w:p>
            <w:pPr>
              <w:spacing w:before="0" w:after="0" w:line="322" w:lineRule="exact"/>
              <w:ind w:left="4320" w:firstLine="0"/>
              <w:jc w:val="left"/>
            </w:pPr>
            <w:r>
              <w:t xml:space="preserve">Attorneys</w:t>
            </w:r>
            <w:r>
              <w:t xml:space="preserve"> </w:t>
            </w:r>
            <w:r>
              <w:t xml:space="preserve">for</w:t>
            </w:r>
            <w:r>
              <w:t xml:space="preserve"> </w:t>
            </w:r>
            <w:r>
              <w:t xml:space="preserve">Defendants</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22"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720" w:right="720" w:hanging="720"/>
      </w:pPr>
      <w:r>
        <w:t xml:space="preserve">I.</w:t>
      </w:r>
      <w:r>
        <w:tab/>
      </w:r>
      <w:r>
        <w:t xml:space="preserve">BACKGROUND</w:t>
      </w:r>
      <w:r>
        <w:t xml:space="preserve">   </w:t>
      </w:r>
      <w:r>
        <w:tab/>
      </w:r>
      <w:r>
        <w:t xml:space="preserve">1</w:t>
      </w:r>
    </w:p>
    <w:p>
      <w:pPr>
        <w:keepLines/>
        <w:tabs>
          <w:tab w:val="right" w:leader="dot" w:pos="9360"/>
        </w:tabs>
        <w:spacing w:before="160" w:after="0" w:line="322" w:lineRule="exact"/>
        <w:ind w:left="720" w:right="720" w:hanging="720"/>
      </w:pPr>
      <w:r>
        <w:t xml:space="preserve">II.</w:t>
      </w:r>
      <w:r>
        <w:tab/>
      </w:r>
      <w:r>
        <w:t xml:space="preserve">LEGAL</w:t>
      </w:r>
      <w:r>
        <w:t xml:space="preserve"> </w:t>
      </w:r>
      <w:r>
        <w:t xml:space="preserve">STANDARD</w:t>
      </w:r>
      <w:r>
        <w:t xml:space="preserve">   </w:t>
      </w:r>
      <w:r>
        <w:tab/>
      </w:r>
      <w:r>
        <w:t xml:space="preserve">4</w:t>
      </w:r>
    </w:p>
    <w:p>
      <w:pPr>
        <w:keepLines/>
        <w:tabs>
          <w:tab w:val="right" w:leader="dot" w:pos="9360"/>
        </w:tabs>
        <w:spacing w:before="160" w:after="0" w:line="322" w:lineRule="exact"/>
        <w:ind w:left="720" w:right="720" w:hanging="720"/>
      </w:pPr>
      <w:r>
        <w:t xml:space="preserve">III.</w:t>
      </w:r>
      <w:r>
        <w:tab/>
      </w:r>
      <w:r>
        <w:t xml:space="preserve">ARGUMENT</w:t>
      </w:r>
      <w:r>
        <w:t xml:space="preserve">   </w:t>
      </w:r>
      <w:r>
        <w:tab/>
      </w:r>
      <w:r>
        <w:t xml:space="preserve">4</w:t>
      </w:r>
    </w:p>
    <w:p>
      <w:pPr>
        <w:keepLines/>
        <w:tabs>
          <w:tab w:val="right" w:leader="dot" w:pos="9360"/>
        </w:tabs>
        <w:spacing w:before="160" w:after="0" w:line="322" w:lineRule="exact"/>
        <w:ind w:left="1440" w:right="720" w:hanging="720"/>
      </w:pPr>
      <w:r>
        <w:t xml:space="preserve">A.</w:t>
      </w:r>
      <w:r>
        <w:tab/>
      </w:r>
      <w:r>
        <w:t xml:space="preserve">The</w:t>
      </w:r>
      <w:r>
        <w:t xml:space="preserve"> </w:t>
      </w:r>
      <w:r>
        <w:t xml:space="preserve">United</w:t>
      </w:r>
      <w:r>
        <w:t xml:space="preserve"> </w:t>
      </w:r>
      <w:r>
        <w:t xml:space="preserve">States</w:t>
      </w:r>
      <w:r>
        <w:t xml:space="preserve"> </w:t>
      </w:r>
      <w:r>
        <w:t xml:space="preserve">lacks</w:t>
      </w:r>
      <w:r>
        <w:t xml:space="preserve"> </w:t>
      </w:r>
      <w:r>
        <w:t xml:space="preserve">standing.</w:t>
      </w:r>
      <w:r>
        <w:t xml:space="preserve">   </w:t>
      </w:r>
      <w:r>
        <w:tab/>
      </w:r>
      <w:r>
        <w:t xml:space="preserve">4</w:t>
      </w:r>
    </w:p>
    <w:p>
      <w:pPr>
        <w:keepLines/>
        <w:tabs>
          <w:tab w:val="right" w:leader="dot" w:pos="9360"/>
        </w:tabs>
        <w:spacing w:before="160" w:after="0" w:line="322" w:lineRule="exact"/>
        <w:ind w:left="720" w:right="720" w:hanging="720"/>
      </w:pPr>
      <w:r>
        <w:t xml:space="preserve">IV.</w:t>
      </w:r>
      <w:r>
        <w:tab/>
      </w:r>
      <w:r>
        <w:t xml:space="preserve">CONCLUSION</w:t>
      </w:r>
      <w:r>
        <w:t xml:space="preserve">   </w:t>
      </w:r>
      <w:r>
        <w:tab/>
      </w:r>
      <w:r>
        <w:t xml:space="preserve">9</w:t>
      </w:r>
    </w:p>
    <w:p>
      <w:pPr>
        <w:pageBreakBefore/>
        <w:spacing w:before="0" w:after="0" w:line="1" w:lineRule="exact"/>
      </w:pPr>
    </w:p>
    <w:p>
      <w:pPr>
        <w:keepNext/>
        <w:keepLines/>
        <w:spacing w:before="0" w:after="322"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322" w:after="0"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160" w:after="0" w:line="322" w:lineRule="exact"/>
        <w:ind w:left="504" w:right="1440" w:hanging="504"/>
      </w:pPr>
      <w:r>
        <w:rPr>
          <w:i/>
          <w:iCs/>
        </w:rPr>
        <w:t xml:space="preserve">Bates</w:t>
      </w:r>
      <w:r>
        <w:rPr>
          <w:i/>
          <w:iCs/>
        </w:rPr>
        <w:t xml:space="preserve"> </w:t>
      </w:r>
      <w:r>
        <w:rPr>
          <w:i/>
          <w:iCs/>
        </w:rPr>
        <w:t xml:space="preserve">v.</w:t>
      </w:r>
      <w:r>
        <w:rPr>
          <w:i/>
          <w:iCs/>
        </w:rPr>
        <w:t xml:space="preserve"> </w:t>
      </w:r>
      <w:r>
        <w:rPr>
          <w:i/>
          <w:iCs/>
        </w:rPr>
        <w:t xml:space="preserve">Dow</w:t>
      </w:r>
      <w:r>
        <w:rPr>
          <w:i/>
          <w:iCs/>
        </w:rPr>
        <w:t xml:space="preserve"> </w:t>
      </w:r>
      <w:r>
        <w:rPr>
          <w:i/>
          <w:iCs/>
        </w:rPr>
        <w:t xml:space="preserve">Agrosciences</w:t>
      </w:r>
      <w:r>
        <w:rPr>
          <w:i/>
          <w:iCs/>
        </w:rPr>
        <w:t xml:space="preserve"> </w:t>
      </w:r>
      <w:r>
        <w:rPr>
          <w:i/>
          <w:iCs/>
        </w:rPr>
        <w:t xml:space="preserve">LLC</w:t>
      </w:r>
      <w:r>
        <w:t xml:space="preserve">,</w:t>
      </w:r>
      <w:r>
        <w:t xml:space="preserve"> </w:t>
      </w:r>
      <w:r>
        <w:t xml:space="preserve">544</w:t>
      </w:r>
      <w:r>
        <w:t xml:space="preserve"> </w:t>
      </w:r>
      <w:r>
        <w:t xml:space="preserve">U.S.</w:t>
      </w:r>
      <w:r>
        <w:t xml:space="preserve"> </w:t>
      </w:r>
      <w:r>
        <w:t xml:space="preserve">431</w:t>
      </w:r>
      <w:r>
        <w:t xml:space="preserve"> </w:t>
      </w:r>
      <w:r>
        <w:t xml:space="preserve">(2005)</w:t>
      </w:r>
      <w:r>
        <w:t xml:space="preserve">   </w:t>
      </w:r>
      <w:r>
        <w:tab/>
      </w:r>
      <w:r>
        <w:t xml:space="preserve">7</w:t>
      </w:r>
    </w:p>
    <w:p>
      <w:pPr>
        <w:keepLines/>
        <w:tabs>
          <w:tab w:val="right" w:leader="dot" w:pos="9360"/>
        </w:tabs>
        <w:spacing w:before="160" w:after="0" w:line="322" w:lineRule="exact"/>
        <w:ind w:left="504" w:right="1440" w:hanging="504"/>
      </w:pPr>
      <w:r>
        <w:rPr>
          <w:i/>
          <w:iCs/>
        </w:rPr>
        <w:t xml:space="preserve">Bd.</w:t>
      </w:r>
      <w:r>
        <w:rPr>
          <w:i/>
          <w:iCs/>
        </w:rPr>
        <w:t xml:space="preserve"> </w:t>
      </w:r>
      <w:r>
        <w:rPr>
          <w:i/>
          <w:iCs/>
        </w:rPr>
        <w:t xml:space="preserve">of</w:t>
      </w:r>
      <w:r>
        <w:rPr>
          <w:i/>
          <w:iCs/>
        </w:rPr>
        <w:t xml:space="preserve"> </w:t>
      </w:r>
      <w:r>
        <w:rPr>
          <w:i/>
          <w:iCs/>
        </w:rPr>
        <w:t xml:space="preserve">Cty.</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Boulder</w:t>
      </w:r>
      <w:r>
        <w:rPr>
          <w:i/>
          <w:iCs/>
        </w:rPr>
        <w:t xml:space="preserve"> </w:t>
      </w:r>
      <w:r>
        <w:rPr>
          <w:i/>
          <w:iCs/>
        </w:rPr>
        <w:t xml:space="preserve">Cty.</w:t>
      </w:r>
      <w:r>
        <w:rPr>
          <w:i/>
          <w:iCs/>
        </w:rPr>
        <w:t xml:space="preserve"> </w:t>
      </w:r>
      <w:r>
        <w:rPr>
          <w:i/>
          <w:iCs/>
        </w:rPr>
        <w:t xml:space="preserve">v.</w:t>
      </w:r>
      <w:r>
        <w:rPr>
          <w:i/>
          <w:iCs/>
        </w:rPr>
        <w:t xml:space="preserve"> </w:t>
      </w:r>
      <w:r>
        <w:rPr>
          <w:i/>
          <w:iCs/>
        </w:rPr>
        <w:t xml:space="preserve">Suncor</w:t>
      </w:r>
      <w:r>
        <w:rPr>
          <w:i/>
          <w:iCs/>
        </w:rPr>
        <w:t xml:space="preserve"> </w:t>
      </w:r>
      <w:r>
        <w:rPr>
          <w:i/>
          <w:iCs/>
        </w:rPr>
        <w:t xml:space="preserve">Energy</w:t>
      </w:r>
      <w:r>
        <w:rPr>
          <w:i/>
          <w:iCs/>
        </w:rPr>
        <w:t xml:space="preserve"> </w:t>
      </w:r>
      <w:r>
        <w:rPr>
          <w:i/>
          <w:iCs/>
        </w:rPr>
        <w:t xml:space="preserve">(U.S.A.)</w:t>
      </w:r>
      <w:r>
        <w:rPr>
          <w:i/>
          <w:iCs/>
        </w:rPr>
        <w:t xml:space="preserve"> </w:t>
      </w:r>
      <w:r>
        <w:rPr>
          <w:i/>
          <w:iCs/>
        </w:rPr>
        <w:t xml:space="preserve">Inc.</w:t>
      </w:r>
      <w:r>
        <w:t xml:space="preserve">,</w:t>
      </w:r>
      <w:r>
        <w:t xml:space="preserve"> </w:t>
      </w:r>
      <w:r>
        <w:t xml:space="preserve">25</w:t>
      </w:r>
      <w:r>
        <w:t xml:space="preserve"> </w:t>
      </w:r>
      <w:r>
        <w:t xml:space="preserve">F.4th</w:t>
      </w:r>
      <w:r>
        <w:t xml:space="preserve"> </w:t>
      </w:r>
      <w:r>
        <w:t xml:space="preserve">1238</w:t>
      </w:r>
      <w:r>
        <w:t xml:space="preserve"> </w:t>
      </w:r>
      <w:r>
        <w:t xml:space="preserve">(10th</w:t>
      </w:r>
      <w:r>
        <w:t xml:space="preserve"> </w:t>
      </w:r>
      <w:r>
        <w:t xml:space="preserve">Cir.</w:t>
      </w:r>
      <w:r>
        <w:t xml:space="preserve"> </w:t>
      </w:r>
      <w:r>
        <w:t xml:space="preserve">2022)</w:t>
      </w:r>
      <w:r>
        <w:t xml:space="preserve">   </w:t>
      </w:r>
      <w:r>
        <w:tab/>
      </w:r>
      <w:r>
        <w:t xml:space="preserve">9</w:t>
      </w:r>
    </w:p>
    <w:p>
      <w:pPr>
        <w:keepLines/>
        <w:tabs>
          <w:tab w:val="right" w:leader="dot" w:pos="9360"/>
        </w:tabs>
        <w:spacing w:before="160" w:after="0" w:line="322" w:lineRule="exact"/>
        <w:ind w:left="504" w:right="1440" w:hanging="504"/>
      </w:pPr>
      <w:r>
        <w:rPr>
          <w:i/>
          <w:iCs/>
        </w:rPr>
        <w:t xml:space="preserve">City</w:t>
      </w:r>
      <w:r>
        <w:rPr>
          <w:i/>
          <w:iCs/>
        </w:rPr>
        <w:t xml:space="preserve"> </w:t>
      </w:r>
      <w:r>
        <w:rPr>
          <w:i/>
          <w:iCs/>
        </w:rPr>
        <w:t xml:space="preserve">&amp;</w:t>
      </w:r>
      <w:r>
        <w:rPr>
          <w:i/>
          <w:iCs/>
        </w:rPr>
        <w:t xml:space="preserve"> </w:t>
      </w:r>
      <w:r>
        <w:rPr>
          <w:i/>
          <w:iCs/>
        </w:rPr>
        <w:t xml:space="preserve">Cty.</w:t>
      </w:r>
      <w:r>
        <w:rPr>
          <w:i/>
          <w:iCs/>
        </w:rPr>
        <w:t xml:space="preserve"> </w:t>
      </w:r>
      <w:r>
        <w:rPr>
          <w:i/>
          <w:iCs/>
        </w:rPr>
        <w:t xml:space="preserve">of</w:t>
      </w:r>
      <w:r>
        <w:rPr>
          <w:i/>
          <w:iCs/>
        </w:rPr>
        <w:t xml:space="preserve"> </w:t>
      </w:r>
      <w:r>
        <w:rPr>
          <w:i/>
          <w:iCs/>
        </w:rPr>
        <w:t xml:space="preserve">Honolulu</w:t>
      </w:r>
      <w:r>
        <w:rPr>
          <w:i/>
          <w:iCs/>
        </w:rPr>
        <w:t xml:space="preserve"> </w:t>
      </w:r>
      <w:r>
        <w:rPr>
          <w:i/>
          <w:iCs/>
        </w:rPr>
        <w:t xml:space="preserve">v.</w:t>
      </w:r>
      <w:r>
        <w:rPr>
          <w:i/>
          <w:iCs/>
        </w:rPr>
        <w:t xml:space="preserve"> </w:t>
      </w:r>
      <w:r>
        <w:rPr>
          <w:i/>
          <w:iCs/>
        </w:rPr>
        <w:t xml:space="preserve">Sunoco</w:t>
      </w:r>
      <w:r>
        <w:rPr>
          <w:i/>
          <w:iCs/>
        </w:rPr>
        <w:t xml:space="preserve"> </w:t>
      </w:r>
      <w:r>
        <w:rPr>
          <w:i/>
          <w:iCs/>
        </w:rPr>
        <w:t xml:space="preserve">LP</w:t>
      </w:r>
      <w:r>
        <w:t xml:space="preserve">,</w:t>
      </w:r>
      <w:r>
        <w:t xml:space="preserve"> </w:t>
      </w:r>
      <w:r>
        <w:t xml:space="preserve">537</w:t>
      </w:r>
      <w:r>
        <w:t xml:space="preserve"> </w:t>
      </w:r>
      <w:r>
        <w:t xml:space="preserve">P.3d</w:t>
      </w:r>
      <w:r>
        <w:t xml:space="preserve"> </w:t>
      </w:r>
      <w:r>
        <w:t xml:space="preserve">1173</w:t>
      </w:r>
      <w:r>
        <w:t xml:space="preserve"> </w:t>
      </w:r>
      <w:r>
        <w:t xml:space="preserve">(Haw.</w:t>
      </w:r>
      <w:r>
        <w:t xml:space="preserve"> </w:t>
      </w:r>
      <w:r>
        <w:t xml:space="preserve">2023)</w:t>
      </w:r>
      <w:r>
        <w:t xml:space="preserve">   </w:t>
      </w:r>
      <w:r>
        <w:tab/>
      </w:r>
      <w:r>
        <w:t xml:space="preserve">3</w:t>
      </w:r>
    </w:p>
    <w:p>
      <w:pPr>
        <w:keepLines/>
        <w:tabs>
          <w:tab w:val="right" w:leader="dot" w:pos="9360"/>
        </w:tabs>
        <w:spacing w:before="160" w:after="0" w:line="322" w:lineRule="exact"/>
        <w:ind w:left="504" w:right="1440" w:hanging="504"/>
      </w:pPr>
      <w:r>
        <w:rPr>
          <w:i/>
          <w:iCs/>
        </w:rPr>
        <w:t xml:space="preserve">Friends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Earth,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Laidlaw</w:t>
      </w:r>
      <w:r>
        <w:rPr>
          <w:i/>
          <w:iCs/>
        </w:rPr>
        <w:t xml:space="preserve"> </w:t>
      </w:r>
      <w:r>
        <w:rPr>
          <w:i/>
          <w:iCs/>
        </w:rPr>
        <w:t xml:space="preserve">Envtl.</w:t>
      </w:r>
      <w:r>
        <w:rPr>
          <w:i/>
          <w:iCs/>
        </w:rPr>
        <w:t xml:space="preserve"> </w:t>
      </w:r>
      <w:r>
        <w:rPr>
          <w:i/>
          <w:iCs/>
        </w:rPr>
        <w:t xml:space="preserve">Servs.</w:t>
      </w:r>
      <w:r>
        <w:rPr>
          <w:i/>
          <w:iCs/>
        </w:rPr>
        <w:t xml:space="preserve"> </w:t>
      </w:r>
      <w:r>
        <w:rPr>
          <w:i/>
          <w:iCs/>
        </w:rPr>
        <w:t xml:space="preserve">(TOC),</w:t>
      </w:r>
      <w:r>
        <w:rPr>
          <w:i/>
          <w:iCs/>
        </w:rPr>
        <w:t xml:space="preserve"> </w:t>
      </w:r>
      <w:r>
        <w:rPr>
          <w:i/>
          <w:iCs/>
        </w:rPr>
        <w:t xml:space="preserve">Inc.</w:t>
      </w:r>
      <w:r>
        <w:t xml:space="preserve">,</w:t>
      </w:r>
      <w:r>
        <w:t xml:space="preserve"> </w:t>
      </w:r>
      <w:r>
        <w:t xml:space="preserve">528</w:t>
      </w:r>
      <w:r>
        <w:t xml:space="preserve"> </w:t>
      </w:r>
      <w:r>
        <w:t xml:space="preserve">U.S.</w:t>
      </w:r>
      <w:r>
        <w:t xml:space="preserve"> </w:t>
      </w:r>
      <w:r>
        <w:t xml:space="preserve">167</w:t>
      </w:r>
      <w:r>
        <w:t xml:space="preserve"> </w:t>
      </w:r>
      <w:r>
        <w:t xml:space="preserve">(2000)</w:t>
      </w:r>
      <w:r>
        <w:t xml:space="preserve">   </w:t>
      </w:r>
      <w:r>
        <w:tab/>
      </w:r>
      <w:r>
        <w:t xml:space="preserve">4</w:t>
      </w:r>
    </w:p>
    <w:p>
      <w:pPr>
        <w:keepLines/>
        <w:tabs>
          <w:tab w:val="right" w:leader="dot" w:pos="9360"/>
        </w:tabs>
        <w:spacing w:before="160" w:after="0" w:line="322" w:lineRule="exact"/>
        <w:ind w:left="504" w:right="1440" w:hanging="504"/>
      </w:pPr>
      <w:r>
        <w:rPr>
          <w:i/>
          <w:iCs/>
        </w:rPr>
        <w:t xml:space="preserve">Gregg</w:t>
      </w:r>
      <w:r>
        <w:rPr>
          <w:i/>
          <w:iCs/>
        </w:rPr>
        <w:t xml:space="preserve"> </w:t>
      </w:r>
      <w:r>
        <w:rPr>
          <w:i/>
          <w:iCs/>
        </w:rPr>
        <w:t xml:space="preserve">v.</w:t>
      </w:r>
      <w:r>
        <w:rPr>
          <w:i/>
          <w:iCs/>
        </w:rPr>
        <w:t xml:space="preserve"> </w:t>
      </w:r>
      <w:r>
        <w:rPr>
          <w:i/>
          <w:iCs/>
        </w:rPr>
        <w:t xml:space="preserve">Haw.</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Safety</w:t>
      </w:r>
      <w:r>
        <w:t xml:space="preserve">,</w:t>
      </w:r>
      <w:r>
        <w:t xml:space="preserve"> </w:t>
      </w:r>
      <w:r>
        <w:t xml:space="preserve">870</w:t>
      </w:r>
      <w:r>
        <w:t xml:space="preserve"> </w:t>
      </w:r>
      <w:r>
        <w:t xml:space="preserve">F.3d</w:t>
      </w:r>
      <w:r>
        <w:t xml:space="preserve"> </w:t>
      </w:r>
      <w:r>
        <w:t xml:space="preserve">883</w:t>
      </w:r>
      <w:r>
        <w:t xml:space="preserve"> </w:t>
      </w:r>
      <w:r>
        <w:t xml:space="preserve">(9th</w:t>
      </w:r>
      <w:r>
        <w:t xml:space="preserve"> </w:t>
      </w:r>
      <w:r>
        <w:t xml:space="preserve">Cir.</w:t>
      </w:r>
      <w:r>
        <w:t xml:space="preserve"> </w:t>
      </w:r>
      <w:r>
        <w:t xml:space="preserve">2017)</w:t>
      </w:r>
      <w:r>
        <w:t xml:space="preserve">   </w:t>
      </w:r>
      <w:r>
        <w:tab/>
      </w:r>
      <w:r>
        <w:t xml:space="preserve">4</w:t>
      </w:r>
    </w:p>
    <w:p>
      <w:pPr>
        <w:keepLines/>
        <w:tabs>
          <w:tab w:val="right" w:leader="dot" w:pos="9360"/>
        </w:tabs>
        <w:spacing w:before="160" w:after="0" w:line="322" w:lineRule="exact"/>
        <w:ind w:left="504" w:right="1440" w:hanging="504"/>
      </w:pPr>
      <w:r>
        <w:rPr>
          <w:i/>
          <w:iCs/>
        </w:rPr>
        <w:t xml:space="preserve">Lake</w:t>
      </w:r>
      <w:r>
        <w:rPr>
          <w:i/>
          <w:iCs/>
        </w:rPr>
        <w:t xml:space="preserve"> </w:t>
      </w:r>
      <w:r>
        <w:rPr>
          <w:i/>
          <w:iCs/>
        </w:rPr>
        <w:t xml:space="preserve">v.</w:t>
      </w:r>
      <w:r>
        <w:rPr>
          <w:i/>
          <w:iCs/>
        </w:rPr>
        <w:t xml:space="preserve"> </w:t>
      </w:r>
      <w:r>
        <w:rPr>
          <w:i/>
          <w:iCs/>
        </w:rPr>
        <w:t xml:space="preserve">Fontes</w:t>
      </w:r>
      <w:r>
        <w:t xml:space="preserve">,</w:t>
      </w:r>
      <w:r>
        <w:t xml:space="preserve"> </w:t>
      </w:r>
      <w:r>
        <w:t xml:space="preserve">83</w:t>
      </w:r>
      <w:r>
        <w:t xml:space="preserve"> </w:t>
      </w:r>
      <w:r>
        <w:t xml:space="preserve">F.4th</w:t>
      </w:r>
      <w:r>
        <w:t xml:space="preserve"> </w:t>
      </w:r>
      <w:r>
        <w:t xml:space="preserve">1199</w:t>
      </w:r>
      <w:r>
        <w:t xml:space="preserve"> </w:t>
      </w:r>
      <w:r>
        <w:t xml:space="preserve">(9th</w:t>
      </w:r>
      <w:r>
        <w:t xml:space="preserve"> </w:t>
      </w:r>
      <w:r>
        <w:t xml:space="preserve">Cir.</w:t>
      </w:r>
      <w:r>
        <w:t xml:space="preserve"> </w:t>
      </w:r>
      <w:r>
        <w:t xml:space="preserve">2023)</w:t>
      </w:r>
      <w:r>
        <w:t xml:space="preserve">   </w:t>
      </w:r>
      <w:r>
        <w:tab/>
      </w:r>
      <w:r>
        <w:t xml:space="preserve">5, 7, 8</w:t>
      </w:r>
    </w:p>
    <w:p>
      <w:pPr>
        <w:keepLines/>
        <w:tabs>
          <w:tab w:val="right" w:leader="dot" w:pos="9360"/>
        </w:tabs>
        <w:spacing w:before="160" w:after="0" w:line="322" w:lineRule="exact"/>
        <w:ind w:left="504" w:right="1440" w:hanging="504"/>
      </w:pPr>
      <w:r>
        <w:rPr>
          <w:i/>
          <w:iCs/>
        </w:rPr>
        <w:t xml:space="preserve">Lujan</w:t>
      </w:r>
      <w:r>
        <w:rPr>
          <w:i/>
          <w:iCs/>
        </w:rPr>
        <w:t xml:space="preserve"> </w:t>
      </w:r>
      <w:r>
        <w:rPr>
          <w:i/>
          <w:iCs/>
        </w:rPr>
        <w:t xml:space="preserve">v.</w:t>
      </w:r>
      <w:r>
        <w:rPr>
          <w:i/>
          <w:iCs/>
        </w:rPr>
        <w:t xml:space="preserve"> </w:t>
      </w:r>
      <w:r>
        <w:rPr>
          <w:i/>
          <w:iCs/>
        </w:rPr>
        <w:t xml:space="preserve">Defenders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504</w:t>
      </w:r>
      <w:r>
        <w:t xml:space="preserve"> </w:t>
      </w:r>
      <w:r>
        <w:t xml:space="preserve">U.S.</w:t>
      </w:r>
      <w:r>
        <w:t xml:space="preserve"> </w:t>
      </w:r>
      <w:r>
        <w:t xml:space="preserve">555</w:t>
      </w:r>
      <w:r>
        <w:t xml:space="preserve"> </w:t>
      </w:r>
      <w:r>
        <w:t xml:space="preserve">(1992)</w:t>
      </w:r>
      <w:r>
        <w:t xml:space="preserve">   </w:t>
      </w:r>
      <w:r>
        <w:tab/>
      </w:r>
      <w:r>
        <w:t xml:space="preserve">7</w:t>
      </w:r>
    </w:p>
    <w:p>
      <w:pPr>
        <w:keepLines/>
        <w:tabs>
          <w:tab w:val="right" w:leader="dot" w:pos="9360"/>
        </w:tabs>
        <w:spacing w:before="160" w:after="0" w:line="322" w:lineRule="exact"/>
        <w:ind w:left="504" w:right="1440" w:hanging="504"/>
      </w:pPr>
      <w:r>
        <w:rPr>
          <w:i/>
          <w:iCs/>
        </w:rPr>
        <w:t xml:space="preserve">Mayor</w:t>
      </w:r>
      <w:r>
        <w:rPr>
          <w:i/>
          <w:iCs/>
        </w:rPr>
        <w:t xml:space="preserve"> </w:t>
      </w:r>
      <w:r>
        <w:rPr>
          <w:i/>
          <w:iCs/>
        </w:rPr>
        <w:t xml:space="preserve">&amp;</w:t>
      </w:r>
      <w:r>
        <w:rPr>
          <w:i/>
          <w:iCs/>
        </w:rPr>
        <w:t xml:space="preserve"> </w:t>
      </w:r>
      <w:r>
        <w:rPr>
          <w:i/>
          <w:iCs/>
        </w:rPr>
        <w:t xml:space="preserve">City</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Baltimore</w:t>
      </w:r>
      <w:r>
        <w:rPr>
          <w:i/>
          <w:iCs/>
        </w:rPr>
        <w:t xml:space="preserve"> </w:t>
      </w:r>
      <w:r>
        <w:rPr>
          <w:i/>
          <w:iCs/>
        </w:rPr>
        <w:t xml:space="preserve">v.</w:t>
      </w:r>
      <w:r>
        <w:rPr>
          <w:i/>
          <w:iCs/>
        </w:rPr>
        <w:t xml:space="preserve"> </w:t>
      </w:r>
      <w:r>
        <w:rPr>
          <w:i/>
          <w:iCs/>
        </w:rPr>
        <w:t xml:space="preserve">BP</w:t>
      </w:r>
      <w:r>
        <w:rPr>
          <w:i/>
          <w:iCs/>
        </w:rPr>
        <w:t xml:space="preserve"> </w:t>
      </w:r>
      <w:r>
        <w:rPr>
          <w:i/>
          <w:iCs/>
        </w:rPr>
        <w:t xml:space="preserve">P.L.C.</w:t>
      </w:r>
      <w:r>
        <w:t xml:space="preserve">,</w:t>
      </w:r>
      <w:r>
        <w:t xml:space="preserve"> </w:t>
      </w:r>
      <w:r>
        <w:t xml:space="preserve">31</w:t>
      </w:r>
      <w:r>
        <w:t xml:space="preserve"> </w:t>
      </w:r>
      <w:r>
        <w:t xml:space="preserve">F.4th</w:t>
      </w:r>
      <w:r>
        <w:t xml:space="preserve"> </w:t>
      </w:r>
      <w:r>
        <w:t xml:space="preserve">178</w:t>
      </w:r>
      <w:r>
        <w:t xml:space="preserve"> </w:t>
      </w:r>
      <w:r>
        <w:t xml:space="preserve">(4th</w:t>
      </w:r>
      <w:r>
        <w:t xml:space="preserve"> </w:t>
      </w:r>
      <w:r>
        <w:t xml:space="preserve">Cir.</w:t>
      </w:r>
      <w:r>
        <w:t xml:space="preserve"> </w:t>
      </w:r>
      <w:r>
        <w:t xml:space="preserve">2022)</w:t>
      </w:r>
      <w:r>
        <w:t xml:space="preserve">   </w:t>
      </w:r>
      <w:r>
        <w:tab/>
      </w:r>
      <w:r>
        <w:t xml:space="preserve">9</w:t>
      </w:r>
    </w:p>
    <w:p>
      <w:pPr>
        <w:keepLines/>
        <w:tabs>
          <w:tab w:val="right" w:leader="dot" w:pos="9360"/>
        </w:tabs>
        <w:spacing w:before="160" w:after="0" w:line="322" w:lineRule="exact"/>
        <w:ind w:left="504" w:right="1440" w:hanging="504"/>
      </w:pPr>
      <w:r>
        <w:rPr>
          <w:i/>
          <w:iCs/>
        </w:rPr>
        <w:t xml:space="preserve">Pierce</w:t>
      </w:r>
      <w:r>
        <w:rPr>
          <w:i/>
          <w:iCs/>
        </w:rPr>
        <w:t xml:space="preserve"> </w:t>
      </w:r>
      <w:r>
        <w:rPr>
          <w:i/>
          <w:iCs/>
        </w:rPr>
        <w:t xml:space="preserve">v.</w:t>
      </w:r>
      <w:r>
        <w:rPr>
          <w:i/>
          <w:iCs/>
        </w:rPr>
        <w:t xml:space="preserve"> </w:t>
      </w:r>
      <w:r>
        <w:rPr>
          <w:i/>
          <w:iCs/>
        </w:rPr>
        <w:t xml:space="preserve">Ducey</w:t>
      </w:r>
      <w:r>
        <w:t xml:space="preserve">,</w:t>
      </w:r>
      <w:r>
        <w:t xml:space="preserve"> </w:t>
      </w:r>
      <w:r>
        <w:t xml:space="preserve">965</w:t>
      </w:r>
      <w:r>
        <w:t xml:space="preserve"> </w:t>
      </w:r>
      <w:r>
        <w:t xml:space="preserve">F.3d</w:t>
      </w:r>
      <w:r>
        <w:t xml:space="preserve"> </w:t>
      </w:r>
      <w:r>
        <w:t xml:space="preserve">1085</w:t>
      </w:r>
      <w:r>
        <w:t xml:space="preserve"> </w:t>
      </w:r>
      <w:r>
        <w:t xml:space="preserve">(9th</w:t>
      </w:r>
      <w:r>
        <w:t xml:space="preserve"> </w:t>
      </w:r>
      <w:r>
        <w:t xml:space="preserve">Cir.</w:t>
      </w:r>
      <w:r>
        <w:t xml:space="preserve"> </w:t>
      </w:r>
      <w:r>
        <w:t xml:space="preserve">2020)</w:t>
      </w:r>
      <w:r>
        <w:t xml:space="preserve">   </w:t>
      </w:r>
      <w:r>
        <w:tab/>
      </w:r>
      <w:r>
        <w:t xml:space="preserve">6</w:t>
      </w:r>
    </w:p>
    <w:p>
      <w:pPr>
        <w:keepLines/>
        <w:tabs>
          <w:tab w:val="right" w:leader="dot" w:pos="9360"/>
        </w:tabs>
        <w:spacing w:before="160" w:after="0" w:line="322" w:lineRule="exact"/>
        <w:ind w:left="504" w:right="1440" w:hanging="504"/>
      </w:pPr>
      <w:r>
        <w:rPr>
          <w:i/>
          <w:iCs/>
        </w:rPr>
        <w:t xml:space="preserve">Rhode</w:t>
      </w:r>
      <w:r>
        <w:rPr>
          <w:i/>
          <w:iCs/>
        </w:rPr>
        <w:t xml:space="preserve"> </w:t>
      </w:r>
      <w:r>
        <w:rPr>
          <w:i/>
          <w:iCs/>
        </w:rPr>
        <w:t xml:space="preserve">Island</w:t>
      </w:r>
      <w:r>
        <w:rPr>
          <w:i/>
          <w:iCs/>
        </w:rPr>
        <w:t xml:space="preserve"> </w:t>
      </w:r>
      <w:r>
        <w:rPr>
          <w:i/>
          <w:iCs/>
        </w:rPr>
        <w:t xml:space="preserve">v.</w:t>
      </w:r>
      <w:r>
        <w:rPr>
          <w:i/>
          <w:iCs/>
        </w:rPr>
        <w:t xml:space="preserve"> </w:t>
      </w:r>
      <w:r>
        <w:rPr>
          <w:i/>
          <w:iCs/>
        </w:rPr>
        <w:t xml:space="preserve">Shell</w:t>
      </w:r>
      <w:r>
        <w:rPr>
          <w:i/>
          <w:iCs/>
        </w:rPr>
        <w:t xml:space="preserve"> </w:t>
      </w:r>
      <w:r>
        <w:rPr>
          <w:i/>
          <w:iCs/>
        </w:rPr>
        <w:t xml:space="preserve">Oil</w:t>
      </w:r>
      <w:r>
        <w:rPr>
          <w:i/>
          <w:iCs/>
        </w:rPr>
        <w:t xml:space="preserve"> </w:t>
      </w:r>
      <w:r>
        <w:rPr>
          <w:i/>
          <w:iCs/>
        </w:rPr>
        <w:t xml:space="preserve">Products</w:t>
      </w:r>
      <w:r>
        <w:rPr>
          <w:i/>
          <w:iCs/>
        </w:rPr>
        <w:t xml:space="preserve"> </w:t>
      </w:r>
      <w:r>
        <w:rPr>
          <w:i/>
          <w:iCs/>
        </w:rPr>
        <w:t xml:space="preserve">Co.</w:t>
      </w:r>
      <w:r>
        <w:t xml:space="preserve">,</w:t>
      </w:r>
      <w:r>
        <w:t xml:space="preserve"> </w:t>
      </w:r>
      <w:r>
        <w:t xml:space="preserve">35</w:t>
      </w:r>
      <w:r>
        <w:t xml:space="preserve"> </w:t>
      </w:r>
      <w:r>
        <w:t xml:space="preserve">F.4th</w:t>
      </w:r>
      <w:r>
        <w:t xml:space="preserve"> </w:t>
      </w:r>
      <w:r>
        <w:t xml:space="preserve">44</w:t>
      </w:r>
      <w:r>
        <w:t xml:space="preserve"> </w:t>
      </w:r>
      <w:r>
        <w:t xml:space="preserve">(1st</w:t>
      </w:r>
      <w:r>
        <w:t xml:space="preserve"> </w:t>
      </w:r>
      <w:r>
        <w:t xml:space="preserve">Cir.</w:t>
      </w:r>
      <w:r>
        <w:t xml:space="preserve"> </w:t>
      </w:r>
      <w:r>
        <w:t xml:space="preserve">2022)</w:t>
      </w:r>
      <w:r>
        <w:t xml:space="preserve">   </w:t>
      </w:r>
      <w:r>
        <w:tab/>
      </w:r>
      <w:r>
        <w:t xml:space="preserve">9</w:t>
      </w:r>
    </w:p>
    <w:p>
      <w:pPr>
        <w:keepLines/>
        <w:tabs>
          <w:tab w:val="right" w:leader="dot" w:pos="9360"/>
        </w:tabs>
        <w:spacing w:before="160" w:after="0" w:line="322" w:lineRule="exact"/>
        <w:ind w:left="504" w:right="1440" w:hanging="504"/>
      </w:pPr>
      <w:r>
        <w:rPr>
          <w:i/>
          <w:iCs/>
        </w:rPr>
        <w:t xml:space="preserve">Susan</w:t>
      </w:r>
      <w:r>
        <w:rPr>
          <w:i/>
          <w:iCs/>
        </w:rPr>
        <w:t xml:space="preserve"> </w:t>
      </w:r>
      <w:r>
        <w:rPr>
          <w:i/>
          <w:iCs/>
        </w:rPr>
        <w:t xml:space="preserve">B.</w:t>
      </w:r>
      <w:r>
        <w:rPr>
          <w:i/>
          <w:iCs/>
        </w:rPr>
        <w:t xml:space="preserve"> </w:t>
      </w:r>
      <w:r>
        <w:rPr>
          <w:i/>
          <w:iCs/>
        </w:rPr>
        <w:t xml:space="preserve">Anthony</w:t>
      </w:r>
      <w:r>
        <w:rPr>
          <w:i/>
          <w:iCs/>
        </w:rPr>
        <w:t xml:space="preserve"> </w:t>
      </w:r>
      <w:r>
        <w:rPr>
          <w:i/>
          <w:iCs/>
        </w:rPr>
        <w:t xml:space="preserve">List</w:t>
      </w:r>
      <w:r>
        <w:rPr>
          <w:i/>
          <w:iCs/>
        </w:rPr>
        <w:t xml:space="preserve"> </w:t>
      </w:r>
      <w:r>
        <w:rPr>
          <w:i/>
          <w:iCs/>
        </w:rPr>
        <w:t xml:space="preserve">v.</w:t>
      </w:r>
      <w:r>
        <w:rPr>
          <w:i/>
          <w:iCs/>
        </w:rPr>
        <w:t xml:space="preserve"> </w:t>
      </w:r>
      <w:r>
        <w:rPr>
          <w:i/>
          <w:iCs/>
        </w:rPr>
        <w:t xml:space="preserve">Driehaus</w:t>
      </w:r>
      <w:r>
        <w:t xml:space="preserve">,</w:t>
      </w:r>
      <w:r>
        <w:t xml:space="preserve"> </w:t>
      </w:r>
      <w:r>
        <w:t xml:space="preserve">573</w:t>
      </w:r>
      <w:r>
        <w:t xml:space="preserve"> </w:t>
      </w:r>
      <w:r>
        <w:t xml:space="preserve">U.S.</w:t>
      </w:r>
      <w:r>
        <w:t xml:space="preserve"> </w:t>
      </w:r>
      <w:r>
        <w:t xml:space="preserve">149</w:t>
      </w:r>
      <w:r>
        <w:t xml:space="preserve"> </w:t>
      </w:r>
      <w:r>
        <w:t xml:space="preserve">(2014)</w:t>
      </w:r>
      <w:r>
        <w:t xml:space="preserve">   </w:t>
      </w:r>
      <w:r>
        <w:tab/>
      </w:r>
      <w:r>
        <w:t xml:space="preserve">7</w:t>
      </w:r>
    </w:p>
    <w:p>
      <w:pPr>
        <w:keepLines/>
        <w:tabs>
          <w:tab w:val="right" w:leader="dot" w:pos="9360"/>
        </w:tabs>
        <w:spacing w:before="160" w:after="0" w:line="322" w:lineRule="exact"/>
        <w:ind w:left="504" w:right="1440" w:hanging="504"/>
      </w:pPr>
      <w:r>
        <w:rPr>
          <w:i/>
          <w:iCs/>
        </w:rPr>
        <w:t xml:space="preserve">TransUnion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Ramirez</w:t>
      </w:r>
      <w:r>
        <w:t xml:space="preserve">,</w:t>
      </w:r>
      <w:r>
        <w:t xml:space="preserve"> </w:t>
      </w:r>
      <w:r>
        <w:t xml:space="preserve">594</w:t>
      </w:r>
      <w:r>
        <w:t xml:space="preserve"> </w:t>
      </w:r>
      <w:r>
        <w:t xml:space="preserve">U.S.</w:t>
      </w:r>
      <w:r>
        <w:t xml:space="preserve"> </w:t>
      </w:r>
      <w:r>
        <w:t xml:space="preserve">413</w:t>
      </w:r>
      <w:r>
        <w:t xml:space="preserve"> </w:t>
      </w:r>
      <w:r>
        <w:t xml:space="preserve">(2021)</w:t>
      </w:r>
      <w:r>
        <w:t xml:space="preserve">   </w:t>
      </w:r>
      <w:r>
        <w:tab/>
      </w:r>
      <w:r>
        <w:t xml:space="preserve">5</w:t>
      </w:r>
    </w:p>
    <w:p>
      <w:pPr>
        <w:keepLines/>
        <w:tabs>
          <w:tab w:val="right" w:leader="dot" w:pos="9360"/>
        </w:tabs>
        <w:spacing w:before="160" w:after="0" w:line="322" w:lineRule="exact"/>
        <w:ind w:left="504" w:right="1440" w:hanging="504"/>
      </w:pPr>
      <w:r>
        <w:rPr>
          <w:i/>
          <w:iCs/>
        </w:rPr>
        <w:t xml:space="preserve">Whitmore</w:t>
      </w:r>
      <w:r>
        <w:rPr>
          <w:i/>
          <w:iCs/>
        </w:rPr>
        <w:t xml:space="preserve"> </w:t>
      </w:r>
      <w:r>
        <w:rPr>
          <w:i/>
          <w:iCs/>
        </w:rPr>
        <w:t xml:space="preserve">v.</w:t>
      </w:r>
      <w:r>
        <w:rPr>
          <w:i/>
          <w:iCs/>
        </w:rPr>
        <w:t xml:space="preserve"> </w:t>
      </w:r>
      <w:r>
        <w:rPr>
          <w:i/>
          <w:iCs/>
        </w:rPr>
        <w:t xml:space="preserve">Arkansas</w:t>
      </w:r>
      <w:r>
        <w:t xml:space="preserve">,</w:t>
      </w:r>
      <w:r>
        <w:t xml:space="preserve"> </w:t>
      </w:r>
      <w:r>
        <w:t xml:space="preserve">495</w:t>
      </w:r>
      <w:r>
        <w:t xml:space="preserve"> </w:t>
      </w:r>
      <w:r>
        <w:t xml:space="preserve">U.S.</w:t>
      </w:r>
      <w:r>
        <w:t xml:space="preserve"> </w:t>
      </w:r>
      <w:r>
        <w:t xml:space="preserve">149</w:t>
      </w:r>
      <w:r>
        <w:t xml:space="preserve"> </w:t>
      </w:r>
      <w:r>
        <w:t xml:space="preserve">(1990)</w:t>
      </w:r>
      <w:r>
        <w:t xml:space="preserve">   </w:t>
      </w:r>
      <w:r>
        <w:tab/>
      </w:r>
      <w:r>
        <w:t xml:space="preserve">4</w:t>
      </w:r>
    </w:p>
    <w:p>
      <w:pPr>
        <w:keepNext/>
        <w:keepLines/>
        <w:spacing w:before="322" w:after="0" w:line="322" w:lineRule="exact"/>
        <w:ind w:left="0" w:firstLine="0"/>
        <w:jc w:val="left"/>
      </w:pPr>
      <w:r>
        <w:rPr>
          <w:b/>
          <w:bCs/>
        </w:rPr>
        <w:t xml:space="preserve">Statutes</w:t>
      </w:r>
    </w:p>
    <w:p>
      <w:pPr>
        <w:keepLines/>
        <w:tabs>
          <w:tab w:val="right" w:leader="dot" w:pos="9360"/>
        </w:tabs>
        <w:spacing w:before="160" w:after="0" w:line="322" w:lineRule="exact"/>
        <w:ind w:left="504" w:right="1440" w:hanging="504"/>
      </w:pPr>
      <w:r>
        <w:t xml:space="preserve">HRS</w:t>
      </w:r>
      <w:r>
        <w:t xml:space="preserve"> </w:t>
      </w:r>
      <w:r>
        <w:t xml:space="preserve">§</w:t>
      </w:r>
      <w:r>
        <w:t xml:space="preserve"> </w:t>
      </w:r>
      <w:r>
        <w:t xml:space="preserve">480-⁠2</w:t>
      </w:r>
      <w:r>
        <w:t xml:space="preserve">   </w:t>
      </w:r>
      <w:r>
        <w:tab/>
      </w:r>
      <w:r>
        <w:t xml:space="preserve">3</w:t>
      </w:r>
    </w:p>
    <w:p>
      <w:pPr>
        <w:keepNext/>
        <w:keepLines/>
        <w:spacing w:before="322" w:after="0" w:line="322" w:lineRule="exact"/>
        <w:ind w:left="0" w:firstLine="0"/>
        <w:jc w:val="left"/>
      </w:pPr>
      <w:r>
        <w:rPr>
          <w:b/>
          <w:bCs/>
        </w:rPr>
        <w:t xml:space="preserve">Rules</w:t>
      </w:r>
    </w:p>
    <w:p>
      <w:pPr>
        <w:keepLines/>
        <w:tabs>
          <w:tab w:val="right" w:leader="dot" w:pos="9360"/>
        </w:tabs>
        <w:spacing w:before="160" w:after="0" w:line="322" w:lineRule="exact"/>
        <w:ind w:left="504" w:right="1440" w:hanging="504"/>
      </w:pPr>
      <w:r>
        <w:t xml:space="preserve">Fed.</w:t>
      </w:r>
      <w:r>
        <w:t xml:space="preserve"> </w:t>
      </w:r>
      <w:r>
        <w:t xml:space="preserve">R.</w:t>
      </w:r>
      <w:r>
        <w:t xml:space="preserve"> </w:t>
      </w:r>
      <w:r>
        <w:t xml:space="preserve">Civ.</w:t>
      </w:r>
      <w:r>
        <w:t xml:space="preserve"> </w:t>
      </w:r>
      <w:r>
        <w:t xml:space="preserve">P.</w:t>
      </w:r>
      <w:r>
        <w:t xml:space="preserve"> </w:t>
      </w:r>
      <w:r>
        <w:t xml:space="preserve">12(c)</w:t>
      </w:r>
      <w:r>
        <w:t xml:space="preserve">   </w:t>
      </w:r>
      <w:r>
        <w:tab/>
      </w:r>
      <w:r>
        <w:t xml:space="preserve">4</w:t>
      </w:r>
    </w:p>
    <w:p>
      <w:pPr>
        <w:spacing w:before="0" w:after="0" w:line="1" w:lineRule="exact"/>
        <w:sectPr>
          <w:footerReference w:type="default" r:id="rIdXdPage"/>
          <w:pgSz w:w="12240" w:h="15840"/>
          <w:pgMar w:top="1440" w:right="1440" w:bottom="1440" w:left="1440" w:header="720" w:footer="686" w:gutter="0"/>
          <w:pgNumType w:fmt="lowerRoman" w:start="1"/>
        </w:sectPr>
      </w:pPr>
    </w:p>
    <w:p>
      <w:pPr>
        <w:spacing w:before="0" w:after="322" w:line="322"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p>
    <w:p>
      <w:pPr>
        <w:keepNext/>
        <w:keepLines/>
        <w:spacing w:before="322" w:after="160" w:line="322" w:lineRule="exact"/>
        <w:ind w:left="720" w:hanging="720"/>
        <w:jc w:val="left"/>
      </w:pPr>
      <w:r>
        <w:rPr>
          <w:b/>
          <w:bCs/>
        </w:rPr>
        <w:t xml:space="preserve">I.</w:t>
      </w:r>
      <w:r>
        <w:rPr>
          <w:b/>
          <w:bCs/>
        </w:rPr>
        <w:tab/>
      </w:r>
      <w:r>
        <w:rPr>
          <w:b/>
          <w:bCs/>
        </w:rPr>
        <w:t xml:space="preserve">BACKGROUND</w:t>
      </w:r>
    </w:p>
    <w:p>
      <w:pPr>
        <w:pStyle w:val="BodyTextNote"/>
      </w:pPr>
      <w:r>
        <w:t xml:space="preserve">On April 8, President Trump declared that many states’ efforts relating to climate change are “fundamentally irreconcilable” with his administration’s policy of encouraging further fossil fuel development and “should not stand.”</w:t>
      </w:r>
      <w:r>
        <w:rPr>
          <w:rStyle w:val="FootnoteReference"/>
        </w:rPr>
        <w:footnoteReference w:id="9"/>
      </w:r>
      <w:r>
        <w:t xml:space="preserve"> </w:t>
      </w:r>
      <w:r>
        <w:t xml:space="preserve">He ordered the U.S. Attorney General to review the legality of “all State and local laws, regulations, causes of action, policies, and practices ⁠. ⁠. ⁠. burdening the identification, development, siting, production, or use of domestic energy resources[,]” and to “expeditiously take all appropriate action to stop” those she deemed illegal.</w:t>
      </w:r>
      <w:r>
        <w:rPr>
          <w:rStyle w:val="FootnoteReference"/>
        </w:rPr>
        <w:footnoteReference w:id="10"/>
      </w:r>
      <w:r>
        <w:t xml:space="preserve"> </w:t>
      </w:r>
      <w:r>
        <w:t xml:space="preserve">This sweeping federal directive was supposedly motivated in part by concerns for “Federalism” and “the equality of each State enshrined by the Constitution[.]”</w:t>
      </w:r>
      <w:r>
        <w:rPr>
          <w:rStyle w:val="FootnoteReference"/>
        </w:rPr>
        <w:footnoteReference w:id="11"/>
      </w:r>
    </w:p>
    <w:p>
      <w:pPr>
        <w:pStyle w:val="BodyText"/>
      </w:pPr>
      <w:r>
        <w:t xml:space="preserve">On Monday, April 28, Governor Green said during an interview that Hawai‘i would be filing suit against fossil fuel companies that Thursday, May 1. Compl., ECF No. 1, ¶ 4. That was apparently enough for the Government. The day before the State filed its lawsuit, and with no knowledge of which fossil fuel companies would be sued, what facts would be alleged, or what theories of liability would be pled,</w:t>
      </w:r>
      <w:r>
        <w:t xml:space="preserve"> </w:t>
      </w:r>
      <w:r>
        <w:rPr>
          <w:i/>
          <w:iCs/>
        </w:rPr>
        <w:t xml:space="preserve">see id.</w:t>
      </w:r>
      <w:r>
        <w:t xml:space="preserve"> </w:t>
      </w:r>
      <w:r>
        <w:t xml:space="preserve">¶ 14, the United States filed this lawsuit against the State (the “Federal Action”). The United States predicted that the State would “seek[] to hold fossil fuel companies liable” under a “strict liability” theory for their “lawful conduct” that “contribut[ed] to greenhouse gas emissions” and “caus[ed] climate change impacts to Hawaii.”</w:t>
      </w:r>
      <w:r>
        <w:t xml:space="preserve"> </w:t>
      </w:r>
      <w:r>
        <w:rPr>
          <w:i/>
          <w:iCs/>
        </w:rPr>
        <w:t xml:space="preserve">Id.</w:t>
      </w:r>
      <w:r>
        <w:t xml:space="preserve"> </w:t>
      </w:r>
      <w:r>
        <w:t xml:space="preserve">¶¶ 14, 38, 51. Extrapolating further, it alleged that the State’s anticipated claims would be preempted by federal law, including the Clean Air Act (CAA), and violate the U.S. Constitution.</w:t>
      </w:r>
      <w:r>
        <w:t xml:space="preserve"> </w:t>
      </w:r>
      <w:r>
        <w:rPr>
          <w:i/>
          <w:iCs/>
        </w:rPr>
        <w:t xml:space="preserve">Id.</w:t>
      </w:r>
      <w:r>
        <w:t xml:space="preserve"> </w:t>
      </w:r>
      <w:r>
        <w:t xml:space="preserve">¶¶ 28–⁠88. The United States asks this Court to “[d]eclare Hawaii’s state law claims unconstitutional” and to “[p]ermanently enjoin Defendants from taking actions to assert Hawaii’s state law claims[.]”</w:t>
      </w:r>
      <w:r>
        <w:t xml:space="preserve"> </w:t>
      </w:r>
      <w:r>
        <w:rPr>
          <w:i/>
          <w:iCs/>
        </w:rPr>
        <w:t xml:space="preserve">Id.</w:t>
      </w:r>
      <w:r>
        <w:t xml:space="preserve"> </w:t>
      </w:r>
      <w:r>
        <w:t xml:space="preserve">at 31. However, the United States did not seek preliminary injunctive relief to forestall the State from commencing its own case.</w:t>
      </w:r>
    </w:p>
    <w:p>
      <w:pPr>
        <w:pStyle w:val="BodyTextNote"/>
      </w:pPr>
      <w:r>
        <w:t xml:space="preserve">On May 1, the State, acting by and through Attorney General Lopez, filed its climate-deception suit (the “State Action”) against eighteen of “the largest oil and gas companies in the world and a national oil and gas industry trade association” (the “State Action Defendants”). State Action Compl. ¶¶ 28, 33.</w:t>
      </w:r>
      <w:r>
        <w:rPr>
          <w:rStyle w:val="FootnoteReference"/>
        </w:rPr>
        <w:footnoteReference w:id="12"/>
      </w:r>
      <w:r>
        <w:t xml:space="preserve"> </w:t>
      </w:r>
      <w:r>
        <w:t xml:space="preserve">Contrary to the United States’ expectations, the State Action “does not seek to impose liability on [the State Action] Defendants for their direct emissions of [greenhouse gases.]”</w:t>
      </w:r>
      <w:r>
        <w:t xml:space="preserve"> </w:t>
      </w:r>
      <w:r>
        <w:rPr>
          <w:i/>
          <w:iCs/>
        </w:rPr>
        <w:t xml:space="preserve">Id.</w:t>
      </w:r>
      <w:r>
        <w:t xml:space="preserve"> </w:t>
      </w:r>
      <w:r>
        <w:t xml:space="preserve">¶ 20. Instead, it “seeks relief for injuries in Hawai‘i caused by [the State Action] Defendants’ tortious, deceptive, and unlawful conduct within and outside of Hawai‘i[.]”</w:t>
      </w:r>
      <w:r>
        <w:t xml:space="preserve"> </w:t>
      </w:r>
      <w:r>
        <w:rPr>
          <w:i/>
          <w:iCs/>
        </w:rPr>
        <w:t xml:space="preserve">Id.</w:t>
      </w:r>
      <w:r>
        <w:t xml:space="preserve"> </w:t>
      </w:r>
      <w:r>
        <w:t xml:space="preserve">¶ 21. As the Hawai‘i Supreme Court explained in a similar climate-deception suit, such actions seek to impose liability for deception and failure to warn, and “do[] not seek to regulate emissions or curb energy production[.]”</w:t>
      </w:r>
      <w:r>
        <w:t xml:space="preserve"> </w:t>
      </w:r>
      <w:r>
        <w:rPr>
          <w:i/>
          <w:iCs/>
        </w:rPr>
        <w:t xml:space="preserve">City</w:t>
      </w:r>
      <w:r>
        <w:rPr>
          <w:i/>
          <w:iCs/>
        </w:rPr>
        <w:t xml:space="preserve"> </w:t>
      </w:r>
      <w:r>
        <w:rPr>
          <w:i/>
          <w:iCs/>
        </w:rPr>
        <w:t xml:space="preserve">&amp; Cty. of Honolulu v. Sunoco LP</w:t>
      </w:r>
      <w:r>
        <w:t xml:space="preserve">, 537 P.3d 1173, 1193 (Haw. 2023),</w:t>
      </w:r>
      <w:r>
        <w:t xml:space="preserve"> </w:t>
      </w:r>
      <w:r>
        <w:rPr>
          <w:i/>
          <w:iCs/>
        </w:rPr>
        <w:t xml:space="preserve">cert. denied</w:t>
      </w:r>
      <w:r>
        <w:t xml:space="preserve">, 145 S. Ct. 1111 (2025).</w:t>
      </w:r>
    </w:p>
    <w:p>
      <w:pPr>
        <w:pStyle w:val="BodyText"/>
      </w:pPr>
      <w:r>
        <w:t xml:space="preserve">Specifically, the State Action complaint alleges that the State Action Defendants “conceal[ed] the dangers of ⁠. ⁠. ⁠. and promot[ed] false and misleading information about fossil fuel products[.]” State Action Compl. ¶ 10. It pleads claims of state law negligence, public nuisance, private nuisance, trespass, harm to public trust resources, civil aiding and abetting, and strict liability for failure to warn, and alleges violations of Hawaii Revised Statutes (HRS) §</w:t>
      </w:r>
      <w:r>
        <w:t xml:space="preserve"> </w:t>
      </w:r>
      <w:r>
        <w:t xml:space="preserve">480-⁠2, the Hawai‘i Unfair or Deceptive Acts or Practices statute.</w:t>
      </w:r>
      <w:r>
        <w:t xml:space="preserve"> </w:t>
      </w:r>
      <w:r>
        <w:rPr>
          <w:i/>
          <w:iCs/>
        </w:rPr>
        <w:t xml:space="preserve">Id.</w:t>
      </w:r>
      <w:r>
        <w:t xml:space="preserve"> </w:t>
      </w:r>
      <w:r>
        <w:t xml:space="preserve">¶¶ 327–⁠448. It seeks compensatory, punitive, and natural resource damages, disgorgement of profits, equitable relief (including “abatement in Hawai‘i of the nuisances complained of”), and statutory penalties and damages under HRS §§ 480-⁠3.1, 480-⁠13, and 480-⁠14.</w:t>
      </w:r>
      <w:r>
        <w:t xml:space="preserve"> </w:t>
      </w:r>
      <w:r>
        <w:rPr>
          <w:i/>
          <w:iCs/>
        </w:rPr>
        <w:t xml:space="preserve">Id.</w:t>
      </w:r>
      <w:r>
        <w:t xml:space="preserve"> </w:t>
      </w:r>
      <w:r>
        <w:t xml:space="preserve">at 193–94.</w:t>
      </w:r>
    </w:p>
    <w:p>
      <w:pPr>
        <w:keepNext/>
        <w:keepLines/>
        <w:spacing w:before="322" w:after="160" w:line="322" w:lineRule="exact"/>
        <w:ind w:left="720" w:hanging="720"/>
        <w:jc w:val="left"/>
      </w:pPr>
      <w:r>
        <w:rPr>
          <w:b/>
          <w:bCs/>
        </w:rPr>
        <w:t xml:space="preserve">II.</w:t>
      </w:r>
      <w:r>
        <w:rPr>
          <w:b/>
          <w:bCs/>
        </w:rPr>
        <w:tab/>
      </w:r>
      <w:r>
        <w:rPr>
          <w:b/>
          <w:bCs/>
        </w:rPr>
        <w:t xml:space="preserve">LEGAL</w:t>
      </w:r>
      <w:r>
        <w:rPr>
          <w:b/>
          <w:bCs/>
        </w:rPr>
        <w:t xml:space="preserve"> </w:t>
      </w:r>
      <w:r>
        <w:rPr>
          <w:b/>
          <w:bCs/>
        </w:rPr>
        <w:t xml:space="preserve">STANDARD</w:t>
      </w:r>
    </w:p>
    <w:p>
      <w:pPr>
        <w:pStyle w:val="BodyText"/>
      </w:pPr>
      <w:r>
        <w:t xml:space="preserve">“Because a Rule</w:t>
      </w:r>
      <w:r>
        <w:t xml:space="preserve"> </w:t>
      </w:r>
      <w:r>
        <w:t xml:space="preserve">12(c) motion is functionally identical to a Rule 12(b)⁠(6) motion, the same standard of review applies to motions brought under either rule.”</w:t>
      </w:r>
      <w:r>
        <w:t xml:space="preserve"> </w:t>
      </w:r>
      <w:r>
        <w:rPr>
          <w:i/>
          <w:iCs/>
        </w:rPr>
        <w:t xml:space="preserve">Gregg</w:t>
      </w:r>
      <w:r>
        <w:rPr>
          <w:i/>
          <w:iCs/>
        </w:rPr>
        <w:t xml:space="preserve"> </w:t>
      </w:r>
      <w:r>
        <w:rPr>
          <w:i/>
          <w:iCs/>
        </w:rPr>
        <w:t xml:space="preserve">v. Haw. Dep’t of Pub. Safety</w:t>
      </w:r>
      <w:r>
        <w:t xml:space="preserve">, 870 F.3d 883, 887 (9th Cir. 2017) (cleaned up). “A judgment on the pleadings is properly granted when, taking all the allegations in the pleadings as true, the moving party is entitled to judgment as a matter of law.”</w:t>
      </w:r>
      <w:r>
        <w:t xml:space="preserve"> </w:t>
      </w:r>
      <w:r>
        <w:rPr>
          <w:i/>
          <w:iCs/>
        </w:rPr>
        <w:t xml:space="preserve">Id.</w:t>
      </w:r>
      <w:r>
        <w:t xml:space="preserve"> </w:t>
      </w:r>
      <w:r>
        <w:t xml:space="preserve">(cleaned up).</w:t>
      </w:r>
    </w:p>
    <w:p>
      <w:pPr>
        <w:keepNext/>
        <w:keepLines/>
        <w:spacing w:before="322" w:after="160" w:line="322" w:lineRule="exact"/>
        <w:ind w:left="720" w:hanging="720"/>
        <w:jc w:val="left"/>
      </w:pPr>
      <w:r>
        <w:rPr>
          <w:b/>
          <w:bCs/>
        </w:rPr>
        <w:t xml:space="preserve">III.</w:t>
      </w:r>
      <w:r>
        <w:rPr>
          <w:b/>
          <w:bCs/>
        </w:rPr>
        <w:tab/>
      </w:r>
      <w:r>
        <w:rPr>
          <w:b/>
          <w:bCs/>
        </w:rPr>
        <w:t xml:space="preserve">ARGUMENT</w:t>
      </w:r>
    </w:p>
    <w:p>
      <w:pPr>
        <w:keepNext/>
        <w:keepLines/>
        <w:spacing w:before="160" w:after="160"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lacks</w:t>
      </w:r>
      <w:r>
        <w:rPr>
          <w:b/>
          <w:bCs/>
        </w:rPr>
        <w:t xml:space="preserve"> </w:t>
      </w:r>
      <w:r>
        <w:rPr>
          <w:b/>
          <w:bCs/>
        </w:rPr>
        <w:t xml:space="preserve">standing.</w:t>
      </w:r>
    </w:p>
    <w:p>
      <w:pPr>
        <w:pStyle w:val="BodyText"/>
      </w:pPr>
      <w:r>
        <w:t xml:space="preserve">To establish standing, the United States must demonstrate that “(1) it has suffered an ‘injury in fact’ that is (a) concrete and particularized and (b) actual or imminent, not conjectural or hypothetical; (2) the injury is fairly traceable to the challenged action of the defendant; and (3) it is likely, as opposed to merely speculative, that the injury will be redressed by a favorable decision.”</w:t>
      </w:r>
      <w:r>
        <w:t xml:space="preserve"> </w:t>
      </w:r>
      <w:r>
        <w:rPr>
          <w:i/>
          <w:iCs/>
        </w:rPr>
        <w:t xml:space="preserve">Friends</w:t>
      </w:r>
      <w:r>
        <w:rPr>
          <w:i/>
          <w:iCs/>
        </w:rPr>
        <w:t xml:space="preserve"> </w:t>
      </w:r>
      <w:r>
        <w:rPr>
          <w:i/>
          <w:iCs/>
        </w:rPr>
        <w:t xml:space="preserve">of the Earth, Inc. v. Laidlaw Envtl. Servs. (TOC), Inc.</w:t>
      </w:r>
      <w:r>
        <w:t xml:space="preserve">, 528 U.S. 167, 180–81 (2000). The United States bears the burden of setting forth facts “sufficient to satisfy these Art[icle] III standing requirements[,]” and “[a] federal court is powerless to create its own jurisdiction by embellishing otherwise deficient allegations of standing.”</w:t>
      </w:r>
      <w:r>
        <w:t xml:space="preserve"> </w:t>
      </w:r>
      <w:r>
        <w:rPr>
          <w:i/>
          <w:iCs/>
        </w:rPr>
        <w:t xml:space="preserve">Whitmore</w:t>
      </w:r>
      <w:r>
        <w:rPr>
          <w:i/>
          <w:iCs/>
        </w:rPr>
        <w:t xml:space="preserve"> </w:t>
      </w:r>
      <w:r>
        <w:rPr>
          <w:i/>
          <w:iCs/>
        </w:rPr>
        <w:t xml:space="preserve">v. Arkansas</w:t>
      </w:r>
      <w:r>
        <w:t xml:space="preserve">, 495 U.S. 149, 155–56 (1990).</w:t>
      </w:r>
    </w:p>
    <w:p>
      <w:pPr>
        <w:pStyle w:val="BodyText"/>
      </w:pPr>
      <w:r>
        <w:t xml:space="preserve">The United States fails to establish Article III standing. Its allegations of future harm are far too abstract and inchoate to meet the concreteness requirement, and its alleged injuries are conjectural and hypothetical, not actual or imminent. Its theory of standing is based on potential downstream effects of the State Action that are too speculative and remote to establish a cognizable injury. And the United States does not establish traceability or redressability because its alleged injuries depend on multiple layers of contingencies, including the unpredictable decisions of third parties.</w:t>
      </w:r>
    </w:p>
    <w:p>
      <w:pPr>
        <w:pStyle w:val="BodyText"/>
      </w:pPr>
      <w:r>
        <w:t xml:space="preserve">1. A “concrete injury must be real ⁠. ⁠. ⁠. ⁠. [A]n abstract, theoretical concern will not do.”</w:t>
      </w:r>
      <w:r>
        <w:t xml:space="preserve"> </w:t>
      </w:r>
      <w:r>
        <w:rPr>
          <w:i/>
          <w:iCs/>
        </w:rPr>
        <w:t xml:space="preserve">Lake</w:t>
      </w:r>
      <w:r>
        <w:rPr>
          <w:i/>
          <w:iCs/>
        </w:rPr>
        <w:t xml:space="preserve"> </w:t>
      </w:r>
      <w:r>
        <w:rPr>
          <w:i/>
          <w:iCs/>
        </w:rPr>
        <w:t xml:space="preserve">v. Fontes</w:t>
      </w:r>
      <w:r>
        <w:t xml:space="preserve">, 83 F.4th 1199, 1203 (9th Cir. 2023) (cleaned up). While “a person exposed to a risk of future harm may pursue forward-looking, injunctive relief to prevent the harm from occurring,” the risk of future harm must still be “sufficiently imminent and substantial” to satisfy the concrete harm requirement.</w:t>
      </w:r>
      <w:r>
        <w:t xml:space="preserve"> </w:t>
      </w:r>
      <w:r>
        <w:rPr>
          <w:i/>
          <w:iCs/>
        </w:rPr>
        <w:t xml:space="preserve">TransUnion</w:t>
      </w:r>
      <w:r>
        <w:rPr>
          <w:i/>
          <w:iCs/>
        </w:rPr>
        <w:t xml:space="preserve"> </w:t>
      </w:r>
      <w:r>
        <w:rPr>
          <w:i/>
          <w:iCs/>
        </w:rPr>
        <w:t xml:space="preserve">LLC v. Ramirez</w:t>
      </w:r>
      <w:r>
        <w:t xml:space="preserve">, 594 U.S. 413, 435 (2021). The United States speculates that a judgment against the State Action Defendants might end up “second-guess[ing] EPA’s regulatory choices,” Compl. ¶ 38, “increasing energy costs and disrupting the national energy market,”</w:t>
      </w:r>
      <w:r>
        <w:t xml:space="preserve"> </w:t>
      </w:r>
      <w:r>
        <w:rPr>
          <w:i/>
          <w:iCs/>
        </w:rPr>
        <w:t xml:space="preserve">id.</w:t>
      </w:r>
      <w:r>
        <w:t xml:space="preserve"> </w:t>
      </w:r>
      <w:r>
        <w:t xml:space="preserve">¶ 39, “increas[ing] the United States’ costs for purchasing fuels and threaten[ing] revenue from federal leasing[,]”</w:t>
      </w:r>
      <w:r>
        <w:t xml:space="preserve"> </w:t>
      </w:r>
      <w:r>
        <w:rPr>
          <w:i/>
          <w:iCs/>
        </w:rPr>
        <w:t xml:space="preserve">id.</w:t>
      </w:r>
      <w:r>
        <w:t xml:space="preserve"> </w:t>
      </w:r>
      <w:r>
        <w:t xml:space="preserve">¶ 44, “imposing penalties or fines” that “burden” interstate and foreign commerce,</w:t>
      </w:r>
      <w:r>
        <w:t xml:space="preserve"> </w:t>
      </w:r>
      <w:r>
        <w:rPr>
          <w:i/>
          <w:iCs/>
        </w:rPr>
        <w:t xml:space="preserve">id.</w:t>
      </w:r>
      <w:r>
        <w:t xml:space="preserve"> </w:t>
      </w:r>
      <w:r>
        <w:t xml:space="preserve">¶¶ 62, 70, and “undermin[ing] the United States’ ability to speak with one voice in international relations[,]”</w:t>
      </w:r>
      <w:r>
        <w:t xml:space="preserve"> </w:t>
      </w:r>
      <w:r>
        <w:rPr>
          <w:i/>
          <w:iCs/>
        </w:rPr>
        <w:t xml:space="preserve">id.</w:t>
      </w:r>
      <w:r>
        <w:t xml:space="preserve"> </w:t>
      </w:r>
      <w:r>
        <w:t xml:space="preserve">¶ 86.</w:t>
      </w:r>
    </w:p>
    <w:p>
      <w:pPr>
        <w:pStyle w:val="BodyText"/>
      </w:pPr>
      <w:r>
        <w:t xml:space="preserve">But the United States cannot allege a concrete injury by pointing to speculative, hypothetical harms that might result from a potential judgment in the State Action that, if it even occurs, may be years away. The United States’ alleged injuries are not only contingent on the (presently uncertain) outcome of the State Action, but also on the legal basis and substantive contents of any such decision, which would affect whether the judgment in fact collides with EPA’s regulatory choices, affects energy markets, disrupts federal leasing programs, or burdens commerce. The United States also seems to hinge those injuries on a state court judgment involving “large sums of money[,]”</w:t>
      </w:r>
      <w:r>
        <w:t xml:space="preserve"> </w:t>
      </w:r>
      <w:r>
        <w:rPr>
          <w:i/>
          <w:iCs/>
        </w:rPr>
        <w:t xml:space="preserve">id.</w:t>
      </w:r>
      <w:r>
        <w:t xml:space="preserve"> </w:t>
      </w:r>
      <w:r>
        <w:t xml:space="preserve">at ¶ 14, although it does not allege what dollar amount would need to be at issue to “raise energy costs for consumers nationwide[,]”</w:t>
      </w:r>
      <w:r>
        <w:t xml:space="preserve"> </w:t>
      </w:r>
      <w:r>
        <w:rPr>
          <w:i/>
          <w:iCs/>
        </w:rPr>
        <w:t xml:space="preserve">id.</w:t>
      </w:r>
      <w:r>
        <w:t xml:space="preserve"> </w:t>
      </w:r>
      <w:r>
        <w:t xml:space="preserve">¶ 7. And tellingly, the United States does not identify any lessee that would avoid entering any oil or gas lease, any foreign nation that would alter its relations with the United States, or any EPA regulation that would be undermined if the State prevails in the State Action. These omissions underscore that the United States’ injuries are entirely “abstract, theoretical concern[s,]” which do not satisfy the concrete harm requirement.</w:t>
      </w:r>
      <w:r>
        <w:t xml:space="preserve"> </w:t>
      </w:r>
      <w:r>
        <w:rPr>
          <w:i/>
          <w:iCs/>
        </w:rPr>
        <w:t xml:space="preserve">Pierce</w:t>
      </w:r>
      <w:r>
        <w:rPr>
          <w:i/>
          <w:iCs/>
        </w:rPr>
        <w:t xml:space="preserve"> </w:t>
      </w:r>
      <w:r>
        <w:rPr>
          <w:i/>
          <w:iCs/>
        </w:rPr>
        <w:t xml:space="preserve">v. Ducey</w:t>
      </w:r>
      <w:r>
        <w:t xml:space="preserve">, 965 F.3d 1085, 1089 (9th Cir. 2020).</w:t>
      </w:r>
    </w:p>
    <w:p>
      <w:pPr>
        <w:pStyle w:val="BodyText"/>
      </w:pPr>
      <w:r>
        <w:t xml:space="preserve">2. The United States also fails to allege actual or imminent harm. “Where there is no actual harm ⁠, ⁠. ⁠. ⁠. its imminence (though not its precise extent) must be established.”</w:t>
      </w:r>
      <w:r>
        <w:t xml:space="preserve"> </w:t>
      </w:r>
      <w:r>
        <w:rPr>
          <w:i/>
          <w:iCs/>
        </w:rPr>
        <w:t xml:space="preserve">Lujan</w:t>
      </w:r>
      <w:r>
        <w:rPr>
          <w:i/>
          <w:iCs/>
        </w:rPr>
        <w:t xml:space="preserve"> </w:t>
      </w:r>
      <w:r>
        <w:rPr>
          <w:i/>
          <w:iCs/>
        </w:rPr>
        <w:t xml:space="preserve">v. Defenders of Wildlife</w:t>
      </w:r>
      <w:r>
        <w:t xml:space="preserve">, 504 U.S. 555, 564 n.2 (1992). A future injury may suffice if it is “certainly impending” or there is “substantial risk that the harm will occur.”</w:t>
      </w:r>
      <w:r>
        <w:t xml:space="preserve"> </w:t>
      </w:r>
      <w:r>
        <w:rPr>
          <w:i/>
          <w:iCs/>
        </w:rPr>
        <w:t xml:space="preserve">Susan</w:t>
      </w:r>
      <w:r>
        <w:rPr>
          <w:i/>
          <w:iCs/>
        </w:rPr>
        <w:t xml:space="preserve"> </w:t>
      </w:r>
      <w:r>
        <w:rPr>
          <w:i/>
          <w:iCs/>
        </w:rPr>
        <w:t xml:space="preserve">B. Anthony List v. Driehaus</w:t>
      </w:r>
      <w:r>
        <w:t xml:space="preserve">, 573 U.S. 149, 158 (2014) (cleaned up). “[C]onjectural allegations of potential injuries are insufficient to plead a plausible real and immediate threat.”</w:t>
      </w:r>
      <w:r>
        <w:t xml:space="preserve"> </w:t>
      </w:r>
      <w:r>
        <w:rPr>
          <w:i/>
          <w:iCs/>
        </w:rPr>
        <w:t xml:space="preserve">Lake</w:t>
      </w:r>
      <w:r>
        <w:t xml:space="preserve">, 83 F.4th at 1204.</w:t>
      </w:r>
    </w:p>
    <w:p>
      <w:pPr>
        <w:pStyle w:val="BodyText"/>
      </w:pPr>
      <w:r>
        <w:t xml:space="preserve">The United States’ allegations of harm fail the imminence inquiry because they depend on multiple layers of contingencies. Even if the State Action Defendants are someday subject to an adverse judgment, the United States cannot reasonably express confidence about how the State Action Defendants will respond, much less how the judgment might affect a national fossil fuel market that is responsive to a complex network of decisions made by governments, corporations, and individuals across the world.</w:t>
      </w:r>
      <w:r>
        <w:t xml:space="preserve"> </w:t>
      </w:r>
      <w:r>
        <w:rPr>
          <w:i/>
          <w:iCs/>
        </w:rPr>
        <w:t xml:space="preserve">See</w:t>
      </w:r>
      <w:r>
        <w:t xml:space="preserve"> </w:t>
      </w:r>
      <w:r>
        <w:rPr>
          <w:i/>
          <w:iCs/>
        </w:rPr>
        <w:t xml:space="preserve">Bates</w:t>
      </w:r>
      <w:r>
        <w:rPr>
          <w:i/>
          <w:iCs/>
        </w:rPr>
        <w:t xml:space="preserve"> </w:t>
      </w:r>
      <w:r>
        <w:rPr>
          <w:i/>
          <w:iCs/>
        </w:rPr>
        <w:t xml:space="preserve">v. Dow Agrosciences LLC</w:t>
      </w:r>
      <w:r>
        <w:t xml:space="preserve">, 544 U.S. 431, 445 (2005) (rejecting “speculation as to whether a jury verdict will prompt the manufacturer to take any particular action (a question, in any event, that will depend on a variety of cost/​benefit calculations best left to the manufacturer’s accountants)”). The State Action Defendants may have already factored the cost of climate-deception lawsuits, like the State’s, into current energy prices and leasing practices. Or they may pay for an adverse judgment by spending down existing capital reserves or reducing the dividends paid to shareholders without ever altering their leasing or pricing decisions. Given that the price of fossil fuels is a function of global supply and demand, the State Action Defendants may lack the pricing power needed to pass any costs of an adverse judgment onto consumers. Even if the State Action Defendants reduce their leasing of federal land, other market participants might fill the gap. Various defendants may respond differently to a hypothetical adverse judgment. For all these reasons, the United States’ complaint relies on “conjectural allegations of potential injuries” that stretch “the concept of imminence beyond its purpose.”</w:t>
      </w:r>
      <w:r>
        <w:t xml:space="preserve"> </w:t>
      </w:r>
      <w:r>
        <w:rPr>
          <w:i/>
          <w:iCs/>
        </w:rPr>
        <w:t xml:space="preserve">Lake</w:t>
      </w:r>
      <w:r>
        <w:t xml:space="preserve">, 83 F.4th at 1204 (cleaned up).</w:t>
      </w:r>
    </w:p>
    <w:p>
      <w:pPr>
        <w:pStyle w:val="BodyText"/>
      </w:pPr>
      <w:r>
        <w:t xml:space="preserve">Equally speculative is the United States’ allegation that the State Action either “would” or “could” “undermine the ability of the United States to speak with one voice” on foreign affairs. Compl. ¶¶ 70, 84. Any alleged foreign-affairs injury is contingent not only on a hypothetical judgment against the State Action Defendants, but also on the manner in which liability is imposed, how those defendants and other industry actors respond, how the Executive Branch itself treats the decision in relation to foreign policy, and the unpredictable responses of foreign nations.</w:t>
      </w:r>
    </w:p>
    <w:p>
      <w:pPr>
        <w:pStyle w:val="BodyText"/>
      </w:pPr>
      <w:r>
        <w:t xml:space="preserve">Indeed, multiple courts of appeals have rejected attempts by fossil fuel companies to remove climate-deception suits like the State’s to federal court based on speculation that judgments in such suits might impair federal leasing programs. In the Tenth Circuit’s words, “it is difficult to see how such a prospective theory of negative economic incentives—flowing from a lawsuit that does not directly attack ⁠. ⁠. ⁠. exploration, resource development, or leases—is anything other than contingent and speculative.”</w:t>
      </w:r>
      <w:r>
        <w:t xml:space="preserve"> </w:t>
      </w:r>
      <w:r>
        <w:rPr>
          <w:i/>
          <w:iCs/>
        </w:rPr>
        <w:t xml:space="preserve">Bd.</w:t>
      </w:r>
      <w:r>
        <w:rPr>
          <w:i/>
          <w:iCs/>
        </w:rPr>
        <w:t xml:space="preserve"> </w:t>
      </w:r>
      <w:r>
        <w:rPr>
          <w:i/>
          <w:iCs/>
        </w:rPr>
        <w:t xml:space="preserve">of Cty. Comm’rs of Boulder Cty. v. Suncor Energy (U.S.A.) Inc.</w:t>
      </w:r>
      <w:r>
        <w:t xml:space="preserve">, 25 F.4th 1238, 1275 (10th Cir. 2022);</w:t>
      </w:r>
      <w:r>
        <w:t xml:space="preserve"> </w:t>
      </w:r>
      <w:r>
        <w:rPr>
          <w:i/>
          <w:iCs/>
        </w:rPr>
        <w:t xml:space="preserve">accord</w:t>
      </w:r>
      <w:r>
        <w:t xml:space="preserve"> </w:t>
      </w:r>
      <w:r>
        <w:rPr>
          <w:i/>
          <w:iCs/>
        </w:rPr>
        <w:t xml:space="preserve">Rhode</w:t>
      </w:r>
      <w:r>
        <w:rPr>
          <w:i/>
          <w:iCs/>
        </w:rPr>
        <w:t xml:space="preserve"> </w:t>
      </w:r>
      <w:r>
        <w:rPr>
          <w:i/>
          <w:iCs/>
        </w:rPr>
        <w:t xml:space="preserve">Island v. Shell Oil Products Co.</w:t>
      </w:r>
      <w:r>
        <w:t xml:space="preserve">, 35 F.4th 44, 60 (1st Cir. 2022) (same);</w:t>
      </w:r>
      <w:r>
        <w:t xml:space="preserve"> </w:t>
      </w:r>
      <w:r>
        <w:rPr>
          <w:i/>
          <w:iCs/>
        </w:rPr>
        <w:t xml:space="preserve">Mayor</w:t>
      </w:r>
      <w:r>
        <w:rPr>
          <w:i/>
          <w:iCs/>
        </w:rPr>
        <w:t xml:space="preserve"> </w:t>
      </w:r>
      <w:r>
        <w:rPr>
          <w:i/>
          <w:iCs/>
        </w:rPr>
        <w:t xml:space="preserve">&amp; City Council of Baltimore v. BP P.L.C.</w:t>
      </w:r>
      <w:r>
        <w:t xml:space="preserve">, 31 F.4th 178, 222 (4th Cir. 2022) (similar).</w:t>
      </w:r>
    </w:p>
    <w:p>
      <w:pPr>
        <w:keepNext/>
        <w:keepLines/>
        <w:spacing w:before="322" w:after="160" w:line="322" w:lineRule="exact"/>
        <w:ind w:left="720" w:hanging="720"/>
        <w:jc w:val="left"/>
      </w:pPr>
      <w:r>
        <w:rPr>
          <w:b/>
          <w:bCs/>
        </w:rPr>
        <w:t xml:space="preserve">IV.</w:t>
      </w:r>
      <w:r>
        <w:rPr>
          <w:b/>
          <w:bCs/>
        </w:rPr>
        <w:tab/>
      </w:r>
      <w:r>
        <w:rPr>
          <w:b/>
          <w:bCs/>
        </w:rPr>
        <w:t xml:space="preserve">CONCLUSION</w:t>
      </w:r>
    </w:p>
    <w:p>
      <w:pPr>
        <w:pStyle w:val="BodyTextKeep"/>
      </w:pPr>
      <w:r>
        <w:t xml:space="preserve">For the foregoing reasons, the Court should grant the State’s motion.</w:t>
      </w:r>
    </w:p>
    <w:p>
      <w:pPr>
        <w:keepNext/>
        <w:keepLines/>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Honolulu,</w:t>
            </w:r>
            <w:r>
              <w:t xml:space="preserve"> </w:t>
            </w:r>
            <w:r>
              <w:t xml:space="preserve">Hawai‘i,</w:t>
            </w:r>
            <w:r>
              <w:t xml:space="preserve"> </w:t>
            </w:r>
            <w:r>
              <w:t xml:space="preserve">July</w:t>
            </w:r>
            <w:r>
              <w:t xml:space="preserve"> </w:t>
            </w:r>
            <w:r>
              <w:t xml:space="preserve">25,</w:t>
            </w:r>
            <w:r>
              <w:t xml:space="preserve"> </w:t>
            </w:r>
            <w:r>
              <w:t xml:space="preserve">2025.</w:t>
            </w:r>
          </w:p>
          <w:p>
            <w:pPr>
              <w:spacing w:before="322" w:after="0" w:line="322" w:lineRule="exact"/>
              <w:ind w:left="4320" w:firstLine="0"/>
              <w:jc w:val="left"/>
            </w:pPr>
            <w:r>
              <w:t xml:space="preserve">/s/</w:t>
            </w:r>
            <w:r>
              <w:t xml:space="preserve"> </w:t>
            </w:r>
            <w:r>
              <w:t xml:space="preserve">Kalikoʻonālani</w:t>
            </w:r>
            <w:r>
              <w:t xml:space="preserve"> </w:t>
            </w:r>
            <w:r>
              <w:t xml:space="preserve">D.</w:t>
            </w:r>
            <w:r>
              <w:t xml:space="preserve"> </w:t>
            </w:r>
            <w:r>
              <w:t xml:space="preserve">Fernandes</w:t>
            </w:r>
          </w:p>
          <w:p>
            <w:pPr>
              <w:spacing w:before="0" w:after="0" w:line="322" w:lineRule="exact"/>
              <w:ind w:left="4320" w:firstLine="0"/>
              <w:jc w:val="left"/>
            </w:pPr>
            <w:r>
              <w:t xml:space="preserve">KALIKOʻONĀLANI</w:t>
            </w:r>
            <w:r>
              <w:t xml:space="preserve"> </w:t>
            </w:r>
            <w:r>
              <w:t xml:space="preserve">D.</w:t>
            </w:r>
            <w:r>
              <w:t xml:space="preserve"> </w:t>
            </w:r>
            <w:r>
              <w:t xml:space="preserve">FERNANDES</w:t>
            </w:r>
          </w:p>
          <w:p>
            <w:pPr>
              <w:spacing w:before="0" w:after="0" w:line="322" w:lineRule="exact"/>
              <w:ind w:left="4320" w:firstLine="0"/>
              <w:jc w:val="left"/>
            </w:pPr>
            <w:r>
              <w:t xml:space="preserve">LAUREN</w:t>
            </w:r>
            <w:r>
              <w:t xml:space="preserve"> </w:t>
            </w:r>
            <w:r>
              <w:t xml:space="preserve">K.</w:t>
            </w:r>
            <w:r>
              <w:t xml:space="preserve"> </w:t>
            </w:r>
            <w:r>
              <w:t xml:space="preserve">CHUN</w:t>
            </w:r>
          </w:p>
          <w:p>
            <w:pPr>
              <w:spacing w:before="0" w:after="0" w:line="322" w:lineRule="exact"/>
              <w:ind w:left="4320" w:firstLine="0"/>
              <w:jc w:val="left"/>
            </w:pPr>
            <w:r>
              <w:t xml:space="preserve">THOMAS</w:t>
            </w:r>
            <w:r>
              <w:t xml:space="preserve"> </w:t>
            </w:r>
            <w:r>
              <w:t xml:space="preserve">J.</w:t>
            </w:r>
            <w:r>
              <w:t xml:space="preserve"> </w:t>
            </w:r>
            <w:r>
              <w:t xml:space="preserve">HUGHES</w:t>
            </w:r>
          </w:p>
          <w:p>
            <w:pPr>
              <w:spacing w:before="0" w:after="0" w:line="322" w:lineRule="exact"/>
              <w:ind w:left="4320" w:firstLine="0"/>
              <w:jc w:val="left"/>
            </w:pPr>
            <w:r>
              <w:t xml:space="preserve">CAITLYN</w:t>
            </w:r>
            <w:r>
              <w:t xml:space="preserve"> </w:t>
            </w:r>
            <w:r>
              <w:t xml:space="preserve">B.</w:t>
            </w:r>
            <w:r>
              <w:t xml:space="preserve"> </w:t>
            </w:r>
            <w:r>
              <w:t xml:space="preserve">CARPENTER</w:t>
            </w:r>
          </w:p>
          <w:p>
            <w:pPr>
              <w:spacing w:before="0" w:after="0" w:line="322" w:lineRule="exact"/>
              <w:ind w:left="4320" w:firstLine="0"/>
              <w:jc w:val="left"/>
            </w:pPr>
          </w:p>
          <w:p>
            <w:pPr>
              <w:spacing w:before="0" w:after="0" w:line="322" w:lineRule="exact"/>
              <w:ind w:left="4320" w:firstLine="0"/>
              <w:jc w:val="left"/>
            </w:pPr>
            <w:r>
              <w:t xml:space="preserve">Attorneys</w:t>
            </w:r>
            <w:r>
              <w:t xml:space="preserve"> </w:t>
            </w:r>
            <w:r>
              <w:t xml:space="preserve">for</w:t>
            </w:r>
            <w:r>
              <w:t xml:space="preserve"> </w:t>
            </w:r>
            <w:r>
              <w:t xml:space="preserve">Defendants</w:t>
            </w:r>
          </w:p>
        </w:tc>
      </w:tr>
    </w:tbl>
    <w:p>
      <w:pPr>
        <w:pageBreakBefore/>
        <w:spacing w:before="0" w:after="0" w:line="1" w:lineRule="exact"/>
      </w:pPr>
    </w:p>
    <w:p>
      <w:pPr>
        <w:spacing w:before="0" w:after="322"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25,</w:t>
      </w:r>
      <w:r>
        <w:t xml:space="preserve"> </w:t>
      </w:r>
      <w:r>
        <w:t xml:space="preserve">2025,</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filed</w:t>
      </w:r>
      <w:r>
        <w:t xml:space="preserve"> </w:t>
      </w:r>
      <w:r>
        <w:t xml:space="preserve">electronically</w:t>
      </w:r>
      <w:r>
        <w:t xml:space="preserve"> </w:t>
      </w:r>
      <w:r>
        <w:t xml:space="preserve">through</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notice</w:t>
      </w:r>
      <w:r>
        <w:t xml:space="preserve"> </w:t>
      </w:r>
      <w:r>
        <w:t xml:space="preserve">of</w:t>
      </w:r>
      <w:r>
        <w:t xml:space="preserve"> </w:t>
      </w:r>
      <w:r>
        <w:t xml:space="preserve">the</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322" w:after="0" w:line="322" w:lineRule="exact"/>
        <w:ind w:left="4320" w:firstLine="0"/>
        <w:jc w:val="left"/>
      </w:pPr>
      <w:r>
        <w:t xml:space="preserve">/s/</w:t>
      </w:r>
      <w:r>
        <w:t xml:space="preserve"> </w:t>
      </w:r>
      <w:r>
        <w:t xml:space="preserve">Kalikoʻonālani</w:t>
      </w:r>
      <w:r>
        <w:t xml:space="preserve"> </w:t>
      </w:r>
      <w:r>
        <w:t xml:space="preserve">D.</w:t>
      </w:r>
      <w:r>
        <w:t xml:space="preserve"> </w:t>
      </w:r>
      <w:r>
        <w:t xml:space="preserve">Fernandes</w:t>
      </w:r>
    </w:p>
    <w:p>
      <w:pPr>
        <w:spacing w:before="0" w:after="0" w:line="322" w:lineRule="exact"/>
        <w:ind w:left="4320" w:firstLine="0"/>
        <w:jc w:val="left"/>
      </w:pPr>
      <w:r>
        <w:t xml:space="preserve">KALIKOʻONĀLANI</w:t>
      </w:r>
      <w:r>
        <w:t xml:space="preserve"> </w:t>
      </w:r>
      <w:r>
        <w:t xml:space="preserve">D.</w:t>
      </w:r>
      <w:r>
        <w:t xml:space="preserve"> </w:t>
      </w:r>
      <w:r>
        <w:t xml:space="preserve">FERNANDES</w:t>
      </w:r>
    </w:p>
    <w:p>
      <w:pPr>
        <w:spacing w:before="0" w:after="0" w:line="322" w:lineRule="exact"/>
        <w:ind w:left="4320" w:firstLine="0"/>
        <w:jc w:val="left"/>
      </w:pPr>
      <w:r>
        <w:t xml:space="preserve">Attorneys</w:t>
      </w:r>
      <w:r>
        <w:t xml:space="preserve"> </w:t>
      </w:r>
      <w:r>
        <w:t xml:space="preserve">for</w:t>
      </w:r>
      <w:r>
        <w:t xml:space="preserve"> </w:t>
      </w:r>
      <w:r>
        <w:t xml:space="preserve">Defendants</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Protecting American Energy From State Overreach, Exec. Order No. 14,260, 90 Fed. Reg. 15,513 § 1 (Apr. 14, 2025).</w:t>
      </w:r>
    </w:p>
  </w:footnote>
  <w:footnote w:id="10">
    <w:p>
      <w:pPr>
        <w:pStyle w:val="FootnoteText"/>
      </w:pPr>
      <w:r>
        <w:rPr>
          <w:rStyle w:val="FootnoteReference"/>
        </w:rPr>
        <w:footnoteRef/>
      </w:r>
      <w:r>
        <w:t xml:space="preserve"> </w:t>
      </w:r>
      <w:r>
        <w:rPr>
          <w:i/>
          <w:iCs/>
        </w:rPr>
        <w:t xml:space="preserve">Id.</w:t>
      </w:r>
      <w:r>
        <w:t xml:space="preserve"> </w:t>
      </w:r>
      <w:r>
        <w:t xml:space="preserve">§ 2(a), (b).</w:t>
      </w:r>
    </w:p>
  </w:footnote>
  <w:footnote w:id="11">
    <w:p>
      <w:pPr>
        <w:pStyle w:val="FootnoteText"/>
      </w:pPr>
      <w:r>
        <w:rPr>
          <w:rStyle w:val="FootnoteReference"/>
        </w:rPr>
        <w:footnoteRef/>
      </w:r>
      <w:r>
        <w:t xml:space="preserve"> </w:t>
      </w:r>
      <w:r>
        <w:rPr>
          <w:i/>
          <w:iCs/>
        </w:rPr>
        <w:t xml:space="preserve">Id.</w:t>
      </w:r>
      <w:r>
        <w:t xml:space="preserve"> </w:t>
      </w:r>
      <w:r>
        <w:t xml:space="preserve">§ 1.</w:t>
      </w:r>
    </w:p>
  </w:footnote>
  <w:footnote w:id="12">
    <w:p>
      <w:pPr>
        <w:pStyle w:val="FootnoteText"/>
      </w:pPr>
      <w:r>
        <w:rPr>
          <w:rStyle w:val="FootnoteReference"/>
        </w:rPr>
        <w:footnoteRef/>
      </w:r>
      <w:r>
        <w:t xml:space="preserve"> </w:t>
      </w:r>
      <w:r>
        <w:t xml:space="preserve">The State Action is</w:t>
      </w:r>
      <w:r>
        <w:t xml:space="preserve"> </w:t>
      </w:r>
      <w:r>
        <w:rPr>
          <w:i/>
          <w:iCs/>
        </w:rPr>
        <w:t xml:space="preserve">State ex rel. Lopez v. BP P.L.C.</w:t>
      </w:r>
      <w:r>
        <w:t xml:space="preserve">, No. 1CCV-⁠25-⁠0000717. The State requests that the Court take judicial notice of the State Action complaint, a copy of which is attached as Appendix 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