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2021-KP</w:t>
        <w:noBreakHyphen/>
        <w:t xml:space="preserve">01893</w:t>
      </w:r>
    </w:p>
    <w:p>
      <w:pPr>
        <w:spacing w:before="384" w:after="0" w:line="276" w:lineRule="exact"/>
        <w:ind w:left="0" w:right="4968" w:firstLine="0"/>
        <w:jc w:val="left"/>
      </w:pPr>
      <w:r>
        <w:t xml:space="preserve">STATE</w:t>
      </w:r>
      <w:r>
        <w:t xml:space="preserve"> </w:t>
      </w:r>
      <w:r>
        <w:t xml:space="preserve">OF</w:t>
      </w:r>
      <w:r>
        <w:t xml:space="preserve"> </w:t>
      </w:r>
      <w:r>
        <w:t xml:space="preserve">LOUISIANA</w:t>
      </w:r>
    </w:p>
    <w:p>
      <w:pPr>
        <w:spacing w:before="0" w:after="0" w:line="276" w:lineRule="exact"/>
        <w:ind w:left="720" w:right="4968" w:firstLine="0"/>
        <w:jc w:val="left"/>
      </w:pPr>
      <w:r>
        <w:t xml:space="preserve">Applicant</w:t>
      </w:r>
    </w:p>
    <w:p>
      <w:pPr>
        <w:spacing w:before="192" w:after="192" w:line="276" w:lineRule="exact"/>
        <w:ind w:left="720" w:firstLine="0"/>
        <w:jc w:val="left"/>
      </w:pPr>
      <w:r>
        <w:t xml:space="preserve">V.</w:t>
      </w:r>
    </w:p>
    <w:p>
      <w:pPr>
        <w:spacing w:before="0" w:after="0" w:line="276" w:lineRule="exact"/>
        <w:ind w:left="0" w:right="4968" w:firstLine="0"/>
        <w:jc w:val="left"/>
      </w:pPr>
      <w:r>
        <w:t xml:space="preserve">REGINALD</w:t>
      </w:r>
      <w:r>
        <w:t xml:space="preserve"> </w:t>
      </w:r>
      <w:r>
        <w:t xml:space="preserve">REDDICK</w:t>
      </w:r>
    </w:p>
    <w:p>
      <w:pPr>
        <w:spacing w:before="0" w:after="0" w:line="276" w:lineRule="exact"/>
        <w:ind w:left="720" w:right="4968" w:firstLine="0"/>
        <w:jc w:val="left"/>
      </w:pPr>
      <w:r>
        <w:t xml:space="preserve">Respondent</w:t>
      </w:r>
    </w:p>
    <w:p>
      <w:pPr>
        <w:spacing w:before="288" w:after="0" w:line="276" w:lineRule="exact"/>
        <w:ind w:left="0" w:firstLine="0"/>
        <w:jc w:val="center"/>
      </w:pPr>
      <w:r>
        <w:t xml:space="preserve">On</w:t>
      </w:r>
      <w:r>
        <w:t xml:space="preserve"> </w:t>
      </w:r>
      <w:r>
        <w:t xml:space="preserve">Supervisory</w:t>
      </w:r>
      <w:r>
        <w:t xml:space="preserve"> </w:t>
      </w:r>
      <w:r>
        <w:t xml:space="preserve">and/​or</w:t>
      </w:r>
      <w:r>
        <w:t xml:space="preserve"> </w:t>
      </w:r>
      <w:r>
        <w:t xml:space="preserve">Remedial</w:t>
      </w:r>
      <w:r>
        <w:t xml:space="preserve"> </w:t>
      </w:r>
      <w:r>
        <w:t xml:space="preserve">Writs</w:t>
      </w:r>
    </w:p>
    <w:p>
      <w:pPr>
        <w:spacing w:before="0" w:after="0" w:line="276" w:lineRule="exact"/>
        <w:ind w:left="0" w:firstLine="0"/>
        <w:jc w:val="center"/>
      </w:pPr>
      <w:r>
        <w:t xml:space="preserve">Twenty-Fifth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Plaquemines,</w:t>
      </w:r>
      <w:r>
        <w:t xml:space="preserve"> </w:t>
      </w:r>
      <w:r>
        <w:t xml:space="preserve">No.</w:t>
      </w:r>
      <w:r>
        <w:t xml:space="preserve"> </w:t>
      </w:r>
      <w:r>
        <w:t xml:space="preserve">93</w:t>
        <w:noBreakHyphen/>
        <w:t xml:space="preserve">03922;</w:t>
      </w:r>
    </w:p>
    <w:p>
      <w:pPr>
        <w:spacing w:before="0" w:after="0" w:line="276" w:lineRule="exact"/>
        <w:ind w:left="0" w:firstLine="0"/>
        <w:jc w:val="center"/>
      </w:pPr>
      <w:r>
        <w:t xml:space="preserve">Court</w:t>
      </w:r>
      <w:r>
        <w:t xml:space="preserve"> </w:t>
      </w:r>
      <w:r>
        <w:t xml:space="preserve">of</w:t>
      </w:r>
      <w:r>
        <w:t xml:space="preserve"> </w:t>
      </w:r>
      <w:r>
        <w:t xml:space="preserve">Appeal,</w:t>
      </w:r>
      <w:r>
        <w:t xml:space="preserve"> </w:t>
      </w:r>
      <w:r>
        <w:t xml:space="preserve">Fourth</w:t>
      </w:r>
      <w:r>
        <w:t xml:space="preserve"> </w:t>
      </w:r>
      <w:r>
        <w:t xml:space="preserve">Circuit,</w:t>
      </w:r>
      <w:r>
        <w:t xml:space="preserve"> </w:t>
      </w:r>
      <w:r>
        <w:t xml:space="preserve">No.</w:t>
      </w:r>
      <w:r>
        <w:t xml:space="preserve"> </w:t>
      </w:r>
      <w:r>
        <w:t xml:space="preserve">2021-K</w:t>
        <w:noBreakHyphen/>
        <w:t xml:space="preserve">0589</w:t>
      </w:r>
    </w:p>
    <w:p>
      <w:pPr>
        <w:spacing w:before="384" w:after="0" w:line="276" w:lineRule="exact"/>
        <w:ind w:left="0" w:firstLine="0"/>
        <w:jc w:val="center"/>
      </w:pPr>
      <w:r>
        <w:rPr>
          <w:b/>
          <w:bCs/>
        </w:rPr>
        <w:t xml:space="preserve">Louisiana’s</w:t>
      </w:r>
      <w:r>
        <w:rPr>
          <w:b/>
          <w:bCs/>
        </w:rPr>
        <w:t xml:space="preserve"> </w:t>
      </w:r>
      <w:r>
        <w:rPr>
          <w:b/>
          <w:bCs/>
        </w:rPr>
        <w:t xml:space="preserve">Reply</w:t>
      </w:r>
      <w:r>
        <w:rPr>
          <w:b/>
          <w:bCs/>
        </w:rPr>
        <w:t xml:space="preserve"> </w:t>
      </w:r>
      <w:r>
        <w:rPr>
          <w:b/>
          <w:bCs/>
        </w:rPr>
        <w:t xml:space="preserve">Brief</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JEFF</w:t>
            </w:r>
            <w:r>
              <w:t xml:space="preserve"> </w:t>
            </w:r>
            <w:r>
              <w:t xml:space="preserve">LANDRY</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r>
              <w:t xml:space="preserve">ELIZABETH</w:t>
            </w:r>
            <w:r>
              <w:t xml:space="preserve"> </w:t>
            </w:r>
            <w:r>
              <w:t xml:space="preserve">BAKER</w:t>
            </w:r>
            <w:r>
              <w:t xml:space="preserve"> </w:t>
            </w:r>
            <w:r>
              <w:t xml:space="preserve">MURRILL</w:t>
            </w:r>
            <w:r>
              <w:t xml:space="preserve"> </w:t>
            </w:r>
            <w:r>
              <w:t xml:space="preserve">(#20685)</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SHAE</w:t>
            </w:r>
            <w:r>
              <w:t xml:space="preserve"> </w:t>
            </w:r>
            <w:r>
              <w:t xml:space="preserve">MCPHEE</w:t>
            </w:r>
            <w:r>
              <w:t xml:space="preserve"> </w:t>
            </w:r>
            <w:r>
              <w:t xml:space="preserve">(#38565)</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Lead</w:t>
            </w:r>
            <w:r>
              <w:t xml:space="preserve"> </w:t>
            </w:r>
            <w:r>
              <w:t xml:space="preserve">Counsel</w:t>
            </w:r>
          </w:p>
          <w:p>
            <w:pPr>
              <w:spacing w:before="0" w:after="0" w:line="276" w:lineRule="exact"/>
              <w:ind w:left="0" w:firstLine="0"/>
              <w:jc w:val="left"/>
            </w:pPr>
            <w:r>
              <w:t xml:space="preserve">J.</w:t>
            </w:r>
            <w:r>
              <w:t xml:space="preserve"> </w:t>
            </w:r>
            <w:r>
              <w:t xml:space="preserve">Taylor</w:t>
            </w:r>
            <w:r>
              <w:t xml:space="preserve"> </w:t>
            </w:r>
            <w:r>
              <w:t xml:space="preserve">Gray</w:t>
            </w:r>
            <w:r>
              <w:t xml:space="preserve"> </w:t>
            </w:r>
            <w:r>
              <w:t xml:space="preserve">(#33562)</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1850</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0" w:firstLine="0"/>
              <w:jc w:val="left"/>
            </w:pPr>
            <w:r>
              <w:t xml:space="preserve">Telephone:</w:t>
            </w:r>
            <w:r>
              <w:t xml:space="preserve"> </w:t>
            </w:r>
            <w:r>
              <w:t xml:space="preserve">(225)</w:t>
            </w:r>
            <w:r>
              <w:t xml:space="preserve"> </w:t>
            </w:r>
            <w:r>
              <w:t xml:space="preserve">938</w:t>
              <w:noBreakHyphen/>
              <w:t xml:space="preserve">0779</w:t>
            </w:r>
          </w:p>
          <w:p>
            <w:pPr>
              <w:spacing w:before="0" w:after="0" w:line="276" w:lineRule="exact"/>
              <w:ind w:left="0" w:firstLine="0"/>
              <w:jc w:val="left"/>
            </w:pPr>
            <w:r>
              <w:t xml:space="preserve">Facsimile:</w:t>
            </w:r>
            <w:r>
              <w:t xml:space="preserve"> </w:t>
            </w:r>
            <w:r>
              <w:t xml:space="preserve">(504)</w:t>
            </w:r>
            <w:r>
              <w:t xml:space="preserve"> </w:t>
            </w:r>
            <w:r>
              <w:t xml:space="preserve">556</w:t>
              <w:noBreakHyphen/>
              <w:t xml:space="preserve">9900</w:t>
            </w:r>
          </w:p>
          <w:p>
            <w:pPr>
              <w:spacing w:before="0" w:after="0" w:line="276" w:lineRule="exact"/>
              <w:ind w:left="0" w:firstLine="0"/>
              <w:jc w:val="left"/>
            </w:pPr>
            <w:r>
              <w:t xml:space="preserve">mcphees@ag.louisiana.gov</w:t>
            </w:r>
          </w:p>
        </w:tc>
        <w:tc>
          <w:tcPr>
            <w:tcW w:w="4896" w:type="dxa"/>
            <w:tcMar>
              <w:left w:w="432" w:type="dxa"/>
            </w:tcMar>
          </w:tcPr>
          <w:p>
            <w:pPr>
              <w:spacing w:before="0" w:after="0" w:line="276" w:lineRule="exact"/>
              <w:ind w:left="0" w:firstLine="0"/>
              <w:jc w:val="left"/>
            </w:pPr>
            <w:r>
              <w:t xml:space="preserve">CHARLES</w:t>
            </w:r>
            <w:r>
              <w:t xml:space="preserve"> </w:t>
            </w:r>
            <w:r>
              <w:t xml:space="preserve">J.</w:t>
            </w:r>
            <w:r>
              <w:t xml:space="preserve"> </w:t>
            </w:r>
            <w:r>
              <w:t xml:space="preserve">BALLAY</w:t>
            </w:r>
            <w:r>
              <w:t xml:space="preserve"> </w:t>
            </w:r>
            <w:r>
              <w:t xml:space="preserve">(#2719)</w:t>
            </w:r>
          </w:p>
          <w:p>
            <w:pPr>
              <w:spacing w:before="0" w:after="0" w:line="276" w:lineRule="exact"/>
              <w:ind w:left="0" w:firstLine="0"/>
              <w:jc w:val="left"/>
            </w:pPr>
            <w:r>
              <w:t xml:space="preserve">DISTRICT</w:t>
            </w:r>
            <w:r>
              <w:t xml:space="preserve"> </w:t>
            </w:r>
            <w:r>
              <w:t xml:space="preserve">ATTORNEY</w:t>
            </w:r>
          </w:p>
          <w:p>
            <w:pPr>
              <w:spacing w:before="0" w:after="0" w:line="276" w:lineRule="exact"/>
              <w:ind w:left="0" w:firstLine="0"/>
              <w:jc w:val="left"/>
            </w:pPr>
            <w:r>
              <w:t xml:space="preserve">25th</w:t>
            </w:r>
            <w:r>
              <w:t xml:space="preserve"> </w:t>
            </w:r>
            <w:r>
              <w:t xml:space="preserve">Judicial</w:t>
            </w:r>
            <w:r>
              <w:t xml:space="preserve"> </w:t>
            </w:r>
            <w:r>
              <w:t xml:space="preserve">District</w:t>
            </w:r>
          </w:p>
          <w:p>
            <w:pPr>
              <w:spacing w:before="0" w:after="0" w:line="276" w:lineRule="exact"/>
              <w:ind w:left="0" w:firstLine="0"/>
              <w:jc w:val="left"/>
            </w:pPr>
            <w:r>
              <w:t xml:space="preserve">333</w:t>
            </w:r>
            <w:r>
              <w:t xml:space="preserve"> </w:t>
            </w:r>
            <w:r>
              <w:t xml:space="preserve">F.</w:t>
            </w:r>
            <w:r>
              <w:t xml:space="preserve"> </w:t>
            </w:r>
            <w:r>
              <w:t xml:space="preserve">Edward</w:t>
            </w:r>
            <w:r>
              <w:t xml:space="preserve"> </w:t>
            </w:r>
            <w:r>
              <w:t xml:space="preserve">Hebert</w:t>
            </w:r>
            <w:r>
              <w:t xml:space="preserve"> </w:t>
            </w:r>
            <w:r>
              <w:t xml:space="preserve">Blvd.,</w:t>
            </w:r>
            <w:r>
              <w:t xml:space="preserve"> </w:t>
            </w:r>
            <w:r>
              <w:t xml:space="preserve">Bldg.</w:t>
            </w:r>
            <w:r>
              <w:t xml:space="preserve"> </w:t>
            </w:r>
            <w:r>
              <w:t xml:space="preserve">201</w:t>
            </w:r>
          </w:p>
          <w:p>
            <w:pPr>
              <w:spacing w:before="0" w:after="0" w:line="276" w:lineRule="exact"/>
              <w:ind w:left="0" w:firstLine="0"/>
              <w:jc w:val="left"/>
            </w:pPr>
            <w:r>
              <w:t xml:space="preserve">Belle</w:t>
            </w:r>
            <w:r>
              <w:t xml:space="preserve"> </w:t>
            </w:r>
            <w:r>
              <w:t xml:space="preserve">Chasse,</w:t>
            </w:r>
            <w:r>
              <w:t xml:space="preserve"> </w:t>
            </w:r>
            <w:r>
              <w:t xml:space="preserve">LA</w:t>
            </w:r>
            <w:r>
              <w:t xml:space="preserve"> </w:t>
            </w:r>
            <w:r>
              <w:t xml:space="preserve">70037</w:t>
            </w:r>
          </w:p>
          <w:p>
            <w:pPr>
              <w:spacing w:before="0" w:after="0" w:line="276" w:lineRule="exact"/>
              <w:ind w:left="0" w:firstLine="0"/>
              <w:jc w:val="left"/>
            </w:pPr>
            <w:r>
              <w:t xml:space="preserve">Telephone:</w:t>
            </w:r>
            <w:r>
              <w:t xml:space="preserve"> </w:t>
            </w:r>
            <w:r>
              <w:t xml:space="preserve">(504)</w:t>
            </w:r>
            <w:r>
              <w:t xml:space="preserve"> </w:t>
            </w:r>
            <w:r>
              <w:t xml:space="preserve">934</w:t>
              <w:noBreakHyphen/>
              <w:t xml:space="preserve">6630</w:t>
            </w:r>
          </w:p>
          <w:p>
            <w:pPr>
              <w:spacing w:before="0" w:after="0" w:line="276" w:lineRule="exact"/>
              <w:ind w:left="0" w:firstLine="0"/>
              <w:jc w:val="left"/>
            </w:pPr>
            <w:r>
              <w:t xml:space="preserve">charlesballay@25thda.org</w:t>
            </w: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0" w:right="720" w:firstLine="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w:t>
      </w:r>
    </w:p>
    <w:p>
      <w:pPr>
        <w:keepLines/>
        <w:tabs>
          <w:tab w:val="right" w:leader="dot" w:pos="9360"/>
        </w:tabs>
        <w:spacing w:before="276" w:after="0" w:line="276" w:lineRule="exact"/>
        <w:ind w:left="0" w:right="720" w:firstLine="0"/>
      </w:pPr>
      <w:r>
        <w:t xml:space="preserve">ARGUMENT</w:t>
      </w:r>
      <w:r>
        <w:t xml:space="preserve">   </w:t>
      </w:r>
      <w:r>
        <w:tab/>
      </w:r>
      <w:r>
        <w:t xml:space="preserve">1</w:t>
      </w:r>
    </w:p>
    <w:p>
      <w:pPr>
        <w:keepLines/>
        <w:tabs>
          <w:tab w:val="right" w:leader="dot" w:pos="9360"/>
        </w:tabs>
        <w:spacing w:before="276" w:after="0" w:line="276" w:lineRule="exact"/>
        <w:ind w:left="0" w:right="720" w:firstLine="0"/>
      </w:pPr>
      <w:r>
        <w:t xml:space="preserve">I.</w:t>
      </w:r>
      <w:r>
        <w:t xml:space="preserve"> </w:t>
      </w:r>
      <w:r>
        <w:t xml:space="preserve">LOUISIANA’S</w:t>
      </w:r>
      <w:r>
        <w:t xml:space="preserve"> </w:t>
      </w:r>
      <w:r>
        <w:t xml:space="preserve">CONSTITUTION</w:t>
      </w:r>
      <w:r>
        <w:t xml:space="preserve"> </w:t>
      </w:r>
      <w:r>
        <w:t xml:space="preserve">APPLIES</w:t>
      </w:r>
      <w:r>
        <w:t xml:space="preserve"> </w:t>
      </w:r>
      <w:r>
        <w:t xml:space="preserve">UNANIMITY</w:t>
      </w:r>
      <w:r>
        <w:t xml:space="preserve"> </w:t>
      </w:r>
      <w:r>
        <w:t xml:space="preserve">PROSPECTIVELY</w:t>
      </w:r>
      <w:r>
        <w:t xml:space="preserve">   </w:t>
      </w:r>
      <w:r>
        <w:tab/>
      </w:r>
      <w:r>
        <w:t xml:space="preserve">1</w:t>
      </w:r>
    </w:p>
    <w:p>
      <w:pPr>
        <w:keepLines/>
        <w:tabs>
          <w:tab w:val="right" w:leader="dot" w:pos="9360"/>
        </w:tabs>
        <w:spacing w:before="276" w:after="0" w:line="276" w:lineRule="exact"/>
        <w:ind w:left="0" w:right="720" w:firstLine="0"/>
      </w:pPr>
      <w:r>
        <w:t xml:space="preserve">II.</w:t>
      </w:r>
      <w:r>
        <w:t xml:space="preserve"> </w:t>
      </w:r>
      <w:r>
        <w:t xml:space="preserve">THIS</w:t>
      </w:r>
      <w:r>
        <w:t xml:space="preserve"> </w:t>
      </w:r>
      <w:r>
        <w:t xml:space="preserve">COURT</w:t>
      </w:r>
      <w:r>
        <w:t xml:space="preserve"> </w:t>
      </w:r>
      <w:r>
        <w:t xml:space="preserve">HAS</w:t>
      </w:r>
      <w:r>
        <w:t xml:space="preserve"> </w:t>
      </w:r>
      <w:r>
        <w:t xml:space="preserve">ALREADY</w:t>
      </w:r>
      <w:r>
        <w:t xml:space="preserve"> </w:t>
      </w:r>
      <w:r>
        <w:t xml:space="preserve">CONCLUDED</w:t>
      </w:r>
      <w:r>
        <w:t xml:space="preserve"> </w:t>
      </w:r>
      <w:r>
        <w:t xml:space="preserve">MAXIE</w:t>
      </w:r>
      <w:r>
        <w:t xml:space="preserve"> </w:t>
      </w:r>
      <w:r>
        <w:t xml:space="preserve">IS</w:t>
      </w:r>
      <w:r>
        <w:t xml:space="preserve"> </w:t>
      </w:r>
      <w:r>
        <w:t xml:space="preserve">NOT</w:t>
      </w:r>
      <w:r>
        <w:t xml:space="preserve"> </w:t>
      </w:r>
      <w:r>
        <w:t xml:space="preserve">BINDING</w:t>
      </w:r>
      <w:r>
        <w:t xml:space="preserve">   </w:t>
      </w:r>
      <w:r>
        <w:tab/>
      </w:r>
      <w:r>
        <w:t xml:space="preserve">3</w:t>
      </w:r>
    </w:p>
    <w:p>
      <w:pPr>
        <w:keepLines/>
        <w:tabs>
          <w:tab w:val="right" w:leader="dot" w:pos="9360"/>
        </w:tabs>
        <w:spacing w:before="276" w:after="0" w:line="276" w:lineRule="exact"/>
        <w:ind w:left="0" w:right="720" w:firstLine="0"/>
      </w:pPr>
      <w:r>
        <w:t xml:space="preserve">III.</w:t>
      </w:r>
      <w:r>
        <w:t xml:space="preserve"> </w:t>
      </w:r>
      <w:r>
        <w:t xml:space="preserve">THE</w:t>
      </w:r>
      <w:r>
        <w:t xml:space="preserve"> </w:t>
      </w:r>
      <w:r>
        <w:t xml:space="preserve">COURT</w:t>
      </w:r>
      <w:r>
        <w:t xml:space="preserve"> </w:t>
      </w:r>
      <w:r>
        <w:t xml:space="preserve">SHOULD</w:t>
      </w:r>
      <w:r>
        <w:t xml:space="preserve"> </w:t>
      </w:r>
      <w:r>
        <w:t xml:space="preserve">NOT</w:t>
      </w:r>
      <w:r>
        <w:t xml:space="preserve"> </w:t>
      </w:r>
      <w:r>
        <w:t xml:space="preserve">ADD</w:t>
      </w:r>
      <w:r>
        <w:t xml:space="preserve"> </w:t>
      </w:r>
      <w:r>
        <w:t xml:space="preserve">EXCEPTIONS</w:t>
      </w:r>
      <w:r>
        <w:t xml:space="preserve"> </w:t>
      </w:r>
      <w:r>
        <w:t xml:space="preserve">TO</w:t>
      </w:r>
      <w:r>
        <w:t xml:space="preserve"> </w:t>
      </w:r>
      <w:r>
        <w:t xml:space="preserve">THE</w:t>
      </w:r>
      <w:r>
        <w:t xml:space="preserve"> </w:t>
      </w:r>
      <w:r>
        <w:t xml:space="preserve">RETROACTIVITY</w:t>
      </w:r>
      <w:r>
        <w:t xml:space="preserve"> </w:t>
      </w:r>
      <w:r>
        <w:t xml:space="preserve">BAR</w:t>
      </w:r>
      <w:r>
        <w:t xml:space="preserve">   </w:t>
      </w:r>
      <w:r>
        <w:tab/>
      </w:r>
      <w:r>
        <w:t xml:space="preserve">4</w:t>
      </w:r>
    </w:p>
    <w:p>
      <w:pPr>
        <w:keepLines/>
        <w:tabs>
          <w:tab w:val="right" w:leader="dot" w:pos="9360"/>
        </w:tabs>
        <w:spacing w:before="276" w:after="0" w:line="276" w:lineRule="exact"/>
        <w:ind w:left="0" w:right="720" w:firstLine="0"/>
      </w:pPr>
      <w:r>
        <w:t xml:space="preserve">CONCLUSION</w:t>
      </w:r>
      <w:r>
        <w:t xml:space="preserve">   </w:t>
      </w:r>
      <w:r>
        <w:tab/>
      </w:r>
      <w:r>
        <w:t xml:space="preserve">5</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Apodaca</w:t>
      </w:r>
      <w:r>
        <w:rPr>
          <w:i/>
          <w:iCs/>
        </w:rPr>
        <w:t xml:space="preserve"> </w:t>
      </w:r>
      <w:r>
        <w:rPr>
          <w:i/>
          <w:iCs/>
        </w:rPr>
        <w:t xml:space="preserve">v.</w:t>
      </w:r>
      <w:r>
        <w:rPr>
          <w:i/>
          <w:iCs/>
        </w:rPr>
        <w:t xml:space="preserve"> </w:t>
      </w:r>
      <w:r>
        <w:rPr>
          <w:i/>
          <w:iCs/>
        </w:rPr>
        <w:t xml:space="preserve">Oregon</w:t>
      </w:r>
      <w:r>
        <w:t xml:space="preserve"> </w:t>
      </w:r>
      <w:r>
        <w:t xml:space="preserve">406</w:t>
      </w:r>
      <w:r>
        <w:t xml:space="preserve"> </w:t>
      </w:r>
      <w:r>
        <w:t xml:space="preserve">U.S.</w:t>
      </w:r>
      <w:r>
        <w:t xml:space="preserve"> </w:t>
      </w:r>
      <w:r>
        <w:t xml:space="preserve">404</w:t>
      </w:r>
      <w:r>
        <w:t xml:space="preserve"> </w:t>
      </w:r>
      <w:r>
        <w:t xml:space="preserve">(1972)</w:t>
      </w:r>
      <w:r>
        <w:t xml:space="preserve">   </w:t>
      </w:r>
      <w:r>
        <w:tab/>
      </w:r>
      <w:r>
        <w:t xml:space="preserve">4</w:t>
      </w:r>
    </w:p>
    <w:p>
      <w:pPr>
        <w:keepLines/>
        <w:tabs>
          <w:tab w:val="right" w:leader="dot" w:pos="9360"/>
        </w:tabs>
        <w:spacing w:before="144" w:after="0" w:line="276" w:lineRule="exact"/>
        <w:ind w:left="576" w:right="1120" w:hanging="576"/>
      </w:pPr>
      <w:r>
        <w:rPr>
          <w:i/>
          <w:iCs/>
        </w:rPr>
        <w:t xml:space="preserve">Batson</w:t>
      </w:r>
      <w:r>
        <w:rPr>
          <w:i/>
          <w:iCs/>
        </w:rPr>
        <w:t xml:space="preserve"> </w:t>
      </w:r>
      <w:r>
        <w:rPr>
          <w:i/>
          <w:iCs/>
        </w:rPr>
        <w:t xml:space="preserve">v.</w:t>
      </w:r>
      <w:r>
        <w:rPr>
          <w:i/>
          <w:iCs/>
        </w:rPr>
        <w:t xml:space="preserve"> </w:t>
      </w:r>
      <w:r>
        <w:rPr>
          <w:i/>
          <w:iCs/>
        </w:rPr>
        <w:t xml:space="preserve">Kentucky</w:t>
      </w:r>
      <w:r>
        <w:t xml:space="preserve"> </w:t>
      </w:r>
      <w:r>
        <w:t xml:space="preserve">476</w:t>
      </w:r>
      <w:r>
        <w:t xml:space="preserve"> </w:t>
      </w:r>
      <w:r>
        <w:t xml:space="preserve">U.S.</w:t>
      </w:r>
      <w:r>
        <w:t xml:space="preserve"> </w:t>
      </w:r>
      <w:r>
        <w:t xml:space="preserve">79</w:t>
      </w:r>
      <w:r>
        <w:t xml:space="preserve"> </w:t>
      </w:r>
      <w:r>
        <w:t xml:space="preserve">(1986)</w:t>
      </w:r>
      <w:r>
        <w:t xml:space="preserve">   </w:t>
      </w:r>
      <w:r>
        <w:tab/>
      </w:r>
      <w:r>
        <w:t xml:space="preserve">1</w:t>
      </w:r>
    </w:p>
    <w:p>
      <w:pPr>
        <w:keepLines/>
        <w:tabs>
          <w:tab w:val="right" w:leader="dot" w:pos="9360"/>
        </w:tabs>
        <w:spacing w:before="144" w:after="0" w:line="276" w:lineRule="exact"/>
        <w:ind w:left="576" w:right="1120" w:hanging="576"/>
      </w:pPr>
      <w:r>
        <w:rPr>
          <w:i/>
          <w:iCs/>
        </w:rPr>
        <w:t xml:space="preserve">Edwards</w:t>
      </w:r>
      <w:r>
        <w:rPr>
          <w:i/>
          <w:iCs/>
        </w:rPr>
        <w:t xml:space="preserve"> </w:t>
      </w:r>
      <w:r>
        <w:rPr>
          <w:i/>
          <w:iCs/>
        </w:rPr>
        <w:t xml:space="preserve">v.</w:t>
      </w:r>
      <w:r>
        <w:rPr>
          <w:i/>
          <w:iCs/>
        </w:rPr>
        <w:t xml:space="preserve"> </w:t>
      </w:r>
      <w:r>
        <w:rPr>
          <w:i/>
          <w:iCs/>
        </w:rPr>
        <w:t xml:space="preserve">Vannoy</w:t>
      </w:r>
      <w:r>
        <w:t xml:space="preserve"> </w:t>
      </w:r>
      <w:r>
        <w:t xml:space="preserve">141</w:t>
      </w:r>
      <w:r>
        <w:t xml:space="preserve"> </w:t>
      </w:r>
      <w:r>
        <w:t xml:space="preserve">S.</w:t>
      </w:r>
      <w:r>
        <w:t xml:space="preserve"> </w:t>
      </w:r>
      <w:r>
        <w:t xml:space="preserve">Ct.</w:t>
      </w:r>
      <w:r>
        <w:t xml:space="preserve"> </w:t>
      </w:r>
      <w:r>
        <w:t xml:space="preserve">1547</w:t>
      </w:r>
      <w:r>
        <w:t xml:space="preserve"> </w:t>
      </w:r>
      <w:r>
        <w:t xml:space="preserve">(2021)</w:t>
      </w:r>
      <w:r>
        <w:t xml:space="preserve">   </w:t>
      </w:r>
      <w:r>
        <w:tab/>
      </w:r>
      <w:r>
        <w:t xml:space="preserve">1, 4</w:t>
      </w:r>
    </w:p>
    <w:p>
      <w:pPr>
        <w:keepLines/>
        <w:tabs>
          <w:tab w:val="right" w:leader="dot" w:pos="9360"/>
        </w:tabs>
        <w:spacing w:before="144" w:after="0" w:line="276" w:lineRule="exact"/>
        <w:ind w:left="576" w:right="1120" w:hanging="576"/>
      </w:pPr>
      <w:r>
        <w:rPr>
          <w:i/>
          <w:iCs/>
        </w:rPr>
        <w:t xml:space="preserve">Ramos</w:t>
      </w:r>
      <w:r>
        <w:rPr>
          <w:i/>
          <w:iCs/>
        </w:rPr>
        <w:t xml:space="preserve"> </w:t>
      </w:r>
      <w:r>
        <w:rPr>
          <w:i/>
          <w:iCs/>
        </w:rPr>
        <w:t xml:space="preserve">v.</w:t>
      </w:r>
      <w:r>
        <w:rPr>
          <w:i/>
          <w:iCs/>
        </w:rPr>
        <w:t xml:space="preserve"> </w:t>
      </w:r>
      <w:r>
        <w:rPr>
          <w:i/>
          <w:iCs/>
        </w:rPr>
        <w:t xml:space="preserve">Louisiana</w:t>
      </w:r>
      <w:r>
        <w:t xml:space="preserve"> </w:t>
      </w:r>
      <w:r>
        <w:t xml:space="preserve">139</w:t>
      </w:r>
      <w:r>
        <w:t xml:space="preserve"> </w:t>
      </w:r>
      <w:r>
        <w:t xml:space="preserve">S.</w:t>
      </w:r>
      <w:r>
        <w:t xml:space="preserve"> </w:t>
      </w:r>
      <w:r>
        <w:t xml:space="preserve">Ct.</w:t>
      </w:r>
      <w:r>
        <w:t xml:space="preserve"> </w:t>
      </w:r>
      <w:r>
        <w:t xml:space="preserve">1318</w:t>
      </w:r>
      <w:r>
        <w:t xml:space="preserve"> </w:t>
      </w:r>
      <w:r>
        <w:t xml:space="preserve">(2019)</w:t>
      </w:r>
      <w:r>
        <w:t xml:space="preserve">   </w:t>
      </w:r>
      <w:r>
        <w:tab/>
      </w:r>
      <w:r>
        <w:t xml:space="preserve">2</w:t>
      </w:r>
    </w:p>
    <w:p>
      <w:pPr>
        <w:keepLines/>
        <w:tabs>
          <w:tab w:val="right" w:leader="dot" w:pos="9360"/>
        </w:tabs>
        <w:spacing w:before="144" w:after="0" w:line="276" w:lineRule="exact"/>
        <w:ind w:left="576" w:right="1120" w:hanging="576"/>
      </w:pPr>
      <w:r>
        <w:rPr>
          <w:i/>
          <w:iCs/>
        </w:rPr>
        <w:t xml:space="preserve">Ramos</w:t>
      </w:r>
      <w:r>
        <w:rPr>
          <w:i/>
          <w:iCs/>
        </w:rPr>
        <w:t xml:space="preserve"> </w:t>
      </w:r>
      <w:r>
        <w:rPr>
          <w:i/>
          <w:iCs/>
        </w:rPr>
        <w:t xml:space="preserve">v.</w:t>
      </w:r>
      <w:r>
        <w:rPr>
          <w:i/>
          <w:iCs/>
        </w:rPr>
        <w:t xml:space="preserve"> </w:t>
      </w:r>
      <w:r>
        <w:rPr>
          <w:i/>
          <w:iCs/>
        </w:rPr>
        <w:t xml:space="preserve">Louisiana</w:t>
      </w:r>
      <w:r>
        <w:t xml:space="preserve"> </w:t>
      </w:r>
      <w:r>
        <w:t xml:space="preserve">140</w:t>
      </w:r>
      <w:r>
        <w:t xml:space="preserve"> </w:t>
      </w:r>
      <w:r>
        <w:t xml:space="preserve">S.</w:t>
      </w:r>
      <w:r>
        <w:t xml:space="preserve"> </w:t>
      </w:r>
      <w:r>
        <w:t xml:space="preserve">Ct.</w:t>
      </w:r>
      <w:r>
        <w:t xml:space="preserve"> </w:t>
      </w:r>
      <w:r>
        <w:t xml:space="preserve">1390</w:t>
      </w:r>
      <w:r>
        <w:t xml:space="preserve"> </w:t>
      </w:r>
      <w:r>
        <w:t xml:space="preserve">(2020)</w:t>
      </w:r>
      <w:r>
        <w:t xml:space="preserve">   </w:t>
      </w:r>
      <w:r>
        <w:tab/>
      </w:r>
      <w:r>
        <w:t xml:space="preserve">1, 2, 5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Taylor</w:t>
      </w:r>
      <w:r>
        <w:rPr>
          <w:i/>
          <w:iCs/>
        </w:rPr>
        <w:t xml:space="preserve"> </w:t>
      </w:r>
      <w:r>
        <w:rPr>
          <w:i/>
          <w:iCs/>
        </w:rPr>
        <w:t xml:space="preserve">v.</w:t>
      </w:r>
      <w:r>
        <w:rPr>
          <w:i/>
          <w:iCs/>
        </w:rPr>
        <w:t xml:space="preserve"> </w:t>
      </w:r>
      <w:r>
        <w:rPr>
          <w:i/>
          <w:iCs/>
        </w:rPr>
        <w:t xml:space="preserve">Whitley</w:t>
      </w:r>
      <w:r>
        <w:t xml:space="preserve"> </w:t>
      </w:r>
      <w:r>
        <w:t xml:space="preserve">606</w:t>
      </w:r>
      <w:r>
        <w:t xml:space="preserve"> </w:t>
      </w:r>
      <w:r>
        <w:t xml:space="preserve">So.</w:t>
      </w:r>
      <w:r>
        <w:t xml:space="preserve"> </w:t>
      </w:r>
      <w:r>
        <w:t xml:space="preserve">2d</w:t>
      </w:r>
      <w:r>
        <w:t xml:space="preserve"> </w:t>
      </w:r>
      <w:r>
        <w:t xml:space="preserve">1292</w:t>
      </w:r>
      <w:r>
        <w:t xml:space="preserve"> </w:t>
      </w:r>
      <w:r>
        <w:t xml:space="preserve">(La.</w:t>
      </w:r>
      <w:r>
        <w:t xml:space="preserve"> </w:t>
      </w:r>
      <w:r>
        <w:t xml:space="preserve">1992)</w:t>
      </w:r>
      <w:r>
        <w:t xml:space="preserve">   </w:t>
      </w:r>
      <w:r>
        <w:tab/>
      </w:r>
      <w:r>
        <w:t xml:space="preserve">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Hatton</w:t>
      </w:r>
      <w:r>
        <w:t xml:space="preserve"> </w:t>
      </w:r>
      <w:r>
        <w:t xml:space="preserve">2007</w:t>
        <w:noBreakHyphen/>
        <w:t xml:space="preserve">2377</w:t>
      </w:r>
      <w:r>
        <w:t xml:space="preserve"> </w:t>
      </w:r>
      <w:r>
        <w:t xml:space="preserve">(La.</w:t>
      </w:r>
      <w:r>
        <w:t xml:space="preserve"> </w:t>
      </w:r>
      <w:r>
        <w:t xml:space="preserve">7/1/08),</w:t>
      </w:r>
      <w:r>
        <w:t xml:space="preserve"> </w:t>
      </w:r>
      <w:r>
        <w:t xml:space="preserve">985</w:t>
      </w:r>
      <w:r>
        <w:t xml:space="preserve"> </w:t>
      </w:r>
      <w:r>
        <w:t xml:space="preserve">So.</w:t>
      </w:r>
      <w:r>
        <w:t xml:space="preserve"> </w:t>
      </w:r>
      <w:r>
        <w:t xml:space="preserve">2d</w:t>
      </w:r>
      <w:r>
        <w:t xml:space="preserve"> </w:t>
      </w:r>
      <w:r>
        <w:t xml:space="preserve">709</w:t>
      </w:r>
      <w:r>
        <w:t xml:space="preserve">   </w:t>
      </w:r>
      <w:r>
        <w:tab/>
      </w:r>
      <w:r>
        <w:t xml:space="preserve">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Hodge</w:t>
      </w:r>
      <w:r>
        <w:t xml:space="preserve"> </w:t>
      </w:r>
      <w:r>
        <w:t xml:space="preserve">2019</w:t>
        <w:noBreakHyphen/>
        <w:t xml:space="preserve">0568</w:t>
      </w:r>
      <w:r>
        <w:t xml:space="preserve"> </w:t>
      </w:r>
      <w:r>
        <w:t xml:space="preserve">(La.</w:t>
      </w:r>
      <w:r>
        <w:t xml:space="preserve"> </w:t>
      </w:r>
      <w:r>
        <w:t xml:space="preserve">11/19/19),</w:t>
      </w:r>
      <w:r>
        <w:t xml:space="preserve"> </w:t>
      </w:r>
      <w:r>
        <w:t xml:space="preserve">286</w:t>
      </w:r>
      <w:r>
        <w:t xml:space="preserve"> </w:t>
      </w:r>
      <w:r>
        <w:t xml:space="preserve">So.</w:t>
      </w:r>
      <w:r>
        <w:t xml:space="preserve"> </w:t>
      </w:r>
      <w:r>
        <w:t xml:space="preserve">3d</w:t>
      </w:r>
      <w:r>
        <w:t xml:space="preserve"> </w:t>
      </w:r>
      <w:r>
        <w:t xml:space="preserve">1023</w:t>
      </w:r>
      <w:r>
        <w:t xml:space="preserve">   </w:t>
      </w:r>
      <w:r>
        <w:tab/>
      </w:r>
      <w:r>
        <w:t xml:space="preserve">1, 3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Maxie</w:t>
      </w:r>
      <w:r>
        <w:t xml:space="preserve"> </w:t>
      </w:r>
      <w:r>
        <w:t xml:space="preserve">No.</w:t>
      </w:r>
      <w:r>
        <w:t xml:space="preserve"> </w:t>
      </w:r>
      <w:r>
        <w:t xml:space="preserve">13-CR</w:t>
        <w:noBreakHyphen/>
        <w:t xml:space="preserve">72522</w:t>
      </w:r>
      <w:r>
        <w:t xml:space="preserve"> </w:t>
      </w:r>
      <w:r>
        <w:t xml:space="preserve">(La.</w:t>
      </w:r>
      <w:r>
        <w:t xml:space="preserve"> </w:t>
      </w:r>
      <w:r>
        <w:t xml:space="preserve">11th</w:t>
      </w:r>
      <w:r>
        <w:t xml:space="preserve"> </w:t>
      </w:r>
      <w:r>
        <w:t xml:space="preserve">Jud.</w:t>
      </w:r>
      <w:r>
        <w:t xml:space="preserve"> </w:t>
      </w:r>
      <w:r>
        <w:t xml:space="preserve">Dist.,</w:t>
      </w:r>
      <w:r>
        <w:t xml:space="preserve"> </w:t>
      </w:r>
      <w:r>
        <w:t xml:space="preserve">Oct.</w:t>
      </w:r>
      <w:r>
        <w:t xml:space="preserve"> </w:t>
      </w:r>
      <w:r>
        <w:t xml:space="preserve">11,</w:t>
      </w:r>
      <w:r>
        <w:t xml:space="preserve"> </w:t>
      </w:r>
      <w:r>
        <w:t xml:space="preserve">2018)</w:t>
      </w:r>
      <w:r>
        <w:t xml:space="preserve">   </w:t>
      </w:r>
      <w:r>
        <w:tab/>
      </w:r>
      <w:r>
        <w:t xml:space="preserve">1, 3</w:t>
      </w:r>
    </w:p>
    <w:p>
      <w:pPr>
        <w:keepLines/>
        <w:tabs>
          <w:tab w:val="right" w:leader="dot" w:pos="9360"/>
        </w:tabs>
        <w:spacing w:before="144" w:after="0" w:line="276" w:lineRule="exact"/>
        <w:ind w:left="576" w:right="1120" w:hanging="576"/>
      </w:pPr>
      <w:r>
        <w:rPr>
          <w:i/>
          <w:iCs/>
        </w:rPr>
        <w:t xml:space="preserve">Teague</w:t>
      </w:r>
      <w:r>
        <w:rPr>
          <w:i/>
          <w:iCs/>
        </w:rPr>
        <w:t xml:space="preserve"> </w:t>
      </w:r>
      <w:r>
        <w:rPr>
          <w:i/>
          <w:iCs/>
        </w:rPr>
        <w:t xml:space="preserve">v.</w:t>
      </w:r>
      <w:r>
        <w:rPr>
          <w:i/>
          <w:iCs/>
        </w:rPr>
        <w:t xml:space="preserve"> </w:t>
      </w:r>
      <w:r>
        <w:rPr>
          <w:i/>
          <w:iCs/>
        </w:rPr>
        <w:t xml:space="preserve">Lane</w:t>
      </w:r>
      <w:r>
        <w:t xml:space="preserve"> </w:t>
      </w:r>
      <w:r>
        <w:t xml:space="preserve">489</w:t>
      </w:r>
      <w:r>
        <w:t xml:space="preserve"> </w:t>
      </w:r>
      <w:r>
        <w:t xml:space="preserve">U.S.</w:t>
      </w:r>
      <w:r>
        <w:t xml:space="preserve"> </w:t>
      </w:r>
      <w:r>
        <w:t xml:space="preserve">288</w:t>
      </w:r>
      <w:r>
        <w:t xml:space="preserve"> </w:t>
      </w:r>
      <w:r>
        <w:t xml:space="preserve">(1989)</w:t>
      </w:r>
      <w:r>
        <w:t xml:space="preserve">   </w:t>
      </w:r>
      <w:r>
        <w:tab/>
      </w:r>
      <w:r>
        <w:t xml:space="preserve">4</w:t>
      </w:r>
    </w:p>
    <w:p>
      <w:pPr>
        <w:keepLines/>
        <w:tabs>
          <w:tab w:val="right" w:leader="dot" w:pos="9360"/>
        </w:tabs>
        <w:spacing w:before="144" w:after="0" w:line="276" w:lineRule="exact"/>
        <w:ind w:left="576" w:right="1120" w:hanging="576"/>
      </w:pPr>
      <w:r>
        <w:rPr>
          <w:i/>
          <w:iCs/>
        </w:rPr>
        <w:t xml:space="preserve">Whorton</w:t>
      </w:r>
      <w:r>
        <w:rPr>
          <w:i/>
          <w:iCs/>
        </w:rPr>
        <w:t xml:space="preserve"> </w:t>
      </w:r>
      <w:r>
        <w:rPr>
          <w:i/>
          <w:iCs/>
        </w:rPr>
        <w:t xml:space="preserve">v.</w:t>
      </w:r>
      <w:r>
        <w:rPr>
          <w:i/>
          <w:iCs/>
        </w:rPr>
        <w:t xml:space="preserve"> </w:t>
      </w:r>
      <w:r>
        <w:rPr>
          <w:i/>
          <w:iCs/>
        </w:rPr>
        <w:t xml:space="preserve">Bockting</w:t>
      </w:r>
      <w:r>
        <w:t xml:space="preserve"> </w:t>
      </w:r>
      <w:r>
        <w:t xml:space="preserve">549</w:t>
      </w:r>
      <w:r>
        <w:t xml:space="preserve"> </w:t>
      </w:r>
      <w:r>
        <w:t xml:space="preserve">U.S.</w:t>
      </w:r>
      <w:r>
        <w:t xml:space="preserve"> </w:t>
      </w:r>
      <w:r>
        <w:t xml:space="preserve">406</w:t>
      </w:r>
      <w:r>
        <w:t xml:space="preserve"> </w:t>
      </w:r>
      <w:r>
        <w:t xml:space="preserve">(2007)</w:t>
      </w:r>
      <w:r>
        <w:t xml:space="preserve">   </w:t>
      </w:r>
      <w:r>
        <w:tab/>
      </w:r>
      <w:r>
        <w:t xml:space="preserve">4</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12</w:t>
      </w:r>
      <w:r>
        <w:t xml:space="preserve">   </w:t>
      </w:r>
      <w:r>
        <w:tab/>
      </w:r>
      <w:r>
        <w:t xml:space="preserve">4</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17</w:t>
      </w:r>
      <w:r>
        <w:t xml:space="preserve">   </w:t>
      </w:r>
      <w:r>
        <w:tab/>
      </w:r>
      <w:r>
        <w:t xml:space="preserve">1, 2</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3</w:t>
      </w:r>
      <w:r>
        <w:t xml:space="preserve">   </w:t>
      </w:r>
      <w:r>
        <w:tab/>
      </w:r>
      <w:r>
        <w:t xml:space="preserve">4</w:t>
      </w:r>
    </w:p>
    <w:p>
      <w:pPr>
        <w:spacing w:before="0" w:after="0" w:line="1" w:lineRule="exact"/>
        <w:sectPr>
          <w:footerReference w:type="default" r:id="rIdXdPage"/>
          <w:pgSz w:w="12240" w:h="20160"/>
          <w:pgMar w:top="216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State respectfully asks this Court to follow the United States Supreme Court’s lead in Edwards</w:t>
      </w:r>
      <w:r>
        <w:t xml:space="preserve"> </w:t>
      </w:r>
      <w:r>
        <w:t xml:space="preserve">v. Vannoy and acknowledge that the so-called</w:t>
      </w:r>
      <w:r>
        <w:t xml:space="preserve"> </w:t>
      </w:r>
      <w:r>
        <w:t xml:space="preserve">“watershed”</w:t>
      </w:r>
      <w:r>
        <w:t xml:space="preserve"> </w:t>
      </w:r>
      <w:r>
        <w:t xml:space="preserve">exception to the retroactivity bar is</w:t>
      </w:r>
      <w:r>
        <w:t xml:space="preserve"> </w:t>
      </w:r>
      <w:r>
        <w:t xml:space="preserve">“moribund”</w:t>
      </w:r>
      <w:r>
        <w:t xml:space="preserve"> </w:t>
      </w:r>
      <w:r>
        <w:t xml:space="preserve">for the purposes of state collateral review. 141</w:t>
      </w:r>
      <w:r>
        <w:t xml:space="preserve"> </w:t>
      </w:r>
      <w:r>
        <w:t xml:space="preserve">S. Ct. 1547, 1560 (2021). The unanimity rule of Ramos</w:t>
      </w:r>
      <w:r>
        <w:t xml:space="preserve"> </w:t>
      </w:r>
      <w:r>
        <w:t xml:space="preserve">v. Louisiana, 140 S. Ct. 1390 (2020), is new and procedural, and so under the reasoning of Edwards it should not apply retroactively. But even if this Court keeps the</w:t>
      </w:r>
      <w:r>
        <w:t xml:space="preserve"> </w:t>
      </w:r>
      <w:r>
        <w:t xml:space="preserve">“empty promise”</w:t>
      </w:r>
      <w:r>
        <w:t xml:space="preserve"> </w:t>
      </w:r>
      <w:r>
        <w:t xml:space="preserve">of the watershed exception alive for the purposes of state collateral review, Ramos did not announce a watershed rule, for all the reasons explained in Edwards and the State’s original brief here. Id.</w:t>
      </w:r>
    </w:p>
    <w:p>
      <w:pPr>
        <w:pStyle w:val="BodyText"/>
      </w:pPr>
      <w:r>
        <w:t xml:space="preserve">Petitioner Reginald Reddick resists the logic of Edwards and even asks this Court to add an exception to the bar on applying new rules retroactively to include a</w:t>
      </w:r>
      <w:r>
        <w:t xml:space="preserve"> </w:t>
      </w:r>
      <w:r>
        <w:t xml:space="preserve">“</w:t>
      </w:r>
      <w:r>
        <w:t xml:space="preserve">‘Jim Crow’</w:t>
      </w:r>
      <w:r>
        <w:t xml:space="preserve"> </w:t>
      </w:r>
      <w:r>
        <w:t xml:space="preserve">retroactivity test.”</w:t>
      </w:r>
      <w:r>
        <w:t xml:space="preserve"> </w:t>
      </w:r>
      <w:r>
        <w:t xml:space="preserve">Resp. Br. at 36. This Court should do no such thing. As the Supreme Court observed in Edwards, racial considerations do not affect the retroactivity calculus—otherwise Batson</w:t>
      </w:r>
      <w:r>
        <w:t xml:space="preserve"> </w:t>
      </w:r>
      <w:r>
        <w:t xml:space="preserve">v. Kentucky, 476 U.S. 79 (1986), would have applied retroactively. See Edwards, 141 S. Ct. at 1559. Reddick supports his arguments with a district court’s order in State</w:t>
      </w:r>
      <w:r>
        <w:t xml:space="preserve"> </w:t>
      </w:r>
      <w:r>
        <w:t xml:space="preserve">v. Maxie, No. 13-CR</w:t>
      </w:r>
      <w:r>
        <w:noBreakHyphen/>
      </w:r>
      <w:r>
        <w:t xml:space="preserve">72522 (La. 11th Jud. Dist., Oct. 11, 2018). But this Court has already held that Maxie has no binding effect in future cases. State</w:t>
      </w:r>
      <w:r>
        <w:t xml:space="preserve"> </w:t>
      </w:r>
      <w:r>
        <w:t xml:space="preserve">v. Hodge, 2019</w:t>
      </w:r>
      <w:r>
        <w:noBreakHyphen/>
      </w:r>
      <w:r>
        <w:t xml:space="preserve">0568 (La. 11/19/19), 286 So. 3d 1023, 1028. Even if race factored into the analysis, history cuts against making Ramos retroactive because Louisiana’s 1973 Constitutional Convention undoubtably passed the non-unanimity rule for race neutral reasons.</w:t>
      </w:r>
    </w:p>
    <w:p>
      <w:pPr>
        <w:pStyle w:val="BodyText"/>
      </w:pPr>
      <w:r>
        <w:t xml:space="preserve">Reddick further argues that</w:t>
      </w:r>
      <w:r>
        <w:t xml:space="preserve"> </w:t>
      </w:r>
      <w:r>
        <w:t xml:space="preserve">“Louisiana’s Constitution should influence the retroactivity standard.”</w:t>
      </w:r>
      <w:r>
        <w:t xml:space="preserve"> </w:t>
      </w:r>
      <w:r>
        <w:t xml:space="preserve">Id. at 29. This argument also fails. The People spoke clearly when they amended the Louisiana Constitution to end non-unanimity: They wanted the new unanimity rule to apply only prospectively. La.</w:t>
      </w:r>
      <w:r>
        <w:t xml:space="preserve"> </w:t>
      </w:r>
      <w:r>
        <w:t xml:space="preserve">Const. art. I, § 17. To the extent that the Louisiana Constitution matters to the retroactivity analysis, it requires ruling for the State.</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LOUISIANA’S</w:t>
      </w:r>
      <w:r>
        <w:rPr>
          <w:b/>
          <w:bCs/>
        </w:rPr>
        <w:t xml:space="preserve"> </w:t>
      </w:r>
      <w:r>
        <w:rPr>
          <w:b/>
          <w:bCs/>
        </w:rPr>
        <w:t xml:space="preserve">CONSTITUTION</w:t>
      </w:r>
      <w:r>
        <w:rPr>
          <w:b/>
          <w:bCs/>
        </w:rPr>
        <w:t xml:space="preserve"> </w:t>
      </w:r>
      <w:r>
        <w:rPr>
          <w:b/>
          <w:bCs/>
        </w:rPr>
        <w:t xml:space="preserve">APPLIES</w:t>
      </w:r>
      <w:r>
        <w:rPr>
          <w:b/>
          <w:bCs/>
        </w:rPr>
        <w:t xml:space="preserve"> </w:t>
      </w:r>
      <w:r>
        <w:rPr>
          <w:b/>
          <w:bCs/>
        </w:rPr>
        <w:t xml:space="preserve">UNANIMITY</w:t>
      </w:r>
      <w:r>
        <w:rPr>
          <w:b/>
          <w:bCs/>
        </w:rPr>
        <w:t xml:space="preserve"> </w:t>
      </w:r>
      <w:r>
        <w:rPr>
          <w:b/>
          <w:bCs/>
        </w:rPr>
        <w:t xml:space="preserve">PROSPECTIVELY</w:t>
      </w:r>
    </w:p>
    <w:p>
      <w:pPr>
        <w:pStyle w:val="BodyText"/>
      </w:pPr>
      <w:r>
        <w:t xml:space="preserve">Reddick argues</w:t>
      </w:r>
      <w:r>
        <w:t xml:space="preserve"> </w:t>
      </w:r>
      <w:r>
        <w:t xml:space="preserve">“Louisiana’s Constitution should influence the retroactivity standard.”</w:t>
      </w:r>
      <w:r>
        <w:t xml:space="preserve"> </w:t>
      </w:r>
      <w:r>
        <w:t xml:space="preserve">Resp. Br. at 29. The State agrees. The People’s will, as reflected by the Louisiana Constitution, should be considered when deciding whether to make Ramos retroactive on state collateral review. The People spoke clearly on the issue: They want prospective application of the unanimity rule. La.</w:t>
      </w:r>
      <w:r>
        <w:t xml:space="preserve"> </w:t>
      </w:r>
      <w:r>
        <w:t xml:space="preserve">Const. art. I, § 17.</w:t>
      </w:r>
    </w:p>
    <w:p>
      <w:pPr>
        <w:pStyle w:val="BodyTextNote"/>
      </w:pPr>
      <w:r>
        <w:t xml:space="preserve">As an initial matter, Reddick is wrong when he says Ramos</w:t>
      </w:r>
      <w:r>
        <w:t xml:space="preserve"> </w:t>
      </w:r>
      <w:r>
        <w:t xml:space="preserve">“ended”</w:t>
      </w:r>
      <w:r>
        <w:t xml:space="preserve"> </w:t>
      </w:r>
      <w:r>
        <w:t xml:space="preserve">non-unanimity in Louisiana. Resp. Br. at 14. The People, in fact, did that by constitutional amendment in late 2018, before the United States Supreme Court had even agreed to hear Ramos. Art. I, § 17. The amendment requires a unanimous jury conviction for any</w:t>
      </w:r>
      <w:r>
        <w:t xml:space="preserve"> </w:t>
      </w:r>
      <w:r>
        <w:t xml:space="preserve">“offense committed on or after January 1, 2019, in which the punishment is necessarily confinement at hard labor.”</w:t>
      </w:r>
      <w:r>
        <w:t xml:space="preserve"> </w:t>
      </w:r>
      <w:r>
        <w:t xml:space="preserve">Id. The United States Supreme Court did not agree to hear Ramos until March 18, 2019. Ramos</w:t>
      </w:r>
      <w:r>
        <w:t xml:space="preserve"> </w:t>
      </w:r>
      <w:r>
        <w:t xml:space="preserve">v. Louisiana, 139 S. Ct. 1318 (2019). And the Court did not issue a decision in Ramos until April 20, 2020. 140</w:t>
      </w:r>
      <w:r>
        <w:t xml:space="preserve"> </w:t>
      </w:r>
      <w:r>
        <w:t xml:space="preserve">S. Ct. at 1391. Thus, the non-unanimity rule had effectively ended more than a year before Ramos was decided.</w:t>
      </w:r>
      <w:r>
        <w:rPr>
          <w:rStyle w:val="FootnoteReference"/>
        </w:rPr>
        <w:footnoteReference w:id="9"/>
      </w:r>
    </w:p>
    <w:p>
      <w:pPr>
        <w:pStyle w:val="BodyText"/>
      </w:pPr>
      <w:r>
        <w:t xml:space="preserve">Importantly, the People expressly made the new unanimity rule apply prospectively. See Art. I, § 17. The constitutional amendment required the non-unanimity rule to apply to any offender who committed an offense before January 1, 2019. Id. (</w:t>
      </w:r>
      <w:r>
        <w:t xml:space="preserve">“A case for an offense committed prior to January 1, 2019, in which the punishment is necessarily confinement at hard labor shall be tried before a jury of twelve persons, ten of whom must concur to render a verdict.”</w:t>
      </w:r>
      <w:r>
        <w:t xml:space="preserve"> </w:t>
      </w:r>
      <w:r>
        <w:t xml:space="preserve">(emphasis added)).</w:t>
      </w:r>
    </w:p>
    <w:p>
      <w:pPr>
        <w:pStyle w:val="BodyText"/>
      </w:pPr>
      <w:r>
        <w:t xml:space="preserve">Reddick murdered Al Moliere in 1993, decades before January 1, 2019. The People clearly do not want Reddick to benefit from the new unanimity rule.</w:t>
      </w:r>
    </w:p>
    <w:p>
      <w:pPr>
        <w:pStyle w:val="BodyText"/>
      </w:pPr>
      <w:r>
        <w:t xml:space="preserve">In light of the People’s clear articulation of their desire for prospective application of the unanimity rule, Reddick is simply wrong when he argues that failing to apply Ramos retroactively would</w:t>
      </w:r>
      <w:r>
        <w:t xml:space="preserve"> </w:t>
      </w:r>
      <w:r>
        <w:t xml:space="preserve">“violate the letter and spirit”</w:t>
      </w:r>
      <w:r>
        <w:t xml:space="preserve"> </w:t>
      </w:r>
      <w:r>
        <w:t xml:space="preserve">of Louisiana’s constitutional guarantee of Individual Dignity. Resp. Br. at 31. If anything, applying Ramos retroactively would</w:t>
      </w:r>
      <w:r>
        <w:t xml:space="preserve"> </w:t>
      </w:r>
      <w:r>
        <w:t xml:space="preserve">“violate the letter and spirit”</w:t>
      </w:r>
      <w:r>
        <w:t xml:space="preserve"> </w:t>
      </w:r>
      <w:r>
        <w:t xml:space="preserve">of article I, § 17. The Court should respect the will of Louisiana’s voters and decline to make Ramos retroactive.</w:t>
      </w:r>
    </w:p>
    <w:p>
      <w:pPr>
        <w:keepNext/>
        <w:keepLines/>
        <w:spacing w:before="288" w:after="192" w:line="276" w:lineRule="exact"/>
        <w:ind w:left="0" w:firstLine="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ALREADY</w:t>
      </w:r>
      <w:r>
        <w:rPr>
          <w:b/>
          <w:bCs/>
        </w:rPr>
        <w:t xml:space="preserve"> </w:t>
      </w:r>
      <w:r>
        <w:rPr>
          <w:b/>
          <w:bCs/>
        </w:rPr>
        <w:t xml:space="preserve">CONCLUDED</w:t>
      </w:r>
      <w:r>
        <w:rPr>
          <w:b/>
          <w:bCs/>
        </w:rPr>
        <w:t xml:space="preserve"> </w:t>
      </w:r>
      <w:r>
        <w:rPr>
          <w:b/>
          <w:bCs/>
        </w:rPr>
        <w:t xml:space="preserve">MAXIE</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BINDING</w:t>
      </w:r>
    </w:p>
    <w:p>
      <w:pPr>
        <w:pStyle w:val="BodyText"/>
      </w:pPr>
      <w:r>
        <w:t xml:space="preserve">Reddick’s brief relies repeatedly on an order and transcript from a district court case called State</w:t>
      </w:r>
      <w:r>
        <w:t xml:space="preserve"> </w:t>
      </w:r>
      <w:r>
        <w:t xml:space="preserve">v. Maxie, No. 13-CR</w:t>
      </w:r>
      <w:r>
        <w:noBreakHyphen/>
      </w:r>
      <w:r>
        <w:t xml:space="preserve">72522 (La. 11th Jud. Dist., Oct. 11, 2018). See, e.g., Resp. Br. at 8 n.9, 10, n.25 &amp; n.29, 15 n.76, 17 (</w:t>
      </w:r>
      <w:r>
        <w:t xml:space="preserve">“The Maxie court’s analysis on the racial disparity in defendants convicted by non-unanimous verdicts—an analysis the trial court had before it in this case—showed that Louisiana convicted Black defendants by non-unanimous juries 43% of the time, and White defendants 33% of the time.”</w:t>
      </w:r>
      <w:r>
        <w:t xml:space="preserve">). If Reddick hopes to smuggle the Maxie court’s conclusions and findings into this case, the Court should reject this effort, as it has done before.</w:t>
      </w:r>
    </w:p>
    <w:p>
      <w:pPr>
        <w:pStyle w:val="BodyText"/>
      </w:pPr>
      <w:r>
        <w:t xml:space="preserve">Whether or not Maxie has any binding effect in subsequent cases was the subject of this Court’s opinion in State</w:t>
      </w:r>
      <w:r>
        <w:t xml:space="preserve"> </w:t>
      </w:r>
      <w:r>
        <w:t xml:space="preserve">v. Hodge. See 286 So. 3d at 1028. The district court in Hodge relied on its prior decision in Maxie to declare the non-unanimity rule unconstitutional under the Fourteenth Amendment. See id. at 1025 (</w:t>
      </w:r>
      <w:r>
        <w:t xml:space="preserve">“The next day, without a hearing, the district court signed an order . . . declaring that the defendant is entitled to a unanimous jury verdict pursuant to the district court’s own earlier ruling in [Maxie].”</w:t>
      </w:r>
      <w:r>
        <w:t xml:space="preserve">). The district court’s ruling was based on Maxie alone; no evidence was considered. Therefore, the State was unable to test the credibility of Maxie’s findings in Hodge.</w:t>
      </w:r>
    </w:p>
    <w:p>
      <w:pPr>
        <w:pStyle w:val="BodyText"/>
      </w:pPr>
      <w:r>
        <w:t xml:space="preserve">This Court reversed the district court by a 6</w:t>
      </w:r>
      <w:r>
        <w:noBreakHyphen/>
      </w:r>
      <w:r>
        <w:t xml:space="preserve">1 vote, observing that the district court had effectively declared the non-unanimity rule unconstitutional</w:t>
      </w:r>
      <w:r>
        <w:t xml:space="preserve"> </w:t>
      </w:r>
      <w:r>
        <w:t xml:space="preserve">“sua sponte”</w:t>
      </w:r>
      <w:r>
        <w:t xml:space="preserve">—id. at 1027—and that the sua sponte ruling allowed the defendant in Hodge to circumvent his burden to prove the non-unanimity rule unconstitutional. Id. (observing it is well established that</w:t>
      </w:r>
      <w:r>
        <w:t xml:space="preserve"> </w:t>
      </w:r>
      <w:r>
        <w:t xml:space="preserve">“the party challenging the validity of [a law] bears the burden of proving it is unconstitutional.”</w:t>
      </w:r>
      <w:r>
        <w:t xml:space="preserve"> </w:t>
      </w:r>
      <w:r>
        <w:t xml:space="preserve">(quoting State</w:t>
      </w:r>
      <w:r>
        <w:t xml:space="preserve"> </w:t>
      </w:r>
      <w:r>
        <w:t xml:space="preserve">v. Hatton, 2007</w:t>
      </w:r>
      <w:r>
        <w:noBreakHyphen/>
      </w:r>
      <w:r>
        <w:t xml:space="preserve">2377 (La. 7/1/08), 985 So. 2d 709, 719)).</w:t>
      </w:r>
    </w:p>
    <w:p>
      <w:pPr>
        <w:pStyle w:val="BodyText"/>
      </w:pPr>
      <w:r>
        <w:t xml:space="preserve">Like the defendant in Hodge, Reddick is attempting to rely on the district court’s findings in Maxie—which was a Fourteenth Amendment case (not a Sixth Amendment case like Ramos) and did not address the issue of retroactivity in any way. And just as in Hodge, Reddick is attempting to shoehorn into the record non-expert statistical reports, analysis, and newspaper articles by journalists and academics that were submitted in the Maxie case. Without subjecting these reports to judicial evidentiary standards, Reddick seeks to have this Court accept them as fact when there is no way to adequately traverse the legitimacy of their claims. The Court should again reject this subversion of the usual litigation process.</w:t>
      </w:r>
    </w:p>
    <w:p>
      <w:pPr>
        <w:pStyle w:val="BodyText"/>
      </w:pPr>
      <w:r>
        <w:t xml:space="preserve">In any event, the district court’s ruling in Maxie cannot aid Reddick because considerations of race are simply irrelevant to the retroactivity calculus—especially if this Court follows the Supreme Court’s lead in Edwards and declares the watershed exception</w:t>
      </w:r>
      <w:r>
        <w:t xml:space="preserve"> </w:t>
      </w:r>
      <w:r>
        <w:t xml:space="preserve">“moribund”</w:t>
      </w:r>
      <w:r>
        <w:t xml:space="preserve"> </w:t>
      </w:r>
      <w:r>
        <w:t xml:space="preserve">for the purposes of state collateral review. 141</w:t>
      </w:r>
      <w:r>
        <w:t xml:space="preserve"> </w:t>
      </w:r>
      <w:r>
        <w:t xml:space="preserve">S. Ct. at 1560. In that instance, the only question for the Court would be whether Ramos issued a new, procedural rule after Reddick’s conviction and sentence became final. There is no dispute that the Ramos rule is new and procedural, and Ramos was decided decades after Reddick’s case became final.</w:t>
      </w:r>
    </w:p>
    <w:p>
      <w:pPr>
        <w:pStyle w:val="BodyText"/>
      </w:pPr>
      <w:r>
        <w:t xml:space="preserve">Even if this Court chooses to keep the possibility of a procedural</w:t>
      </w:r>
      <w:r>
        <w:t xml:space="preserve"> </w:t>
      </w:r>
      <w:r>
        <w:t xml:space="preserve">“watershed”</w:t>
      </w:r>
      <w:r>
        <w:t xml:space="preserve"> </w:t>
      </w:r>
      <w:r>
        <w:t xml:space="preserve">rule alive, there is still no need to consider the Fourteenth Amendment Equal Protection issues from Maxie. The only questions for the court under the traditional analysis—as articulated in Teague</w:t>
      </w:r>
      <w:r>
        <w:t xml:space="preserve"> </w:t>
      </w:r>
      <w:r>
        <w:t xml:space="preserve">v. Lane and later adopted by this Court in State</w:t>
      </w:r>
      <w:r>
        <w:t xml:space="preserve"> </w:t>
      </w:r>
      <w:r>
        <w:t xml:space="preserve">ex rel. Taylor v. Whitley—is (1) whether the unanimity rule</w:t>
      </w:r>
      <w:r>
        <w:t xml:space="preserve"> </w:t>
      </w:r>
      <w:r>
        <w:t xml:space="preserve">“remedied an impermissibly large risk of an inaccurate conviction”</w:t>
      </w:r>
      <w:r>
        <w:t xml:space="preserve">; and (2) whether the Ramos rule</w:t>
      </w:r>
      <w:r>
        <w:t xml:space="preserve"> </w:t>
      </w:r>
      <w:r>
        <w:t xml:space="preserve">“alter[s] our understanding of the bedrock procedural elements essential to the fairness of a proceeding.”</w:t>
      </w:r>
      <w:r>
        <w:t xml:space="preserve"> </w:t>
      </w:r>
      <w:r>
        <w:t xml:space="preserve">Whorton</w:t>
      </w:r>
      <w:r>
        <w:t xml:space="preserve"> </w:t>
      </w:r>
      <w:r>
        <w:t xml:space="preserve">v. Bockting, 549 U.S. 406, 418 (2007) (cleaned up); see Teague</w:t>
      </w:r>
      <w:r>
        <w:t xml:space="preserve"> </w:t>
      </w:r>
      <w:r>
        <w:t xml:space="preserve">v. Lane, 489 U.S. 288 (1989); State</w:t>
      </w:r>
      <w:r>
        <w:t xml:space="preserve"> </w:t>
      </w:r>
      <w:r>
        <w:t xml:space="preserve">ex rel. Taylor v. Whitley, 606 So. 2d 1292 (La. 1992). If race mattered to the retroactivity analysis, surely this Court or the United States Supreme Court would have made the rule from Batson retroactive. For the reasons explained by the Supreme Court in Edwards, the Ramos rule is not watershed. Edwards,</w:t>
      </w:r>
      <w:r>
        <w:t xml:space="preserve"> </w:t>
      </w:r>
      <w:r>
        <w:t xml:space="preserve">141 S. Ct. at 1559.</w:t>
      </w:r>
    </w:p>
    <w:p>
      <w:pPr>
        <w:keepNext/>
        <w:keepLines/>
        <w:spacing w:before="288" w:after="192" w:line="276" w:lineRule="exact"/>
        <w:ind w:left="0" w:firstLine="0"/>
        <w:jc w:val="left"/>
      </w:pPr>
      <w:r>
        <w:rPr>
          <w:b/>
          <w:bCs/>
        </w:rPr>
        <w:t xml:space="preserve">III.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ADD</w:t>
      </w:r>
      <w:r>
        <w:rPr>
          <w:b/>
          <w:bCs/>
        </w:rPr>
        <w:t xml:space="preserve"> </w:t>
      </w:r>
      <w:r>
        <w:rPr>
          <w:b/>
          <w:bCs/>
        </w:rPr>
        <w:t xml:space="preserve">EXCEPTIONS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RETROACTIVITY</w:t>
      </w:r>
      <w:r>
        <w:rPr>
          <w:b/>
          <w:bCs/>
        </w:rPr>
        <w:t xml:space="preserve"> </w:t>
      </w:r>
      <w:r>
        <w:rPr>
          <w:b/>
          <w:bCs/>
        </w:rPr>
        <w:t xml:space="preserve">BAR</w:t>
      </w:r>
    </w:p>
    <w:p>
      <w:pPr>
        <w:pStyle w:val="BodyText"/>
      </w:pPr>
      <w:r>
        <w:t xml:space="preserve">The Court should not add any exceptions to Teague’s retroactivity bar. On the contrary, the Court should officially end the exception for new procedural rules—as the Supreme Court did in Edwards. Even if this Court decides to inject historical and racial considerations into the retroactivity analysis, the history of the non-unanimity rule cuts against applying Ramos retroactively. As explained in the State’s original brief, Louisiana’s 1973 Constitutional Convention passed sweeping guarantees of equality. La.</w:t>
      </w:r>
      <w:r>
        <w:t xml:space="preserve"> </w:t>
      </w:r>
      <w:r>
        <w:t xml:space="preserve">Const. art. I, § 12 (</w:t>
      </w:r>
      <w:r>
        <w:t xml:space="preserve">“[E]very person shall be free from discrimination based on race.”</w:t>
      </w:r>
      <w:r>
        <w:t xml:space="preserve">); see id.</w:t>
      </w:r>
      <w:r>
        <w:t xml:space="preserve"> </w:t>
      </w:r>
      <w:r>
        <w:t xml:space="preserve">§ 3 (</w:t>
      </w:r>
      <w:r>
        <w:t xml:space="preserve">“No law shall discriminate against a person because of race . . . .”</w:t>
      </w:r>
      <w:r>
        <w:t xml:space="preserve">); see State’s Br. at 23</w:t>
      </w:r>
      <w:r>
        <w:noBreakHyphen/>
      </w:r>
      <w:r>
        <w:t xml:space="preserve">27. The Constitutional Convention—which occurred not long after the United States Supreme Court upheld the non-unanimity rule in Apodaca</w:t>
      </w:r>
      <w:r>
        <w:t xml:space="preserve"> </w:t>
      </w:r>
      <w:r>
        <w:t xml:space="preserve">v. Oregon, 406 U.S. 404 (1972)—passed a narrower version of the non-unanimity rule than what had existed under previous iterations of the Louisiana Constitution. Reddick was convicted decades after the 1973 Convention.</w:t>
      </w:r>
    </w:p>
    <w:p>
      <w:pPr>
        <w:pStyle w:val="BodyTextNote"/>
      </w:pPr>
      <w:r>
        <w:t xml:space="preserve">Reddick details at length Ramos’ discussion of Louisiana’s 1898 Constitutional Convention, which deplorably and infamously sought to</w:t>
      </w:r>
      <w:r>
        <w:t xml:space="preserve"> </w:t>
      </w:r>
      <w:r>
        <w:t xml:space="preserve">“establish the supremacy of the white race.”</w:t>
      </w:r>
      <w:r>
        <w:t xml:space="preserve"> </w:t>
      </w:r>
      <w:r>
        <w:t xml:space="preserve">Resp. Br. at 16 (quoting Ramos,</w:t>
      </w:r>
      <w:r>
        <w:t xml:space="preserve"> </w:t>
      </w:r>
      <w:r>
        <w:t xml:space="preserve">140 S. Ct. at 1394). But Reddick’s reliance on this discussion is misplaced. One of the central questions before the Supreme Court in Ramos was whether to overrule Apodaca. The Supreme Court expressly observed that the alleged</w:t>
      </w:r>
      <w:r>
        <w:rPr>
          <w:rStyle w:val="FootnoteReference"/>
        </w:rPr>
        <w:footnoteReference w:id="10"/>
      </w:r>
      <w:r>
        <w:t xml:space="preserve"> </w:t>
      </w:r>
      <w:r>
        <w:t xml:space="preserve">racial history of the non-unanimity rule was relevant because Apodaca was decided before the 1973 convention. Ramos,</w:t>
      </w:r>
      <w:r>
        <w:t xml:space="preserve"> </w:t>
      </w:r>
      <w:r>
        <w:t xml:space="preserve">140 S. Ct. at 1401 n.44 (observing</w:t>
      </w:r>
      <w:r>
        <w:t xml:space="preserve"> </w:t>
      </w:r>
      <w:r>
        <w:t xml:space="preserve">“Louisiana and Oregon eventually recodified their nonunanimous jury laws in new proceedings untainted by racism”</w:t>
      </w:r>
      <w:r>
        <w:t xml:space="preserve">—but that was insufficient to save Apodaca because Louisiana’s Constitutional Convention</w:t>
      </w:r>
      <w:r>
        <w:t xml:space="preserve"> </w:t>
      </w:r>
      <w:r>
        <w:t xml:space="preserve">“proceedings took place only after the Court’s decision”</w:t>
      </w:r>
      <w:r>
        <w:t xml:space="preserve"> </w:t>
      </w:r>
      <w:r>
        <w:t xml:space="preserve">in Apodaca).</w:t>
      </w:r>
    </w:p>
    <w:p>
      <w:pPr>
        <w:pStyle w:val="BodyText"/>
      </w:pPr>
      <w:r>
        <w:t xml:space="preserve">In sum, this Court should decline Reddick’s invitation to inject the issue of race into the retroactivity analysis. But even if the Court is inclined to consider the issue, Ramos should not apply retroactively.</w:t>
      </w:r>
    </w:p>
    <w:p>
      <w:pPr>
        <w:keepNext/>
        <w:keepLines/>
        <w:spacing w:before="288" w:after="240" w:line="276" w:lineRule="exact"/>
        <w:ind w:left="0" w:firstLine="0"/>
        <w:jc w:val="center"/>
      </w:pPr>
      <w:r>
        <w:rPr>
          <w:b/>
          <w:bCs/>
        </w:rPr>
        <w:t xml:space="preserve">CONCLUSION</w:t>
      </w:r>
    </w:p>
    <w:p>
      <w:pPr>
        <w:pStyle w:val="BodyText"/>
      </w:pPr>
      <w:r>
        <w:t xml:space="preserve">The State respectfully urges the Court to reverse the lower court’s decision and hold that new procedural rules never apply retroactively on state post-conviction review. Alternatively, the State asks the Court to reverse the lower court and hold that Ramos did not announce a new</w:t>
      </w:r>
      <w:r>
        <w:t xml:space="preserve"> </w:t>
      </w:r>
      <w:r>
        <w:t xml:space="preserve">“watershed”</w:t>
      </w:r>
      <w:r>
        <w:t xml:space="preserve"> </w:t>
      </w:r>
      <w:r>
        <w:t xml:space="preserve">rule of criminal procedure.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JEFF</w:t>
                  </w:r>
                  <w:r>
                    <w:t xml:space="preserve"> </w:t>
                  </w:r>
                  <w:r>
                    <w:t xml:space="preserve">LANDRY</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p>
                <w:p>
                  <w:pPr>
                    <w:spacing w:before="0" w:after="0" w:line="276" w:lineRule="exact"/>
                    <w:ind w:left="0" w:firstLine="0"/>
                    <w:jc w:val="left"/>
                  </w:pPr>
                  <w:r>
                    <w:t xml:space="preserve">/s/</w:t>
                  </w:r>
                  <w:r>
                    <w:t xml:space="preserve"> </w:t>
                  </w:r>
                  <w:r>
                    <w:t xml:space="preserve">Shae</w:t>
                  </w:r>
                  <w:r>
                    <w:t xml:space="preserve"> </w:t>
                  </w:r>
                  <w:r>
                    <w:t xml:space="preserve">McPhee</w:t>
                  </w:r>
                </w:p>
                <w:p>
                  <w:pPr>
                    <w:spacing w:before="0" w:after="0" w:line="276" w:lineRule="exact"/>
                    <w:ind w:left="0" w:firstLine="0"/>
                    <w:jc w:val="left"/>
                  </w:pPr>
                  <w:r>
                    <w:t xml:space="preserve">ELIZABETH</w:t>
                  </w:r>
                  <w:r>
                    <w:t xml:space="preserve"> </w:t>
                  </w:r>
                  <w:r>
                    <w:t xml:space="preserve">BAKER</w:t>
                  </w:r>
                  <w:r>
                    <w:t xml:space="preserve"> </w:t>
                  </w:r>
                  <w:r>
                    <w:t xml:space="preserve">MURRILL</w:t>
                  </w:r>
                  <w:r>
                    <w:t xml:space="preserve"> </w:t>
                  </w:r>
                  <w:r>
                    <w:t xml:space="preserve">(#20685)</w:t>
                  </w:r>
                </w:p>
                <w:p>
                  <w:pPr>
                    <w:spacing w:before="0" w:after="0" w:line="276" w:lineRule="exact"/>
                    <w:ind w:left="0" w:firstLine="0"/>
                    <w:jc w:val="left"/>
                  </w:pPr>
                  <w:r>
                    <w:t xml:space="preserve">Solicitor</w:t>
                  </w:r>
                  <w:r>
                    <w:t xml:space="preserve"> </w:t>
                  </w:r>
                  <w:r>
                    <w:t xml:space="preserve">General</w:t>
                  </w:r>
                </w:p>
                <w:p>
                  <w:pPr>
                    <w:spacing w:before="0" w:after="0" w:line="276" w:lineRule="exact"/>
                    <w:ind w:left="0" w:firstLine="0"/>
                    <w:jc w:val="left"/>
                  </w:pPr>
                  <w:r>
                    <w:t xml:space="preserve">SHAE</w:t>
                  </w:r>
                  <w:r>
                    <w:t xml:space="preserve"> </w:t>
                  </w:r>
                  <w:r>
                    <w:t xml:space="preserve">MCPHEE</w:t>
                  </w:r>
                  <w:r>
                    <w:t xml:space="preserve"> </w:t>
                  </w:r>
                  <w:r>
                    <w:t xml:space="preserve">(#38565)</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Lead</w:t>
                  </w:r>
                  <w:r>
                    <w:t xml:space="preserve"> </w:t>
                  </w:r>
                  <w:r>
                    <w:t xml:space="preserve">Counsel</w:t>
                  </w:r>
                </w:p>
                <w:p>
                  <w:pPr>
                    <w:spacing w:before="0" w:after="0" w:line="276" w:lineRule="exact"/>
                    <w:ind w:left="0" w:firstLine="0"/>
                    <w:jc w:val="left"/>
                  </w:pPr>
                  <w:r>
                    <w:t xml:space="preserve">J.</w:t>
                  </w:r>
                  <w:r>
                    <w:t xml:space="preserve"> </w:t>
                  </w:r>
                  <w:r>
                    <w:t xml:space="preserve">Taylor</w:t>
                  </w:r>
                  <w:r>
                    <w:t xml:space="preserve"> </w:t>
                  </w:r>
                  <w:r>
                    <w:t xml:space="preserve">Gray</w:t>
                  </w:r>
                  <w:r>
                    <w:t xml:space="preserve"> </w:t>
                  </w:r>
                  <w:r>
                    <w:t xml:space="preserve">(#33562)</w:t>
                  </w:r>
                </w:p>
                <w:p>
                  <w:pPr>
                    <w:spacing w:before="0" w:after="0" w:line="276" w:lineRule="exact"/>
                    <w:ind w:left="0" w:firstLine="0"/>
                    <w:jc w:val="left"/>
                  </w:pPr>
                  <w:r>
                    <w:t xml:space="preserve">Assistant</w:t>
                  </w:r>
                  <w:r>
                    <w:t xml:space="preserve"> </w:t>
                  </w:r>
                  <w:r>
                    <w:t xml:space="preserve">Attorney</w:t>
                  </w:r>
                  <w:r>
                    <w:t xml:space="preserve"> </w:t>
                  </w:r>
                  <w:r>
                    <w:t xml:space="preserve">General</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1850</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0" w:firstLine="0"/>
                    <w:jc w:val="left"/>
                  </w:pPr>
                  <w:r>
                    <w:t xml:space="preserve">Telephone:</w:t>
                  </w:r>
                  <w:r>
                    <w:t xml:space="preserve"> </w:t>
                  </w:r>
                  <w:r>
                    <w:t xml:space="preserve">(225)</w:t>
                  </w:r>
                  <w:r>
                    <w:t xml:space="preserve"> </w:t>
                  </w:r>
                  <w:r>
                    <w:t xml:space="preserve">938</w:t>
                    <w:noBreakHyphen/>
                    <w:t xml:space="preserve">0779</w:t>
                  </w:r>
                </w:p>
                <w:p>
                  <w:pPr>
                    <w:spacing w:before="0" w:after="0" w:line="276" w:lineRule="exact"/>
                    <w:ind w:left="0" w:firstLine="0"/>
                    <w:jc w:val="left"/>
                  </w:pPr>
                  <w:r>
                    <w:t xml:space="preserve">Facsimile:</w:t>
                  </w:r>
                  <w:r>
                    <w:t xml:space="preserve"> </w:t>
                  </w:r>
                  <w:r>
                    <w:t xml:space="preserve">(504)</w:t>
                  </w:r>
                  <w:r>
                    <w:t xml:space="preserve"> </w:t>
                  </w:r>
                  <w:r>
                    <w:t xml:space="preserve">556</w:t>
                    <w:noBreakHyphen/>
                    <w:t xml:space="preserve">9900</w:t>
                  </w:r>
                </w:p>
                <w:p>
                  <w:pPr>
                    <w:spacing w:before="0" w:after="0" w:line="276" w:lineRule="exact"/>
                    <w:ind w:left="0" w:firstLine="0"/>
                    <w:jc w:val="left"/>
                  </w:pPr>
                  <w:r>
                    <w:t xml:space="preserve">mcphees@ag.louisiana.gov</w:t>
                  </w:r>
                </w:p>
              </w:tc>
              <w:tc>
                <w:tcPr>
                  <w:tcW w:w="4896" w:type="dxa"/>
                  <w:tcMar>
                    <w:left w:w="432" w:type="dxa"/>
                  </w:tcMar>
                </w:tcPr>
                <w:p>
                  <w:pPr>
                    <w:spacing w:before="0" w:after="0" w:line="276" w:lineRule="exact"/>
                    <w:ind w:left="0" w:firstLine="0"/>
                    <w:jc w:val="left"/>
                  </w:pPr>
                  <w:r>
                    <w:t xml:space="preserve">CHARLES</w:t>
                  </w:r>
                  <w:r>
                    <w:t xml:space="preserve"> </w:t>
                  </w:r>
                  <w:r>
                    <w:t xml:space="preserve">J.</w:t>
                  </w:r>
                  <w:r>
                    <w:t xml:space="preserve"> </w:t>
                  </w:r>
                  <w:r>
                    <w:t xml:space="preserve">BALLAY</w:t>
                  </w:r>
                  <w:r>
                    <w:t xml:space="preserve"> </w:t>
                  </w:r>
                  <w:r>
                    <w:t xml:space="preserve">(#2719)</w:t>
                  </w:r>
                </w:p>
                <w:p>
                  <w:pPr>
                    <w:spacing w:before="0" w:after="0" w:line="276" w:lineRule="exact"/>
                    <w:ind w:left="0" w:firstLine="0"/>
                    <w:jc w:val="left"/>
                  </w:pPr>
                  <w:r>
                    <w:t xml:space="preserve">DISTRICT</w:t>
                  </w:r>
                  <w:r>
                    <w:t xml:space="preserve"> </w:t>
                  </w:r>
                  <w:r>
                    <w:t xml:space="preserve">ATTORNEY</w:t>
                  </w:r>
                </w:p>
                <w:p>
                  <w:pPr>
                    <w:spacing w:before="0" w:after="0" w:line="276" w:lineRule="exact"/>
                    <w:ind w:left="0" w:firstLine="0"/>
                    <w:jc w:val="left"/>
                  </w:pPr>
                  <w:r>
                    <w:t xml:space="preserve">25th</w:t>
                  </w:r>
                  <w:r>
                    <w:t xml:space="preserve"> </w:t>
                  </w:r>
                  <w:r>
                    <w:t xml:space="preserve">Judicial</w:t>
                  </w:r>
                  <w:r>
                    <w:t xml:space="preserve"> </w:t>
                  </w:r>
                  <w:r>
                    <w:t xml:space="preserve">District</w:t>
                  </w:r>
                </w:p>
                <w:p>
                  <w:pPr>
                    <w:spacing w:before="0" w:after="0" w:line="276" w:lineRule="exact"/>
                    <w:ind w:left="0" w:firstLine="0"/>
                    <w:jc w:val="left"/>
                  </w:pPr>
                  <w:r>
                    <w:t xml:space="preserve">333</w:t>
                  </w:r>
                  <w:r>
                    <w:t xml:space="preserve"> </w:t>
                  </w:r>
                  <w:r>
                    <w:t xml:space="preserve">F.</w:t>
                  </w:r>
                  <w:r>
                    <w:t xml:space="preserve"> </w:t>
                  </w:r>
                  <w:r>
                    <w:t xml:space="preserve">Edward</w:t>
                  </w:r>
                  <w:r>
                    <w:t xml:space="preserve"> </w:t>
                  </w:r>
                  <w:r>
                    <w:t xml:space="preserve">Hebert</w:t>
                  </w:r>
                  <w:r>
                    <w:t xml:space="preserve"> </w:t>
                  </w:r>
                  <w:r>
                    <w:t xml:space="preserve">Blvd.,</w:t>
                  </w:r>
                  <w:r>
                    <w:t xml:space="preserve"> </w:t>
                  </w:r>
                  <w:r>
                    <w:t xml:space="preserve">Bldg.</w:t>
                  </w:r>
                  <w:r>
                    <w:t xml:space="preserve"> </w:t>
                  </w:r>
                  <w:r>
                    <w:t xml:space="preserve">201</w:t>
                  </w:r>
                </w:p>
                <w:p>
                  <w:pPr>
                    <w:spacing w:before="0" w:after="0" w:line="276" w:lineRule="exact"/>
                    <w:ind w:left="0" w:firstLine="0"/>
                    <w:jc w:val="left"/>
                  </w:pPr>
                  <w:r>
                    <w:t xml:space="preserve">Belle</w:t>
                  </w:r>
                  <w:r>
                    <w:t xml:space="preserve"> </w:t>
                  </w:r>
                  <w:r>
                    <w:t xml:space="preserve">Chasse,</w:t>
                  </w:r>
                  <w:r>
                    <w:t xml:space="preserve"> </w:t>
                  </w:r>
                  <w:r>
                    <w:t xml:space="preserve">LA</w:t>
                  </w:r>
                  <w:r>
                    <w:t xml:space="preserve"> </w:t>
                  </w:r>
                  <w:r>
                    <w:t xml:space="preserve">70037</w:t>
                  </w:r>
                </w:p>
                <w:p>
                  <w:pPr>
                    <w:spacing w:before="0" w:after="0" w:line="276" w:lineRule="exact"/>
                    <w:ind w:left="0" w:firstLine="0"/>
                    <w:jc w:val="left"/>
                  </w:pPr>
                  <w:r>
                    <w:t xml:space="preserve">Telephone:</w:t>
                  </w:r>
                  <w:r>
                    <w:t xml:space="preserve"> </w:t>
                  </w:r>
                  <w:r>
                    <w:t xml:space="preserve">(504)</w:t>
                  </w:r>
                  <w:r>
                    <w:t xml:space="preserve"> </w:t>
                  </w:r>
                  <w:r>
                    <w:t xml:space="preserve">934</w:t>
                    <w:noBreakHyphen/>
                    <w:t xml:space="preserve">6630</w:t>
                  </w:r>
                </w:p>
                <w:p>
                  <w:pPr>
                    <w:spacing w:before="0" w:after="0" w:line="276" w:lineRule="exact"/>
                    <w:ind w:left="0" w:firstLine="0"/>
                    <w:jc w:val="left"/>
                  </w:pPr>
                  <w:r>
                    <w:t xml:space="preserve">charlesballay@25thda.org</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all</w:t>
      </w:r>
      <w:r>
        <w:t xml:space="preserve"> </w:t>
      </w:r>
      <w:r>
        <w:t xml:space="preserve">of</w:t>
      </w:r>
      <w:r>
        <w:t xml:space="preserve"> </w:t>
      </w:r>
      <w:r>
        <w:t xml:space="preserve">the</w:t>
      </w:r>
      <w:r>
        <w:t xml:space="preserve"> </w:t>
      </w:r>
      <w:r>
        <w:t xml:space="preserve">information</w:t>
      </w:r>
      <w:r>
        <w:t xml:space="preserve"> </w:t>
      </w:r>
      <w:r>
        <w:t xml:space="preserve">contained</w:t>
      </w:r>
      <w:r>
        <w:t xml:space="preserve"> </w:t>
      </w:r>
      <w:r>
        <w:t xml:space="preserve">in</w:t>
      </w:r>
      <w:r>
        <w:t xml:space="preserve"> </w:t>
      </w:r>
      <w:r>
        <w:t xml:space="preserve">Louisiana’s</w:t>
      </w:r>
      <w:r>
        <w:t xml:space="preserve"> </w:t>
      </w:r>
      <w:r>
        <w:t xml:space="preserve">Reply</w:t>
      </w:r>
      <w:r>
        <w:t xml:space="preserve"> </w:t>
      </w:r>
      <w:r>
        <w:t xml:space="preserve">Brief,</w:t>
      </w:r>
      <w:r>
        <w:t xml:space="preserve"> </w:t>
      </w:r>
      <w:r>
        <w:t xml:space="preserve">by</w:t>
      </w:r>
      <w:r>
        <w:t xml:space="preserve"> </w:t>
      </w:r>
      <w:r>
        <w:t xml:space="preserve">the</w:t>
      </w:r>
      <w:r>
        <w:t xml:space="preserve"> </w:t>
      </w:r>
      <w:r>
        <w:t xml:space="preserve">State</w:t>
      </w:r>
      <w:r>
        <w:t xml:space="preserve"> </w:t>
      </w:r>
      <w:r>
        <w:t xml:space="preserve">of</w:t>
      </w:r>
      <w:r>
        <w:t xml:space="preserve"> </w:t>
      </w:r>
      <w:r>
        <w:t xml:space="preserve">Louisiana</w:t>
      </w:r>
      <w:r>
        <w:t xml:space="preserve"> </w:t>
      </w:r>
      <w:r>
        <w:t xml:space="preserve">through</w:t>
      </w:r>
      <w:r>
        <w:t xml:space="preserve"> </w:t>
      </w:r>
      <w:r>
        <w:t xml:space="preserve">the</w:t>
      </w:r>
      <w:r>
        <w:t xml:space="preserve"> </w:t>
      </w:r>
      <w:r>
        <w:t xml:space="preserve">Attorney</w:t>
      </w:r>
      <w:r>
        <w:t xml:space="preserve"> </w:t>
      </w:r>
      <w:r>
        <w:t xml:space="preserve">General,</w:t>
      </w:r>
      <w:r>
        <w:t xml:space="preserve"> </w:t>
      </w:r>
      <w:r>
        <w:t xml:space="preserve">is</w:t>
      </w:r>
      <w:r>
        <w:t xml:space="preserve"> </w:t>
      </w:r>
      <w:r>
        <w:t xml:space="preserve">true</w:t>
      </w:r>
      <w:r>
        <w:t xml:space="preserve"> </w:t>
      </w:r>
      <w:r>
        <w:t xml:space="preserve">and</w:t>
      </w:r>
      <w:r>
        <w:t xml:space="preserve"> </w:t>
      </w:r>
      <w:r>
        <w:t xml:space="preserve">correct</w:t>
      </w:r>
      <w:r>
        <w:t xml:space="preserve"> </w:t>
      </w:r>
      <w:r>
        <w:t xml:space="preserve">to</w:t>
      </w:r>
      <w:r>
        <w:t xml:space="preserve"> </w:t>
      </w:r>
      <w:r>
        <w:t xml:space="preserve">the</w:t>
      </w:r>
      <w:r>
        <w:t xml:space="preserve"> </w:t>
      </w:r>
      <w:r>
        <w:t xml:space="preserve">best</w:t>
      </w:r>
      <w:r>
        <w:t xml:space="preserve"> </w:t>
      </w:r>
      <w:r>
        <w:t xml:space="preserve">of</w:t>
      </w:r>
      <w:r>
        <w:t xml:space="preserve"> </w:t>
      </w:r>
      <w:r>
        <w:t xml:space="preserve">my</w:t>
      </w:r>
      <w:r>
        <w:t xml:space="preserve"> </w:t>
      </w:r>
      <w:r>
        <w:t xml:space="preserve">knowledge.</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mailed,</w:t>
      </w:r>
      <w:r>
        <w:t xml:space="preserve"> </w:t>
      </w:r>
      <w:r>
        <w:t xml:space="preserve">by</w:t>
      </w:r>
      <w:r>
        <w:t xml:space="preserve"> </w:t>
      </w:r>
      <w:r>
        <w:t xml:space="preserve">United</w:t>
      </w:r>
      <w:r>
        <w:t xml:space="preserve"> </w:t>
      </w:r>
      <w:r>
        <w:t xml:space="preserve">States</w:t>
      </w:r>
      <w:r>
        <w:t xml:space="preserve"> </w:t>
      </w:r>
      <w:r>
        <w:t xml:space="preserve">Mail</w:t>
      </w:r>
      <w:r>
        <w:t xml:space="preserve"> </w:t>
      </w:r>
      <w:r>
        <w:t xml:space="preserve">or</w:t>
      </w:r>
      <w:r>
        <w:t xml:space="preserve"> </w:t>
      </w:r>
      <w:r>
        <w:t xml:space="preserve">Federal</w:t>
      </w:r>
      <w:r>
        <w:t xml:space="preserve"> </w:t>
      </w:r>
      <w:r>
        <w:t xml:space="preserve">Express,</w:t>
      </w:r>
      <w:r>
        <w:t xml:space="preserve"> </w:t>
      </w:r>
      <w:r>
        <w:t xml:space="preserve">postage</w:t>
      </w:r>
      <w:r>
        <w:t xml:space="preserve"> </w:t>
      </w:r>
      <w:r>
        <w:t xml:space="preserve">prepaid,</w:t>
      </w:r>
      <w:r>
        <w:t xml:space="preserve"> </w:t>
      </w:r>
      <w:r>
        <w:t xml:space="preserve">on</w:t>
      </w:r>
      <w:r>
        <w:t xml:space="preserve"> </w:t>
      </w:r>
      <w:r>
        <w:t xml:space="preserve">May</w:t>
      </w:r>
      <w:r>
        <w:t xml:space="preserve"> </w:t>
      </w:r>
      <w:r>
        <w:t xml:space="preserve">5,</w:t>
      </w:r>
      <w:r>
        <w:t xml:space="preserve"> </w:t>
      </w:r>
      <w:r>
        <w:t xml:space="preserve">2022,</w:t>
      </w:r>
      <w:r>
        <w:t xml:space="preserve"> </w:t>
      </w:r>
      <w:r>
        <w:t xml:space="preserve">to</w:t>
      </w:r>
      <w:r>
        <w:t xml:space="preserve"> </w:t>
      </w:r>
      <w:r>
        <w:t xml:space="preserve">all</w:t>
      </w:r>
      <w:r>
        <w:t xml:space="preserve"> </w:t>
      </w:r>
      <w:r>
        <w:t xml:space="preserve">known</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the</w:t>
      </w:r>
      <w:r>
        <w:t xml:space="preserve"> </w:t>
      </w:r>
      <w:r>
        <w:t xml:space="preserve">district</w:t>
      </w:r>
      <w:r>
        <w:t xml:space="preserve"> </w:t>
      </w:r>
      <w:r>
        <w:t xml:space="preserve">court</w:t>
      </w:r>
      <w:r>
        <w:t xml:space="preserve"> </w:t>
      </w:r>
      <w:r>
        <w:t xml:space="preserve">judge,</w:t>
      </w:r>
      <w:r>
        <w:t xml:space="preserve"> </w:t>
      </w:r>
      <w:r>
        <w:t xml:space="preserve">as</w:t>
      </w:r>
      <w:r>
        <w:t xml:space="preserve"> </w:t>
      </w:r>
      <w:r>
        <w:t xml:space="preserve">follows:</w:t>
      </w:r>
    </w:p>
    <w:p>
      <w:pPr>
        <w:spacing w:before="288" w:after="0" w:line="276" w:lineRule="exact"/>
        <w:ind w:left="0" w:firstLine="0"/>
        <w:jc w:val="left"/>
      </w:pPr>
      <w:r>
        <w:t xml:space="preserve">Hardell</w:t>
      </w:r>
      <w:r>
        <w:t xml:space="preserve"> </w:t>
      </w:r>
      <w:r>
        <w:t xml:space="preserve">Ward</w:t>
      </w:r>
    </w:p>
    <w:p>
      <w:pPr>
        <w:spacing w:before="0" w:after="0" w:line="276" w:lineRule="exact"/>
        <w:ind w:left="0" w:firstLine="0"/>
        <w:jc w:val="left"/>
      </w:pPr>
      <w:r>
        <w:t xml:space="preserve">The</w:t>
      </w:r>
      <w:r>
        <w:t xml:space="preserve"> </w:t>
      </w:r>
      <w:r>
        <w:t xml:space="preserve">Promise</w:t>
      </w:r>
      <w:r>
        <w:t xml:space="preserve"> </w:t>
      </w:r>
      <w:r>
        <w:t xml:space="preserve">of</w:t>
      </w:r>
      <w:r>
        <w:t xml:space="preserve"> </w:t>
      </w:r>
      <w:r>
        <w:t xml:space="preserve">Justice</w:t>
      </w:r>
      <w:r>
        <w:t xml:space="preserve"> </w:t>
      </w:r>
      <w:r>
        <w:t xml:space="preserve">Initiative</w:t>
      </w:r>
    </w:p>
    <w:p>
      <w:pPr>
        <w:spacing w:before="0" w:after="0" w:line="276" w:lineRule="exact"/>
        <w:ind w:left="0" w:firstLine="0"/>
        <w:jc w:val="left"/>
      </w:pPr>
      <w:r>
        <w:t xml:space="preserve">1024</w:t>
      </w:r>
      <w:r>
        <w:t xml:space="preserve"> </w:t>
      </w:r>
      <w:r>
        <w:t xml:space="preserve">Elysian</w:t>
      </w:r>
      <w:r>
        <w:t xml:space="preserve"> </w:t>
      </w:r>
      <w:r>
        <w:t xml:space="preserve">Fields</w:t>
      </w:r>
      <w:r>
        <w:t xml:space="preserve"> </w:t>
      </w:r>
      <w:r>
        <w:t xml:space="preserve">Avenue</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70117</w:t>
      </w:r>
    </w:p>
    <w:p>
      <w:pPr>
        <w:spacing w:before="0" w:after="0" w:line="276" w:lineRule="exact"/>
        <w:ind w:left="0" w:firstLine="0"/>
        <w:jc w:val="left"/>
      </w:pPr>
      <w:r>
        <w:t xml:space="preserve">hward@defendla.org</w:t>
      </w:r>
    </w:p>
    <w:p>
      <w:pPr>
        <w:spacing w:before="0" w:after="0" w:line="276" w:lineRule="exact"/>
        <w:ind w:left="0" w:firstLine="0"/>
        <w:jc w:val="left"/>
      </w:pPr>
      <w:r>
        <w:t xml:space="preserve">Counsel</w:t>
      </w:r>
      <w:r>
        <w:t xml:space="preserve"> </w:t>
      </w:r>
      <w:r>
        <w:t xml:space="preserve">for</w:t>
      </w:r>
      <w:r>
        <w:t xml:space="preserve"> </w:t>
      </w:r>
      <w:r>
        <w:t xml:space="preserve">Reginald</w:t>
      </w:r>
      <w:r>
        <w:t xml:space="preserve"> </w:t>
      </w:r>
      <w:r>
        <w:t xml:space="preserve">Reddick</w:t>
      </w:r>
    </w:p>
    <w:p>
      <w:pPr>
        <w:spacing w:before="0" w:after="0" w:line="276" w:lineRule="exact"/>
        <w:ind w:left="0" w:firstLine="0"/>
        <w:jc w:val="left"/>
      </w:pPr>
      <w:r>
        <w:t xml:space="preserve">The</w:t>
      </w:r>
      <w:r>
        <w:t xml:space="preserve"> </w:t>
      </w:r>
      <w:r>
        <w:t xml:space="preserve">Honorable</w:t>
      </w:r>
      <w:r>
        <w:t xml:space="preserve"> </w:t>
      </w:r>
      <w:r>
        <w:t xml:space="preserve">Michael</w:t>
      </w:r>
      <w:r>
        <w:t xml:space="preserve"> </w:t>
      </w:r>
      <w:r>
        <w:t xml:space="preserve">D.</w:t>
      </w:r>
      <w:r>
        <w:t xml:space="preserve"> </w:t>
      </w:r>
      <w:r>
        <w:t xml:space="preserve">Clement</w:t>
      </w:r>
    </w:p>
    <w:p>
      <w:pPr>
        <w:spacing w:before="0" w:after="0" w:line="276" w:lineRule="exact"/>
        <w:ind w:left="0" w:firstLine="0"/>
        <w:jc w:val="left"/>
      </w:pPr>
      <w:r>
        <w:t xml:space="preserve">25th</w:t>
      </w:r>
      <w:r>
        <w:t xml:space="preserve"> </w:t>
      </w:r>
      <w:r>
        <w:t xml:space="preserve">Judicial</w:t>
      </w:r>
      <w:r>
        <w:t xml:space="preserve"> </w:t>
      </w:r>
      <w:r>
        <w:t xml:space="preserve">District</w:t>
      </w:r>
      <w:r>
        <w:t xml:space="preserve"> </w:t>
      </w:r>
      <w:r>
        <w:t xml:space="preserve">Court,</w:t>
      </w:r>
      <w:r>
        <w:t xml:space="preserve"> </w:t>
      </w:r>
      <w:r>
        <w:t xml:space="preserve">Parish</w:t>
      </w:r>
      <w:r>
        <w:t xml:space="preserve"> </w:t>
      </w:r>
      <w:r>
        <w:t xml:space="preserve">of</w:t>
      </w:r>
      <w:r>
        <w:t xml:space="preserve"> </w:t>
      </w:r>
      <w:r>
        <w:t xml:space="preserve">Plaquemines</w:t>
      </w:r>
    </w:p>
    <w:p>
      <w:pPr>
        <w:spacing w:before="0" w:after="0" w:line="276" w:lineRule="exact"/>
        <w:ind w:left="0" w:firstLine="0"/>
        <w:jc w:val="left"/>
      </w:pPr>
      <w:r>
        <w:t xml:space="preserve">Division</w:t>
      </w:r>
      <w:r>
        <w:t xml:space="preserve"> </w:t>
      </w:r>
      <w:r>
        <w:t xml:space="preserve">B</w:t>
      </w:r>
    </w:p>
    <w:p>
      <w:pPr>
        <w:spacing w:before="0" w:after="0" w:line="276" w:lineRule="exact"/>
        <w:ind w:left="0" w:firstLine="0"/>
        <w:jc w:val="left"/>
      </w:pPr>
      <w:r>
        <w:t xml:space="preserve">P.O.</w:t>
      </w:r>
      <w:r>
        <w:t xml:space="preserve"> </w:t>
      </w:r>
      <w:r>
        <w:t xml:space="preserve">Box</w:t>
      </w:r>
      <w:r>
        <w:t xml:space="preserve"> </w:t>
      </w:r>
      <w:r>
        <w:t xml:space="preserve">7126</w:t>
      </w:r>
    </w:p>
    <w:p>
      <w:pPr>
        <w:spacing w:before="0" w:after="0" w:line="276" w:lineRule="exact"/>
        <w:ind w:left="0" w:firstLine="0"/>
        <w:jc w:val="left"/>
      </w:pPr>
      <w:r>
        <w:t xml:space="preserve">Belle</w:t>
      </w:r>
      <w:r>
        <w:t xml:space="preserve"> </w:t>
      </w:r>
      <w:r>
        <w:t xml:space="preserve">Chasse,</w:t>
      </w:r>
      <w:r>
        <w:t xml:space="preserve"> </w:t>
      </w:r>
      <w:r>
        <w:t xml:space="preserve">Louisiana</w:t>
      </w:r>
      <w:r>
        <w:t xml:space="preserve"> </w:t>
      </w:r>
      <w:r>
        <w:t xml:space="preserve">70037</w:t>
      </w:r>
    </w:p>
    <w:p>
      <w:pPr>
        <w:spacing w:before="0" w:after="0" w:line="276" w:lineRule="exact"/>
        <w:ind w:left="0" w:firstLine="0"/>
        <w:jc w:val="left"/>
      </w:pPr>
      <w:r>
        <w:t xml:space="preserve">mclement@25thjdc.com</w:t>
      </w:r>
    </w:p>
    <w:p>
      <w:pPr>
        <w:spacing w:before="0" w:after="0" w:line="276" w:lineRule="exact"/>
        <w:ind w:left="0" w:firstLine="0"/>
        <w:jc w:val="left"/>
      </w:pPr>
      <w:r>
        <w:t xml:space="preserve">Justin</w:t>
      </w:r>
      <w:r>
        <w:t xml:space="preserve"> </w:t>
      </w:r>
      <w:r>
        <w:t xml:space="preserve">I.</w:t>
      </w:r>
      <w:r>
        <w:t xml:space="preserve"> </w:t>
      </w:r>
      <w:r>
        <w:t xml:space="preserve">Woods</w:t>
      </w:r>
    </w:p>
    <w:p>
      <w:pPr>
        <w:spacing w:before="0" w:after="0" w:line="276" w:lineRule="exact"/>
        <w:ind w:left="0" w:firstLine="0"/>
        <w:jc w:val="left"/>
      </w:pPr>
      <w:r>
        <w:t xml:space="preserve">Clerk</w:t>
      </w:r>
      <w:r>
        <w:t xml:space="preserve"> </w:t>
      </w:r>
      <w:r>
        <w:t xml:space="preserve">of</w:t>
      </w:r>
      <w:r>
        <w:t xml:space="preserve"> </w:t>
      </w:r>
      <w:r>
        <w:t xml:space="preserve">Court</w:t>
      </w:r>
    </w:p>
    <w:p>
      <w:pPr>
        <w:spacing w:before="0" w:after="0" w:line="276" w:lineRule="exact"/>
        <w:ind w:left="0" w:firstLine="0"/>
        <w:jc w:val="left"/>
      </w:pPr>
      <w:r>
        <w:t xml:space="preserve">Louisiana</w:t>
      </w:r>
      <w:r>
        <w:t xml:space="preserve"> </w:t>
      </w:r>
      <w:r>
        <w:t xml:space="preserve">Fourth</w:t>
      </w:r>
      <w:r>
        <w:t xml:space="preserve"> </w:t>
      </w:r>
      <w:r>
        <w:t xml:space="preserve">Circuit</w:t>
      </w:r>
      <w:r>
        <w:t xml:space="preserve"> </w:t>
      </w:r>
      <w:r>
        <w:t xml:space="preserve">Court</w:t>
      </w:r>
      <w:r>
        <w:t xml:space="preserve"> </w:t>
      </w:r>
      <w:r>
        <w:t xml:space="preserve">of</w:t>
      </w:r>
      <w:r>
        <w:t xml:space="preserve"> </w:t>
      </w:r>
      <w:r>
        <w:t xml:space="preserve">Appeal</w:t>
      </w:r>
    </w:p>
    <w:p>
      <w:pPr>
        <w:spacing w:before="0" w:after="0" w:line="276" w:lineRule="exact"/>
        <w:ind w:left="0" w:firstLine="0"/>
        <w:jc w:val="left"/>
      </w:pPr>
      <w:r>
        <w:t xml:space="preserve">410</w:t>
      </w:r>
      <w:r>
        <w:t xml:space="preserve"> </w:t>
      </w:r>
      <w:r>
        <w:t xml:space="preserve">Royal</w:t>
      </w:r>
      <w:r>
        <w:t xml:space="preserve"> </w:t>
      </w:r>
      <w:r>
        <w:t xml:space="preserve">Street</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70130</w:t>
      </w:r>
    </w:p>
    <w:p>
      <w:pPr>
        <w:spacing w:before="0" w:after="0" w:line="276" w:lineRule="exact"/>
        <w:ind w:left="0" w:firstLine="0"/>
        <w:jc w:val="left"/>
      </w:pPr>
      <w:r>
        <w:t xml:space="preserve">coc@la4th.org</w:t>
      </w:r>
    </w:p>
    <w:p>
      <w:pPr>
        <w:spacing w:before="336" w:after="0" w:line="276" w:lineRule="exact"/>
        <w:ind w:left="4608" w:firstLine="0"/>
        <w:jc w:val="left"/>
      </w:pPr>
      <w:r>
        <w:t xml:space="preserve">/s/</w:t>
      </w:r>
      <w:r>
        <w:t xml:space="preserve"> </w:t>
      </w:r>
      <w:r>
        <w:t xml:space="preserve">Shae</w:t>
      </w:r>
      <w:r>
        <w:t xml:space="preserve"> </w:t>
      </w:r>
      <w:r>
        <w:t xml:space="preserve">McPhee</w:t>
      </w:r>
    </w:p>
    <w:p>
      <w:pPr>
        <w:spacing w:before="0" w:after="0" w:line="276" w:lineRule="exact"/>
        <w:ind w:left="4608" w:firstLine="0"/>
        <w:jc w:val="left"/>
      </w:pPr>
      <w:r>
        <w:t xml:space="preserve">Shae</w:t>
      </w:r>
      <w:r>
        <w:t xml:space="preserve"> </w:t>
      </w:r>
      <w:r>
        <w:t xml:space="preserve">McPhee</w:t>
      </w:r>
    </w:p>
    <w:p>
      <w:pPr>
        <w:spacing w:before="0" w:after="0" w:line="276" w:lineRule="exact"/>
        <w:ind w:left="4608" w:firstLine="0"/>
        <w:jc w:val="left"/>
      </w:pPr>
      <w:r>
        <w:t xml:space="preserve">Deputy</w:t>
      </w:r>
      <w:r>
        <w:t xml:space="preserve"> </w:t>
      </w:r>
      <w:r>
        <w:t xml:space="preserve">Solicitor</w:t>
      </w:r>
      <w:r>
        <w:t xml:space="preserve"> </w:t>
      </w:r>
      <w:r>
        <w:t xml:space="preserve">General</w:t>
      </w:r>
    </w:p>
    <w:p>
      <w:pPr>
        <w:spacing w:before="0" w:after="0" w:line="276" w:lineRule="exact"/>
        <w:ind w:left="4608" w:firstLine="0"/>
        <w:jc w:val="left"/>
      </w:pPr>
      <w:r>
        <w:t xml:space="preserve">Counsel</w:t>
      </w:r>
      <w:r>
        <w:t xml:space="preserve"> </w:t>
      </w:r>
      <w:r>
        <w:t xml:space="preserve">for</w:t>
      </w:r>
      <w:r>
        <w:t xml:space="preserve"> </w:t>
      </w:r>
      <w:r>
        <w:t xml:space="preserve">Applicant</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To be sure, the Ramos rule applied to some offenders whose cases remained pending on direct review even though they had committed offenses before January 1, 2019. But Reddick’s argument that Ramos ended</w:t>
      </w:r>
      <w:r>
        <w:t xml:space="preserve"> </w:t>
      </w:r>
      <w:r>
        <w:t xml:space="preserve">“the last Jim Crow law”</w:t>
      </w:r>
      <w:r>
        <w:t xml:space="preserve"> </w:t>
      </w:r>
      <w:r>
        <w:t xml:space="preserve">fails to acknowledge the importance of the State’s 2018 amendment. Resp. Br. at 14.</w:t>
      </w:r>
    </w:p>
  </w:footnote>
  <w:footnote w:id="10">
    <w:p>
      <w:pPr>
        <w:pStyle w:val="FootnoteText"/>
      </w:pPr>
      <w:r>
        <w:rPr>
          <w:rStyle w:val="FootnoteReference"/>
        </w:rPr>
        <w:footnoteRef/>
      </w:r>
      <w:r>
        <w:t xml:space="preserve"> </w:t>
      </w:r>
      <w:r>
        <w:t xml:space="preserve">The State has never conceded that the non-unanimity rule was the product of racial animus. In Ramos, the State explained the history of rule. See La. Br. at 36</w:t>
      </w:r>
      <w:r>
        <w:noBreakHyphen/>
      </w:r>
      <w:r>
        <w:t xml:space="preserve">39, available at https://​www.​supremecourt.​gov/​DocketPDF/​18/​18</w:t>
      </w:r>
      <w:r>
        <w:noBreakHyphen/>
      </w:r>
      <w:r>
        <w:t xml:space="preserve">5924/​112629/​20190816150657072_18</w:t>
      </w:r>
      <w:r>
        <w:noBreakHyphen/>
      </w:r>
      <w:r>
        <w:t xml:space="preserve">5924%20Respondent%20BOM.​pdf.</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