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168" w:after="0" w:line="400" w:lineRule="exact"/>
        <w:jc w:val="center"/>
      </w:pPr>
      <w:r>
        <w:rPr>
          <w:b/>
          <w:bCs/>
        </w:rPr>
        <w:t xml:space="preserve">No. </w:t>
      </w:r>
      <w:r>
        <w:rPr>
          <w:b/>
          <w:bCs/>
        </w:rPr>
        <w:t xml:space="preserve">24-⁠1311</w:t>
      </w:r>
    </w:p>
    <w:p>
      <w:pPr>
        <w:pBdr>
          <w:bottom w:val="single" w:sz="8" w:space="1" w:color="000000"/>
        </w:pBdr>
        <w:spacing w:before="280" w:after="0" w:line="120" w:lineRule="exact"/>
        <w:ind w:left="0" w:right="0"/>
      </w:pPr>
    </w:p>
    <w:p>
      <w:pPr>
        <w:spacing w:before="280" w:after="0" w:line="400" w:lineRule="exact"/>
        <w:jc w:val="center"/>
      </w:pPr>
      <w:r>
        <w:rPr>
          <w:b/>
          <w:bCs/>
        </w:rPr>
        <w:t xml:space="preserve">UNITED STATES COURT OF APPEALS FOR THE FIRST CIRCUIT</w:t>
      </w:r>
    </w:p>
    <w:p>
      <w:pPr>
        <w:pBdr>
          <w:bottom w:val="single" w:sz="6" w:space="1" w:color="000000"/>
        </w:pBdr>
        <w:spacing w:before="280" w:after="0" w:line="120" w:lineRule="exact"/>
        <w:ind w:left="3240" w:right="3240"/>
      </w:pPr>
    </w:p>
    <w:p>
      <w:pPr>
        <w:spacing w:before="280" w:after="0" w:line="400" w:lineRule="exact"/>
        <w:jc w:val="center"/>
      </w:pPr>
      <w:r>
        <w:t xml:space="preserve">UNITED</w:t>
      </w:r>
      <w:r>
        <w:t xml:space="preserve"> </w:t>
      </w:r>
      <w:r>
        <w:t xml:space="preserve">STATES,</w:t>
      </w:r>
    </w:p>
    <w:p>
      <w:pPr>
        <w:spacing w:before="98" w:after="0" w:line="400" w:lineRule="exact"/>
        <w:jc w:val="center"/>
      </w:pPr>
      <w:r>
        <w:t xml:space="preserve">Appellee,</w:t>
      </w:r>
    </w:p>
    <w:p>
      <w:pPr>
        <w:spacing w:before="84" w:after="84" w:line="400" w:lineRule="exact"/>
        <w:jc w:val="center"/>
      </w:pPr>
      <w:r>
        <w:t xml:space="preserve">v.</w:t>
      </w:r>
    </w:p>
    <w:p>
      <w:pPr>
        <w:spacing w:before="98" w:after="0" w:line="400" w:lineRule="exact"/>
        <w:jc w:val="center"/>
      </w:pPr>
      <w:r>
        <w:t xml:space="preserve">MARK</w:t>
      </w:r>
      <w:r>
        <w:t xml:space="preserve"> </w:t>
      </w:r>
      <w:r>
        <w:t xml:space="preserve">ANTHONY</w:t>
      </w:r>
      <w:r>
        <w:t xml:space="preserve"> </w:t>
      </w:r>
      <w:r>
        <w:t xml:space="preserve">FIGUEROA,</w:t>
      </w:r>
    </w:p>
    <w:p>
      <w:pPr>
        <w:spacing w:before="98" w:after="0" w:line="400" w:lineRule="exact"/>
        <w:jc w:val="center"/>
      </w:pPr>
      <w:r>
        <w:t xml:space="preserve">Defendant</w:t>
      </w:r>
      <w:r>
        <w:t xml:space="preserve"> </w:t>
      </w:r>
      <w:r>
        <w:t xml:space="preserve">-</w:t>
      </w:r>
      <w:r>
        <w:t xml:space="preserve"> </w:t>
      </w:r>
      <w:r>
        <w:t xml:space="preserve">Appellant.</w:t>
      </w:r>
    </w:p>
    <w:p>
      <w:pPr>
        <w:pBdr>
          <w:bottom w:val="single" w:sz="6" w:space="1" w:color="000000"/>
        </w:pBdr>
        <w:spacing w:before="280" w:after="0" w:line="120" w:lineRule="exact"/>
        <w:ind w:left="3240" w:right="3240"/>
      </w:pPr>
    </w:p>
    <w:p>
      <w:pPr>
        <w:spacing w:before="280" w:after="0" w:line="400" w:lineRule="exact"/>
        <w:jc w:val="center"/>
      </w:pPr>
      <w:r>
        <w:t xml:space="preserve">On</w:t>
      </w:r>
      <w:r>
        <w:t xml:space="preserve"> </w:t>
      </w:r>
      <w:r>
        <w:t xml:space="preserve">Appeal</w:t>
      </w:r>
      <w:r>
        <w:t xml:space="preserve"> </w:t>
      </w:r>
      <w:r>
        <w:t xml:space="preserve">from</w:t>
      </w:r>
      <w:r>
        <w:t xml:space="preserve"> </w:t>
      </w:r>
      <w:r>
        <w:t xml:space="preserve">Judgment</w:t>
      </w:r>
      <w:r>
        <w:t xml:space="preserve"> </w:t>
      </w:r>
      <w:r>
        <w:t xml:space="preserve">of</w:t>
      </w:r>
      <w:r>
        <w:t xml:space="preserve"> </w:t>
      </w:r>
      <w:r>
        <w:t xml:space="preserve">Conviction</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Massachusetts</w:t>
      </w:r>
    </w:p>
    <w:p>
      <w:pPr>
        <w:pBdr>
          <w:bottom w:val="single" w:sz="6" w:space="1" w:color="000000"/>
        </w:pBdr>
        <w:spacing w:before="280" w:after="0" w:line="120" w:lineRule="exact"/>
        <w:ind w:left="3240" w:right="3240"/>
      </w:pPr>
    </w:p>
    <w:p>
      <w:pPr>
        <w:spacing w:before="280" w:after="0" w:line="400" w:lineRule="exact"/>
        <w:jc w:val="center"/>
      </w:pPr>
      <w:r>
        <w:rPr>
          <w:b/>
          <w:bCs/>
          <w:caps/>
        </w:rPr>
        <w:t xml:space="preserve">Brief</w:t>
      </w:r>
      <w:r>
        <w:rPr>
          <w:b/>
          <w:bCs/>
          <w:caps/>
        </w:rPr>
        <w:t xml:space="preserve"> </w:t>
      </w:r>
      <w:r>
        <w:rPr>
          <w:b/>
          <w:bCs/>
          <w:caps/>
        </w:rPr>
        <w:t xml:space="preserve">of</w:t>
      </w:r>
      <w:r>
        <w:rPr>
          <w:b/>
          <w:bCs/>
          <w:caps/>
        </w:rPr>
        <w:t xml:space="preserve"> </w:t>
      </w:r>
      <w:r>
        <w:rPr>
          <w:b/>
          <w:bCs/>
          <w:caps/>
        </w:rPr>
        <w:t xml:space="preserve">Appellant</w:t>
      </w:r>
    </w:p>
    <w:p>
      <w:pPr>
        <w:pBdr>
          <w:bottom w:val="single" w:sz="6" w:space="1" w:color="000000"/>
        </w:pBdr>
        <w:spacing w:before="280" w:after="0" w:line="120" w:lineRule="exact"/>
        <w:ind w:left="3240" w:right="3240"/>
      </w:pPr>
    </w:p>
    <w:p>
      <w:pPr>
        <w:keepLines/>
        <w:spacing w:before="280" w:after="0" w:line="400" w:lineRule="exact"/>
        <w:ind w:left="4680"/>
      </w:pPr>
      <w:r>
        <w:t xml:space="preserve">David</w:t>
      </w:r>
      <w:r>
        <w:t xml:space="preserve"> </w:t>
      </w:r>
      <w:r>
        <w:t xml:space="preserve">J.</w:t>
      </w:r>
      <w:r>
        <w:t xml:space="preserve"> </w:t>
      </w:r>
      <w:r>
        <w:t xml:space="preserve">Nathanson</w:t>
      </w:r>
    </w:p>
    <w:p>
      <w:pPr>
        <w:keepLines/>
        <w:spacing w:before="0" w:after="0" w:line="400" w:lineRule="exact"/>
        <w:ind w:left="4680"/>
      </w:pPr>
      <w:r>
        <w:t xml:space="preserve">First</w:t>
      </w:r>
      <w:r>
        <w:t xml:space="preserve"> </w:t>
      </w:r>
      <w:r>
        <w:t xml:space="preserve">Circuit</w:t>
      </w:r>
      <w:r>
        <w:t xml:space="preserve"> </w:t>
      </w:r>
      <w:r>
        <w:t xml:space="preserve">Bar</w:t>
      </w:r>
      <w:r>
        <w:t xml:space="preserve"> </w:t>
      </w:r>
      <w:r>
        <w:t xml:space="preserve">No.</w:t>
      </w:r>
      <w:r>
        <w:t xml:space="preserve"> </w:t>
      </w:r>
      <w:r>
        <w:t xml:space="preserve">81606</w:t>
      </w:r>
    </w:p>
    <w:p>
      <w:pPr>
        <w:keepLines/>
        <w:spacing w:before="0" w:after="0" w:line="400" w:lineRule="exact"/>
        <w:ind w:left="4680" w:firstLine="140"/>
      </w:pPr>
      <w:r>
        <w:rPr>
          <w:i/>
          <w:iCs/>
        </w:rPr>
        <w:t xml:space="preserve">Jellison</w:t>
      </w:r>
      <w:r>
        <w:rPr>
          <w:i/>
          <w:iCs/>
        </w:rPr>
        <w:t xml:space="preserve"> </w:t>
      </w:r>
      <w:r>
        <w:rPr>
          <w:i/>
          <w:iCs/>
        </w:rPr>
        <w:t xml:space="preserve">&amp;</w:t>
      </w:r>
      <w:r>
        <w:rPr>
          <w:i/>
          <w:iCs/>
        </w:rPr>
        <w:t xml:space="preserve"> </w:t>
      </w:r>
      <w:r>
        <w:rPr>
          <w:i/>
          <w:iCs/>
        </w:rPr>
        <w:t xml:space="preserve">Nathanson,</w:t>
      </w:r>
      <w:r>
        <w:rPr>
          <w:i/>
          <w:iCs/>
        </w:rPr>
        <w:t xml:space="preserve"> </w:t>
      </w:r>
      <w:r>
        <w:rPr>
          <w:i/>
          <w:iCs/>
        </w:rPr>
        <w:t xml:space="preserve">LLP</w:t>
      </w:r>
    </w:p>
    <w:p>
      <w:pPr>
        <w:keepLines/>
        <w:spacing w:before="0" w:after="0" w:line="400" w:lineRule="exact"/>
        <w:ind w:left="4680" w:firstLine="140"/>
      </w:pPr>
      <w:r>
        <w:rPr>
          <w:i/>
          <w:iCs/>
        </w:rPr>
        <w:t xml:space="preserve">55</w:t>
      </w:r>
      <w:r>
        <w:rPr>
          <w:i/>
          <w:iCs/>
        </w:rPr>
        <w:t xml:space="preserve"> </w:t>
      </w:r>
      <w:r>
        <w:rPr>
          <w:i/>
          <w:iCs/>
        </w:rPr>
        <w:t xml:space="preserve">Union</w:t>
      </w:r>
      <w:r>
        <w:rPr>
          <w:i/>
          <w:iCs/>
        </w:rPr>
        <w:t xml:space="preserve"> </w:t>
      </w:r>
      <w:r>
        <w:rPr>
          <w:i/>
          <w:iCs/>
        </w:rPr>
        <w:t xml:space="preserve">Street,</w:t>
      </w:r>
      <w:r>
        <w:rPr>
          <w:i/>
          <w:iCs/>
        </w:rPr>
        <w:t xml:space="preserve"> </w:t>
      </w:r>
      <w:r>
        <w:rPr>
          <w:i/>
          <w:iCs/>
        </w:rPr>
        <w:t xml:space="preserve">4th</w:t>
      </w:r>
      <w:r>
        <w:rPr>
          <w:i/>
          <w:iCs/>
        </w:rPr>
        <w:t xml:space="preserve"> </w:t>
      </w:r>
      <w:r>
        <w:rPr>
          <w:i/>
          <w:iCs/>
        </w:rPr>
        <w:t xml:space="preserve">Floor</w:t>
      </w:r>
    </w:p>
    <w:p>
      <w:pPr>
        <w:keepLines/>
        <w:spacing w:before="0" w:after="0" w:line="400" w:lineRule="exact"/>
        <w:ind w:left="4680" w:firstLine="140"/>
      </w:pPr>
      <w:r>
        <w:rPr>
          <w:i/>
          <w:iCs/>
        </w:rPr>
        <w:t xml:space="preserve">Boston,</w:t>
      </w:r>
      <w:r>
        <w:rPr>
          <w:i/>
          <w:iCs/>
        </w:rPr>
        <w:t xml:space="preserve"> </w:t>
      </w:r>
      <w:r>
        <w:rPr>
          <w:i/>
          <w:iCs/>
        </w:rPr>
        <w:t xml:space="preserve">MA</w:t>
      </w:r>
      <w:r>
        <w:rPr>
          <w:i/>
          <w:iCs/>
        </w:rPr>
        <w:t xml:space="preserve"> </w:t>
      </w:r>
      <w:r>
        <w:rPr>
          <w:i/>
          <w:iCs/>
        </w:rPr>
        <w:t xml:space="preserve">02108</w:t>
      </w:r>
    </w:p>
    <w:p>
      <w:pPr>
        <w:keepLines/>
        <w:spacing w:before="0" w:after="0" w:line="400" w:lineRule="exact"/>
        <w:ind w:left="4680" w:firstLine="140"/>
      </w:pPr>
      <w:r>
        <w:rPr>
          <w:i/>
          <w:iCs/>
        </w:rPr>
        <w:t xml:space="preserve">dnathanson@JNdefense.com</w:t>
      </w:r>
    </w:p>
    <w:p>
      <w:pPr>
        <w:keepLines/>
        <w:spacing w:before="0" w:after="0" w:line="400" w:lineRule="exact"/>
        <w:ind w:left="4680" w:firstLine="140"/>
      </w:pPr>
      <w:r>
        <w:rPr>
          <w:i/>
          <w:iCs/>
        </w:rPr>
        <w:t xml:space="preserve">(617)</w:t>
      </w:r>
      <w:r>
        <w:rPr>
          <w:i/>
          <w:iCs/>
        </w:rPr>
        <w:t xml:space="preserve"> </w:t>
      </w:r>
      <w:r>
        <w:rPr>
          <w:i/>
          <w:iCs/>
        </w:rPr>
        <w:t xml:space="preserve">248-⁠1806</w:t>
      </w:r>
    </w:p>
    <w:p>
      <w:pPr>
        <w:spacing w:before="0" w:after="0" w:line="20" w:lineRule="exact"/>
        <w:sectPr>
          <w:footerReference w:type="default" r:id="rIdFtrNone"/>
          <w:pgSz w:w="12240" w:h="15840"/>
          <w:pgMar w:top="1440" w:right="1440" w:bottom="1440" w:left="1440" w:header="720" w:footer="628"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400" w:lineRule="exact"/>
        <w:ind w:left="0" w:right="20"/>
        <w:jc w:val="right"/>
      </w:pPr>
      <w:r>
        <w:rPr>
          <w:b/>
          <w:bCs/>
          <w:u w:val="single"/>
        </w:rPr>
        <w:t xml:space="preserve">Page</w:t>
      </w:r>
    </w:p>
    <w:p>
      <w:pPr>
        <w:keepLines/>
        <w:tabs>
          <w:tab w:val="right" w:leader="dot" w:pos="9360"/>
        </w:tabs>
        <w:spacing w:before="168" w:after="0" w:line="400" w:lineRule="exact"/>
        <w:ind w:left="720" w:right="720" w:hanging="720"/>
      </w:pPr>
      <w:r>
        <w:t xml:space="preserve">TABLE OF AUTHORITIES   </w:t>
      </w:r>
      <w:r>
        <w:tab/>
      </w:r>
      <w:r>
        <w:t xml:space="preserve">ii</w:t>
      </w:r>
    </w:p>
    <w:p>
      <w:pPr>
        <w:keepLines/>
        <w:tabs>
          <w:tab w:val="right" w:leader="dot" w:pos="9360"/>
        </w:tabs>
        <w:spacing w:before="168" w:after="0" w:line="400" w:lineRule="exact"/>
        <w:ind w:left="720" w:right="720" w:hanging="720"/>
      </w:pPr>
      <w:r>
        <w:t xml:space="preserve">REQUEST FOR ORAL ARGUMENT   </w:t>
      </w:r>
      <w:r>
        <w:tab/>
      </w:r>
      <w:r>
        <w:t xml:space="preserve">1</w:t>
      </w:r>
    </w:p>
    <w:p>
      <w:pPr>
        <w:keepLines/>
        <w:tabs>
          <w:tab w:val="right" w:leader="dot" w:pos="9360"/>
        </w:tabs>
        <w:spacing w:before="168" w:after="0" w:line="400" w:lineRule="exact"/>
        <w:ind w:left="720" w:right="720" w:hanging="720"/>
      </w:pPr>
      <w:r>
        <w:t xml:space="preserve">STATEMENT OF JURISDICTION   </w:t>
      </w:r>
      <w:r>
        <w:tab/>
      </w:r>
      <w:r>
        <w:t xml:space="preserve">1</w:t>
      </w:r>
    </w:p>
    <w:p>
      <w:pPr>
        <w:keepLines/>
        <w:tabs>
          <w:tab w:val="right" w:leader="dot" w:pos="9360"/>
        </w:tabs>
        <w:spacing w:before="168" w:after="0" w:line="400" w:lineRule="exact"/>
        <w:ind w:left="720" w:right="720" w:hanging="720"/>
      </w:pPr>
      <w:r>
        <w:t xml:space="preserve">ISSUES PRESENTED   </w:t>
      </w:r>
      <w:r>
        <w:tab/>
      </w:r>
      <w:r>
        <w:t xml:space="preserve">2</w:t>
      </w:r>
    </w:p>
    <w:p>
      <w:pPr>
        <w:keepLines/>
        <w:tabs>
          <w:tab w:val="right" w:leader="dot" w:pos="9360"/>
        </w:tabs>
        <w:spacing w:before="168" w:after="0" w:line="400" w:lineRule="exact"/>
        <w:ind w:left="720" w:right="720" w:hanging="720"/>
      </w:pPr>
      <w:r>
        <w:t xml:space="preserve">STATEMENT OF THE CASE   </w:t>
      </w:r>
      <w:r>
        <w:tab/>
      </w:r>
      <w:r>
        <w:t xml:space="preserve">2</w:t>
      </w:r>
    </w:p>
    <w:p>
      <w:pPr>
        <w:keepLines/>
        <w:tabs>
          <w:tab w:val="right" w:leader="dot" w:pos="9360"/>
        </w:tabs>
        <w:spacing w:before="98" w:after="0" w:line="400" w:lineRule="exact"/>
        <w:ind w:left="1440" w:right="720" w:hanging="720"/>
      </w:pPr>
      <w:r>
        <w:t xml:space="preserve">A.</w:t>
      </w:r>
      <w:r>
        <w:tab/>
      </w:r>
      <w:r>
        <w:t xml:space="preserve">Statement of Facts   </w:t>
      </w:r>
      <w:r>
        <w:tab/>
      </w:r>
      <w:r>
        <w:t xml:space="preserve">3</w:t>
      </w:r>
    </w:p>
    <w:p>
      <w:pPr>
        <w:keepLines/>
        <w:tabs>
          <w:tab w:val="right" w:leader="dot" w:pos="9360"/>
        </w:tabs>
        <w:spacing w:before="98" w:after="0" w:line="400" w:lineRule="exact"/>
        <w:ind w:left="2160" w:right="720" w:hanging="720"/>
      </w:pPr>
      <w:r>
        <w:t xml:space="preserve">1.</w:t>
      </w:r>
      <w:r>
        <w:tab/>
      </w:r>
      <w:r>
        <w:t xml:space="preserve">The Alleged Conduct: Cash Transactions   </w:t>
      </w:r>
      <w:r>
        <w:tab/>
      </w:r>
      <w:r>
        <w:t xml:space="preserve">3</w:t>
      </w:r>
    </w:p>
    <w:p>
      <w:pPr>
        <w:keepLines/>
        <w:tabs>
          <w:tab w:val="right" w:leader="dot" w:pos="9360"/>
        </w:tabs>
        <w:spacing w:before="168" w:after="0" w:line="400" w:lineRule="exact"/>
        <w:ind w:left="720" w:right="720" w:hanging="720"/>
      </w:pPr>
      <w:r>
        <w:t xml:space="preserve">SUMMARY OF ARGUMENT   </w:t>
      </w:r>
      <w:r>
        <w:tab/>
      </w:r>
      <w:r>
        <w:t xml:space="preserve">4</w:t>
      </w:r>
    </w:p>
    <w:p>
      <w:pPr>
        <w:keepLines/>
        <w:tabs>
          <w:tab w:val="right" w:leader="dot" w:pos="9360"/>
        </w:tabs>
        <w:spacing w:before="168" w:after="0" w:line="400" w:lineRule="exact"/>
        <w:ind w:left="720" w:right="720" w:hanging="720"/>
      </w:pPr>
      <w:r>
        <w:t xml:space="preserve">ARGUMENT   </w:t>
      </w:r>
      <w:r>
        <w:tab/>
      </w:r>
      <w:r>
        <w:t xml:space="preserve">5</w:t>
      </w:r>
    </w:p>
    <w:p>
      <w:pPr>
        <w:keepLines/>
        <w:tabs>
          <w:tab w:val="right" w:leader="dot" w:pos="9360"/>
        </w:tabs>
        <w:spacing w:before="98" w:after="0" w:line="400" w:lineRule="exact"/>
        <w:ind w:left="720" w:right="720" w:hanging="720"/>
      </w:pPr>
      <w:r>
        <w:t xml:space="preserve">I.</w:t>
      </w:r>
      <w:r>
        <w:tab/>
      </w:r>
      <w:r>
        <w:t xml:space="preserve">The trial judge erred in admitting irrelevant and highly prejudicial evidence regarding the Sinaloa drug cartel, kidnapping, and torture.   </w:t>
      </w:r>
      <w:r>
        <w:tab/>
      </w:r>
      <w:r>
        <w:t xml:space="preserve">5</w:t>
      </w:r>
    </w:p>
    <w:p>
      <w:pPr>
        <w:keepLines/>
        <w:tabs>
          <w:tab w:val="right" w:leader="dot" w:pos="9360"/>
        </w:tabs>
        <w:spacing w:before="98" w:after="0" w:line="400" w:lineRule="exact"/>
        <w:ind w:left="1440" w:right="720" w:hanging="720"/>
      </w:pPr>
      <w:r>
        <w:t xml:space="preserve">A.</w:t>
      </w:r>
      <w:r>
        <w:tab/>
      </w:r>
      <w:r>
        <w:t xml:space="preserve">Background &amp; Legal Standard   </w:t>
      </w:r>
      <w:r>
        <w:tab/>
      </w:r>
      <w:r>
        <w:t xml:space="preserve">5</w:t>
      </w:r>
    </w:p>
    <w:p>
      <w:pPr>
        <w:keepLines/>
        <w:tabs>
          <w:tab w:val="right" w:leader="dot" w:pos="9360"/>
        </w:tabs>
        <w:spacing w:before="168" w:after="0" w:line="400" w:lineRule="exact"/>
        <w:ind w:left="720" w:right="720" w:hanging="720"/>
      </w:pPr>
      <w:r>
        <w:t xml:space="preserve">CONCLUSION   </w:t>
      </w:r>
      <w:r>
        <w:tab/>
      </w:r>
      <w:r>
        <w:t xml:space="preserve">7</w:t>
      </w:r>
    </w:p>
    <w:p>
      <w:pPr>
        <w:keepLines/>
        <w:tabs>
          <w:tab w:val="right" w:leader="dot" w:pos="9360"/>
        </w:tabs>
        <w:spacing w:before="168" w:after="0" w:line="400" w:lineRule="exact"/>
        <w:ind w:left="720" w:right="720" w:hanging="720"/>
      </w:pPr>
      <w:r>
        <w:t xml:space="preserve">CERTIFICATE OF COMPLIANCE   </w:t>
      </w:r>
      <w:r>
        <w:tab/>
      </w:r>
      <w:r>
        <w:t xml:space="preserve">8</w:t>
      </w:r>
    </w:p>
    <w:p>
      <w:pPr>
        <w:keepLines/>
        <w:tabs>
          <w:tab w:val="right" w:leader="dot" w:pos="9360"/>
        </w:tabs>
        <w:spacing w:before="168" w:after="0" w:line="400" w:lineRule="exact"/>
        <w:ind w:left="720" w:right="720" w:hanging="720"/>
      </w:pPr>
      <w:r>
        <w:t xml:space="preserve">CERTIFICATE OF SERVICE   </w:t>
      </w:r>
      <w:r>
        <w:tab/>
      </w:r>
      <w:r>
        <w:t xml:space="preserve">9</w:t>
      </w:r>
    </w:p>
    <w:p>
      <w:pPr>
        <w:keepLines/>
        <w:tabs>
          <w:tab w:val="right" w:leader="dot" w:pos="9360"/>
        </w:tabs>
        <w:spacing w:before="168" w:after="0" w:line="400" w:lineRule="exact"/>
        <w:ind w:left="720" w:right="720" w:hanging="720"/>
      </w:pPr>
      <w:r>
        <w:t xml:space="preserve">ADDENDUM   </w:t>
      </w:r>
      <w:r>
        <w:tab/>
      </w:r>
      <w:r>
        <w:t xml:space="preserve">Add-⁠1</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400" w:lineRule="exact"/>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Casas</w:t>
      </w:r>
      <w:r>
        <w:t xml:space="preserve">,</w:t>
      </w:r>
      <w:r>
        <w:br/>
      </w:r>
      <w:r>
        <w:t xml:space="preserve">356</w:t>
      </w:r>
      <w:r>
        <w:t xml:space="preserve"> </w:t>
      </w:r>
      <w:r>
        <w:t xml:space="preserve">F.3d</w:t>
      </w:r>
      <w:r>
        <w:t xml:space="preserve"> </w:t>
      </w:r>
      <w:r>
        <w:t xml:space="preserve">104</w:t>
      </w:r>
      <w:r>
        <w:t xml:space="preserve"> </w:t>
      </w:r>
      <w:r>
        <w:t xml:space="preserve">(1st</w:t>
      </w:r>
      <w:r>
        <w:t xml:space="preserve"> </w:t>
      </w:r>
      <w:r>
        <w:t xml:space="preserve">Cir.</w:t>
      </w:r>
      <w:r>
        <w:t xml:space="preserve"> </w:t>
      </w:r>
      <w:r>
        <w:t xml:space="preserve">2004)</w:t>
      </w:r>
      <w:r>
        <w:t xml:space="preserve">   </w:t>
      </w:r>
      <w:r>
        <w:tab/>
      </w:r>
      <w:r>
        <w:t xml:space="preserve">6</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Mahone</w:t>
      </w:r>
      <w:r>
        <w:t xml:space="preserve">,</w:t>
      </w:r>
      <w:r>
        <w:br/>
      </w:r>
      <w:r>
        <w:t xml:space="preserve">453</w:t>
      </w:r>
      <w:r>
        <w:t xml:space="preserve"> </w:t>
      </w:r>
      <w:r>
        <w:t xml:space="preserve">F.3d</w:t>
      </w:r>
      <w:r>
        <w:t xml:space="preserve"> </w:t>
      </w:r>
      <w:r>
        <w:t xml:space="preserve">68</w:t>
      </w:r>
      <w:r>
        <w:t xml:space="preserve"> </w:t>
      </w:r>
      <w:r>
        <w:t xml:space="preserve">(1st</w:t>
      </w:r>
      <w:r>
        <w:t xml:space="preserve"> </w:t>
      </w:r>
      <w:r>
        <w:t xml:space="preserve">Cir.</w:t>
      </w:r>
      <w:r>
        <w:t xml:space="preserve"> </w:t>
      </w:r>
      <w:r>
        <w:t xml:space="preserve">2006)</w:t>
      </w:r>
      <w:r>
        <w:t xml:space="preserve">   </w:t>
      </w:r>
      <w:r>
        <w:tab/>
      </w:r>
      <w:r>
        <w:t xml:space="preserve">6</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McGauley</w:t>
      </w:r>
      <w:r>
        <w:t xml:space="preserve">,</w:t>
      </w:r>
      <w:r>
        <w:br/>
      </w:r>
      <w:r>
        <w:t xml:space="preserve">279</w:t>
      </w:r>
      <w:r>
        <w:t xml:space="preserve"> </w:t>
      </w:r>
      <w:r>
        <w:t xml:space="preserve">F.3d</w:t>
      </w:r>
      <w:r>
        <w:t xml:space="preserve"> </w:t>
      </w:r>
      <w:r>
        <w:t xml:space="preserve">62</w:t>
      </w:r>
      <w:r>
        <w:t xml:space="preserve"> </w:t>
      </w:r>
      <w:r>
        <w:t xml:space="preserve">(1st</w:t>
      </w:r>
      <w:r>
        <w:t xml:space="preserve"> </w:t>
      </w:r>
      <w:r>
        <w:t xml:space="preserve">Cir.</w:t>
      </w:r>
      <w:r>
        <w:t xml:space="preserve"> </w:t>
      </w:r>
      <w:r>
        <w:t xml:space="preserve">2002)</w:t>
      </w:r>
      <w:r>
        <w:t xml:space="preserve">   </w:t>
      </w:r>
      <w:r>
        <w:tab/>
      </w:r>
      <w:r>
        <w:t xml:space="preserve">6</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Villa-Guillen</w:t>
      </w:r>
      <w:r>
        <w:t xml:space="preserve">,</w:t>
      </w:r>
      <w:r>
        <w:br/>
      </w:r>
      <w:r>
        <w:t xml:space="preserve">102</w:t>
      </w:r>
      <w:r>
        <w:t xml:space="preserve"> </w:t>
      </w:r>
      <w:r>
        <w:t xml:space="preserve">F.4th</w:t>
      </w:r>
      <w:r>
        <w:t xml:space="preserve"> </w:t>
      </w:r>
      <w:r>
        <w:t xml:space="preserve">508</w:t>
      </w:r>
      <w:r>
        <w:t xml:space="preserve"> </w:t>
      </w:r>
      <w:r>
        <w:t xml:space="preserve">(1st</w:t>
      </w:r>
      <w:r>
        <w:t xml:space="preserve"> </w:t>
      </w:r>
      <w:r>
        <w:t xml:space="preserve">Cir.</w:t>
      </w:r>
      <w:r>
        <w:t xml:space="preserve"> </w:t>
      </w:r>
      <w:r>
        <w:t xml:space="preserve">2024)</w:t>
      </w:r>
      <w:r>
        <w:t xml:space="preserve">   </w:t>
      </w:r>
      <w:r>
        <w:tab/>
      </w:r>
      <w:r>
        <w:t xml:space="preserve">6</w:t>
      </w:r>
    </w:p>
    <w:p>
      <w:pPr>
        <w:keepNext/>
        <w:keepLines/>
        <w:tabs>
          <w:tab w:val="right" w:pos="9360"/>
        </w:tabs>
        <w:spacing w:before="392" w:after="56" w:line="400" w:lineRule="exact"/>
      </w:pPr>
      <w:r>
        <w:rPr>
          <w:b/>
          <w:bCs/>
        </w:rPr>
        <w:t xml:space="preserve">Statutes:</w:t>
      </w:r>
    </w:p>
    <w:p>
      <w:pPr>
        <w:keepLines/>
        <w:tabs>
          <w:tab w:val="right" w:leader="dot" w:pos="9360"/>
        </w:tabs>
        <w:spacing w:before="196" w:after="0" w:line="400" w:lineRule="exact"/>
        <w:ind w:left="504" w:right="1120" w:hanging="504"/>
      </w:pPr>
      <w:r>
        <w:t xml:space="preserve">18</w:t>
      </w:r>
      <w:r>
        <w:t xml:space="preserve"> </w:t>
      </w:r>
      <w:r>
        <w:t xml:space="preserve">U.S.C.</w:t>
      </w:r>
      <w:r>
        <w:t xml:space="preserve"> </w:t>
      </w:r>
      <w:r>
        <w:t xml:space="preserve">§</w:t>
      </w:r>
      <w:r>
        <w:t xml:space="preserve"> </w:t>
      </w:r>
      <w:r>
        <w:t xml:space="preserve">3231</w:t>
      </w:r>
      <w:r>
        <w:t xml:space="preserve">   </w:t>
      </w:r>
      <w:r>
        <w:tab/>
      </w:r>
      <w:r>
        <w:t xml:space="preserve">1</w:t>
      </w:r>
    </w:p>
    <w:p>
      <w:pPr>
        <w:keepLines/>
        <w:tabs>
          <w:tab w:val="right" w:leader="dot" w:pos="9360"/>
        </w:tabs>
        <w:spacing w:before="196" w:after="0" w:line="400" w:lineRule="exact"/>
        <w:ind w:left="504" w:right="1120" w:hanging="504"/>
      </w:pPr>
      <w:r>
        <w:t xml:space="preserve">18</w:t>
      </w:r>
      <w:r>
        <w:t xml:space="preserve"> </w:t>
      </w:r>
      <w:r>
        <w:t xml:space="preserve">U.S.C.</w:t>
      </w:r>
      <w:r>
        <w:t xml:space="preserve"> </w:t>
      </w:r>
      <w:r>
        <w:t xml:space="preserve">§</w:t>
      </w:r>
      <w:r>
        <w:t xml:space="preserve"> </w:t>
      </w:r>
      <w:r>
        <w:t xml:space="preserve">3742</w:t>
      </w:r>
      <w:r>
        <w:t xml:space="preserve">   </w:t>
      </w:r>
      <w:r>
        <w:tab/>
      </w:r>
      <w:r>
        <w:t xml:space="preserve">1</w:t>
      </w:r>
    </w:p>
    <w:p>
      <w:pPr>
        <w:keepLines/>
        <w:tabs>
          <w:tab w:val="right" w:leader="dot" w:pos="9360"/>
        </w:tabs>
        <w:spacing w:before="196" w:after="0" w:line="400" w:lineRule="exact"/>
        <w:ind w:left="504" w:right="1120" w:hanging="504"/>
      </w:pPr>
      <w:r>
        <w:t xml:space="preserve">28</w:t>
      </w:r>
      <w:r>
        <w:t xml:space="preserve"> </w:t>
      </w:r>
      <w:r>
        <w:t xml:space="preserve">U.S.C.</w:t>
      </w:r>
      <w:r>
        <w:t xml:space="preserve"> </w:t>
      </w:r>
      <w:r>
        <w:t xml:space="preserve">§</w:t>
      </w:r>
      <w:r>
        <w:t xml:space="preserve"> </w:t>
      </w:r>
      <w:r>
        <w:t xml:space="preserve">1291</w:t>
      </w:r>
      <w:r>
        <w:t xml:space="preserve">   </w:t>
      </w:r>
      <w:r>
        <w:tab/>
      </w:r>
      <w:r>
        <w:t xml:space="preserve">1</w:t>
      </w:r>
    </w:p>
    <w:p>
      <w:pPr>
        <w:keepNext/>
        <w:keepLines/>
        <w:tabs>
          <w:tab w:val="right" w:pos="9360"/>
        </w:tabs>
        <w:spacing w:before="392" w:after="56" w:line="400" w:lineRule="exact"/>
      </w:pPr>
      <w:r>
        <w:rPr>
          <w:b/>
          <w:bCs/>
        </w:rPr>
        <w:t xml:space="preserve">Rules:</w:t>
      </w:r>
    </w:p>
    <w:p>
      <w:pPr>
        <w:keepLines/>
        <w:tabs>
          <w:tab w:val="right" w:leader="dot" w:pos="9360"/>
        </w:tabs>
        <w:spacing w:before="196" w:after="0" w:line="400" w:lineRule="exact"/>
        <w:ind w:left="504" w:right="1120" w:hanging="504"/>
      </w:pPr>
      <w:r>
        <w:t xml:space="preserve">Fed.</w:t>
      </w:r>
      <w:r>
        <w:t xml:space="preserve"> </w:t>
      </w:r>
      <w:r>
        <w:t xml:space="preserve">R.</w:t>
      </w:r>
      <w:r>
        <w:t xml:space="preserve"> </w:t>
      </w:r>
      <w:r>
        <w:t xml:space="preserve">App.</w:t>
      </w:r>
      <w:r>
        <w:t xml:space="preserve"> </w:t>
      </w:r>
      <w:r>
        <w:t xml:space="preserve">P.</w:t>
      </w:r>
      <w:r>
        <w:t xml:space="preserve"> </w:t>
      </w:r>
      <w:r>
        <w:t xml:space="preserve">34(a)</w:t>
      </w:r>
      <w:r>
        <w:t xml:space="preserve">   </w:t>
      </w:r>
      <w:r>
        <w:tab/>
      </w:r>
      <w:r>
        <w:t xml:space="preserve">1</w:t>
      </w:r>
    </w:p>
    <w:p>
      <w:pPr>
        <w:keepLines/>
        <w:tabs>
          <w:tab w:val="right" w:leader="dot" w:pos="9360"/>
        </w:tabs>
        <w:spacing w:before="196" w:after="0" w:line="400" w:lineRule="exact"/>
        <w:ind w:left="504" w:right="1120" w:hanging="504"/>
      </w:pPr>
      <w:r>
        <w:t xml:space="preserve">Fed.</w:t>
      </w:r>
      <w:r>
        <w:t xml:space="preserve"> </w:t>
      </w:r>
      <w:r>
        <w:t xml:space="preserve">R.</w:t>
      </w:r>
      <w:r>
        <w:t xml:space="preserve"> </w:t>
      </w:r>
      <w:r>
        <w:t xml:space="preserve">Evid.</w:t>
      </w:r>
      <w:r>
        <w:t xml:space="preserve"> </w:t>
      </w:r>
      <w:r>
        <w:t xml:space="preserve">103(b)</w:t>
      </w:r>
      <w:r>
        <w:t xml:space="preserve">   </w:t>
      </w:r>
      <w:r>
        <w:tab/>
      </w:r>
      <w:r>
        <w:t xml:space="preserve">6</w:t>
      </w:r>
    </w:p>
    <w:p>
      <w:pPr>
        <w:keepLines/>
        <w:tabs>
          <w:tab w:val="right" w:leader="dot" w:pos="9360"/>
        </w:tabs>
        <w:spacing w:before="196" w:after="0" w:line="400" w:lineRule="exact"/>
        <w:ind w:left="504" w:right="1120" w:hanging="504"/>
      </w:pPr>
      <w:r>
        <w:t xml:space="preserve">First</w:t>
      </w:r>
      <w:r>
        <w:t xml:space="preserve"> </w:t>
      </w:r>
      <w:r>
        <w:t xml:space="preserve">Cir.</w:t>
      </w:r>
      <w:r>
        <w:t xml:space="preserve"> </w:t>
      </w:r>
      <w:r>
        <w:t xml:space="preserve">R.</w:t>
      </w:r>
      <w:r>
        <w:t xml:space="preserve"> </w:t>
      </w:r>
      <w:r>
        <w:t xml:space="preserve">34(a)</w:t>
      </w:r>
      <w:r>
        <w:t xml:space="preserve">   </w:t>
      </w:r>
      <w:r>
        <w:tab/>
      </w:r>
      <w:r>
        <w:t xml:space="preserve">1</w:t>
      </w:r>
    </w:p>
    <w:p>
      <w:pPr>
        <w:spacing w:before="0" w:after="0" w:line="20" w:lineRule="exact"/>
        <w:sectPr>
          <w:footerReference w:type="default" r:id="rIdFtrPage"/>
          <w:pgSz w:w="12240" w:h="15840"/>
          <w:pgMar w:top="1440" w:right="1440" w:bottom="1440" w:left="1440" w:header="720" w:footer="628" w:gutter="0"/>
          <w:pgNumType w:fmt="lowerRoman" w:start="1"/>
        </w:sectPr>
      </w:pPr>
    </w:p>
    <w:p>
      <w:pPr>
        <w:pStyle w:val="Heading1"/>
        <w:keepNext/>
        <w:keepLines/>
        <w:spacing w:before="0" w:after="308" w:line="400" w:lineRule="exact"/>
        <w:ind w:left="0" w:firstLine="0"/>
        <w:jc w:val="center"/>
      </w:pPr>
      <w:r>
        <w:rPr>
          <w:b/>
          <w:bCs/>
          <w:sz w:val="32"/>
          <w:szCs w:val="32"/>
        </w:rPr>
        <w:t xml:space="preserve">REQUEST FOR ORAL ARGUMENT</w:t>
      </w:r>
    </w:p>
    <w:p>
      <w:pPr>
        <w:pStyle w:val="FirstParagraph"/>
      </w:pPr>
      <w:r>
        <w:t xml:space="preserve">Pursuant to Fed. R. App. P. 34(a) and First Cir. R. 34(a), Appellant Mark Figueroa respectfully requests oral argument. This case involves fact-specific arguments regarding whether inadmissible testimony infected the entire case and whether — in a case that was fairly weak — the prejudice from those errors was exacerbated by an improper jury instruction which this Court has warned this specific trial judge not to give. Oral argument would assist the Court.</w:t>
      </w:r>
    </w:p>
    <w:p>
      <w:pPr>
        <w:pStyle w:val="Heading1"/>
        <w:keepNext/>
        <w:keepLines/>
        <w:spacing w:before="420" w:after="308" w:line="400" w:lineRule="exact"/>
        <w:ind w:left="0" w:firstLine="0"/>
        <w:jc w:val="center"/>
      </w:pPr>
      <w:r>
        <w:rPr>
          <w:b/>
          <w:bCs/>
          <w:sz w:val="32"/>
          <w:szCs w:val="32"/>
        </w:rPr>
        <w:t xml:space="preserve">STATEMENT OF JURISDICTION</w:t>
      </w:r>
    </w:p>
    <w:p>
      <w:pPr>
        <w:pStyle w:val="BodyText"/>
      </w:pPr>
      <w:r>
        <w:t xml:space="preserve">This is a direct appeal from a judgment in a criminal case entered by the United States District Court for the District of Massachusetts. That Court exercised jurisdiction under 18 U.S.C. § 3231. This Court’s appellate jurisdiction rests upon 28 U.S.C. § 1291 and 18 U.S.C. § 3742. On March 20, 2024, Mr. Figueroa was sentenced to 120 months’ incarceration, followed by three years of supervised release. R.A.12.</w:t>
      </w:r>
      <w:r>
        <w:rPr>
          <w:rStyle w:val="FootnoteReference"/>
        </w:rPr>
        <w:footnoteReference w:id="9"/>
      </w:r>
      <w:r>
        <w:t xml:space="preserve"> </w:t>
      </w:r>
      <w:r>
        <w:t xml:space="preserve">The judgment entered on March 22, 2024. Add.4. A timely notice of appeal was filed on April 1, 2024. R.A.529.</w:t>
      </w:r>
    </w:p>
    <w:p>
      <w:pPr>
        <w:pStyle w:val="Heading1"/>
        <w:keepNext/>
        <w:keepLines/>
        <w:spacing w:before="420" w:after="308" w:line="400" w:lineRule="exact"/>
        <w:ind w:left="0" w:firstLine="0"/>
        <w:jc w:val="center"/>
      </w:pPr>
      <w:r>
        <w:rPr>
          <w:b/>
          <w:bCs/>
          <w:sz w:val="32"/>
          <w:szCs w:val="32"/>
        </w:rPr>
        <w:t xml:space="preserve">ISSUES PRESENTED</w:t>
      </w:r>
    </w:p>
    <w:p>
      <w:pPr>
        <w:pStyle w:val="BodyText"/>
      </w:pPr>
      <w:r>
        <w:t xml:space="preserve">I. Whether inflammatory and irrelevant evidence that created sympathy for the cooperating witness whose credibility was essential to the government’s case and promoted guilt by association requires a new trial.</w:t>
      </w:r>
    </w:p>
    <w:p>
      <w:pPr>
        <w:pStyle w:val="BodyText"/>
      </w:pPr>
      <w:r>
        <w:t xml:space="preserve">II. Whether improper overview testimony, incorporating conclusory statements regarding the defendant’s relationship with cartel members, hearsay, and the imprimatur of the government, as well as improper lay opinion testimony, cumulatively require reversal.</w:t>
      </w:r>
    </w:p>
    <w:p>
      <w:pPr>
        <w:pStyle w:val="Heading1"/>
        <w:keepNext/>
        <w:keepLines/>
        <w:spacing w:before="420" w:after="308" w:line="400" w:lineRule="exact"/>
        <w:ind w:left="0" w:firstLine="0"/>
        <w:jc w:val="center"/>
      </w:pPr>
      <w:r>
        <w:rPr>
          <w:b/>
          <w:bCs/>
          <w:sz w:val="32"/>
          <w:szCs w:val="32"/>
        </w:rPr>
        <w:t xml:space="preserve">STATEMENT OF THE CASE</w:t>
      </w:r>
    </w:p>
    <w:p>
      <w:pPr>
        <w:pStyle w:val="BodyText"/>
      </w:pPr>
      <w:r>
        <w:t xml:space="preserve">On November 10, 2021, a grand jury returned an indictment against Figueroa alleging one count of money laundering conspiracy, in violation of 18 U.S.C. § 1956(h). R.A.14; Docket no. 21-cr-⁠10333-RGS. A jury trial was held from March 27 to March 30, 2023 (Stearns, J., presiding). The jury convicted Figueroa of the charged offense. R.A.528. Following a sentencing hearing held on March 20, 2024, Figueroa was sentenced to 120 months imprisonment, followed by three years of supervised release. R.A.12. The judgment entered on March 22, 2024, and Figueroa filed a timely notice of appeal on April 1, 2024. R.A.529.</w:t>
      </w:r>
    </w:p>
    <w:p>
      <w:pPr>
        <w:pStyle w:val="Heading2"/>
        <w:keepNext/>
        <w:keepLines/>
        <w:spacing w:before="308" w:after="252" w:line="400" w:lineRule="exact"/>
        <w:ind w:left="1440" w:hanging="720"/>
      </w:pPr>
      <w:r>
        <w:rPr>
          <w:b/>
          <w:bCs/>
        </w:rPr>
        <w:t xml:space="preserve">A.</w:t>
      </w:r>
      <w:r>
        <w:rPr>
          <w:b/>
          <w:bCs/>
        </w:rPr>
        <w:tab/>
      </w:r>
      <w:r>
        <w:rPr>
          <w:b/>
          <w:bCs/>
        </w:rPr>
        <w:t xml:space="preserve">Statement</w:t>
      </w:r>
      <w:r>
        <w:rPr>
          <w:b/>
          <w:bCs/>
        </w:rPr>
        <w:t xml:space="preserve"> </w:t>
      </w:r>
      <w:r>
        <w:rPr>
          <w:b/>
          <w:bCs/>
        </w:rPr>
        <w:t xml:space="preserve">of</w:t>
      </w:r>
      <w:r>
        <w:rPr>
          <w:b/>
          <w:bCs/>
        </w:rPr>
        <w:t xml:space="preserve"> </w:t>
      </w:r>
      <w:r>
        <w:rPr>
          <w:b/>
          <w:bCs/>
        </w:rPr>
        <w:t xml:space="preserve">Facts</w:t>
      </w:r>
    </w:p>
    <w:p>
      <w:pPr>
        <w:pStyle w:val="Heading3"/>
        <w:keepNext/>
        <w:keepLines/>
        <w:spacing w:before="308" w:after="252" w:line="400" w:lineRule="exact"/>
        <w:ind w:left="2160" w:hanging="720"/>
      </w:pPr>
      <w:r>
        <w:rPr>
          <w:b/>
          <w:bCs/>
        </w:rPr>
        <w:t xml:space="preserve">1.</w:t>
      </w:r>
      <w:r>
        <w:rPr>
          <w:b/>
          <w:bCs/>
        </w:rPr>
        <w:tab/>
      </w:r>
      <w:r>
        <w:rPr>
          <w:b/>
          <w:bCs/>
        </w:rPr>
        <w:t xml:space="preserve">The</w:t>
      </w:r>
      <w:r>
        <w:rPr>
          <w:b/>
          <w:bCs/>
        </w:rPr>
        <w:t xml:space="preserve"> </w:t>
      </w:r>
      <w:r>
        <w:rPr>
          <w:b/>
          <w:bCs/>
        </w:rPr>
        <w:t xml:space="preserve">Alleged</w:t>
      </w:r>
      <w:r>
        <w:rPr>
          <w:b/>
          <w:bCs/>
        </w:rPr>
        <w:t xml:space="preserve"> </w:t>
      </w:r>
      <w:r>
        <w:rPr>
          <w:b/>
          <w:bCs/>
        </w:rPr>
        <w:t xml:space="preserve">Conduct:</w:t>
      </w:r>
      <w:r>
        <w:rPr>
          <w:b/>
          <w:bCs/>
        </w:rPr>
        <w:t xml:space="preserve"> </w:t>
      </w:r>
      <w:r>
        <w:rPr>
          <w:b/>
          <w:bCs/>
        </w:rPr>
        <w:t xml:space="preserve">Cash</w:t>
      </w:r>
      <w:r>
        <w:rPr>
          <w:b/>
          <w:bCs/>
        </w:rPr>
        <w:t xml:space="preserve"> </w:t>
      </w:r>
      <w:r>
        <w:rPr>
          <w:b/>
          <w:bCs/>
        </w:rPr>
        <w:t xml:space="preserve">Transactions</w:t>
      </w:r>
    </w:p>
    <w:p>
      <w:pPr>
        <w:pStyle w:val="BodyText"/>
      </w:pPr>
      <w:r>
        <w:t xml:space="preserve">At trial, the government elicited descriptions of six incidents involving large cash transactions connected to Figueroa.</w:t>
      </w:r>
    </w:p>
    <w:p>
      <w:pPr>
        <w:pStyle w:val="BodyText"/>
      </w:pPr>
      <w:r>
        <w:t xml:space="preserve">First, on February 27, 2019, agents surveilling Figueroa’s home saw him leave at around 10:44 a.m. carrying a brown duffel bag. Tr.1:57 (R.A.73). Agents then followed Figueroa to the Yotel Boston Hotel, where he entered with the duffel bag. Tr.1:57–58 (R.A.73–74). Agents saw him meet with a person in the lobby area, then take the elevator to the third floor.</w:t>
      </w:r>
      <w:r>
        <w:rPr>
          <w:rStyle w:val="FootnoteReference"/>
        </w:rPr>
        <w:footnoteReference w:id="10"/>
      </w:r>
      <w:r>
        <w:t xml:space="preserve"> </w:t>
      </w:r>
      <w:r>
        <w:t xml:space="preserve">Tr.1:58 (R.A.74). After the meeting, he left the area. Tr.1:59 (R.A.75). The person that Figueroa met with then went to a Bank of America and deposited $80,010 in cash with a bank teller. Tr.1:60–61 (R.A.76–77). Agents compared surveillance video from the Yotel with video from the Bank of America and found the person who met with Figueroa was the same person who deposited the money. Tr.1:61 (R.A.77). He was identified as Alfredo Vidal-Ibarra. Tr. 1:61 (R.A.77).</w:t>
      </w:r>
    </w:p>
    <w:p>
      <w:pPr>
        <w:pStyle w:val="BodyText"/>
      </w:pPr>
      <w:r>
        <w:t xml:space="preserve">Second, on the morning of March 15, 2019, agents saw Mr. Figueroa leave his house and go to terminal C at Logan Airport. Tr.1:69–70 (R.A.85–86). He boarded a plane to Orlando, Florida. Tr.1:70 (R.A.86). HSI agents in Florida received information that there was going to be a money drop and pickup on March 16, 2019. Tr.2:62 (R.A.239). Agents were informed that the courier would be wearing a red shirt and carrying a backpack with an attached cylindrical bag. Tr.2:65 (R.A.242). Agents went to a Kohls parking lot and observed a pickup truck, driven by Figueroa. Tr.2:64–66 (R.A.241–43). A silver minivan pulled up and a man in a red shirt with the described backpack got out of the passenger’s side. Tr.2:67 (R.A.244). He entered Figueroa’s pickup truck. Tr.2:67 (R.A.244).</w:t>
      </w:r>
    </w:p>
    <w:p>
      <w:pPr>
        <w:pStyle w:val="Heading1"/>
        <w:keepNext/>
        <w:keepLines/>
        <w:spacing w:before="420" w:after="308" w:line="400" w:lineRule="exact"/>
        <w:ind w:left="0" w:firstLine="0"/>
        <w:jc w:val="center"/>
      </w:pPr>
      <w:r>
        <w:rPr>
          <w:b/>
          <w:bCs/>
          <w:sz w:val="32"/>
          <w:szCs w:val="32"/>
        </w:rPr>
        <w:t xml:space="preserve">SUMMARY OF ARGUMENT</w:t>
      </w:r>
    </w:p>
    <w:p>
      <w:pPr>
        <w:pStyle w:val="BodyText"/>
      </w:pPr>
      <w:r>
        <w:t xml:space="preserve">The trial judge erred in allowing the government’s cooperating witness to describe his kidnapping, beating, and torture by drug cartel members over objection. The parties agreed this incident was wholly unrelated to Figueroa. The probative value of this testimony was minimal, but the unfair prejudice was severe. A jury instruction allowing the jury to discuss the case prior to deliberations (which this Court has explicitly prohibited) and the government’s closing argument exacerbated the prejudice. (Infra at 17–27).</w:t>
      </w:r>
    </w:p>
    <w:p>
      <w:pPr>
        <w:pStyle w:val="BodyText"/>
      </w:pPr>
      <w:r>
        <w:t xml:space="preserve">Several of the government’s law enforcement witnesses gave conclusory, prejudicial testimony, including prohibited overview witness testimony. The government’s first witness testified to hearsay and matters that he had no direct knowledge of and he also bolstered the testimony of upcoming witnesses. Two other witnesses offered conclusory testimony on the ultimate issue. The cumulative effect of these errors, preserved and unpreserved, demands a new trial. (Infra at 28–37).</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400" w:lineRule="exact"/>
        <w:ind w:left="0" w:firstLine="0"/>
        <w:jc w:val="center"/>
      </w:pPr>
      <w:r>
        <w:rPr>
          <w:b/>
          <w:bCs/>
        </w:rPr>
        <w:t xml:space="preserve">I. </w:t>
      </w:r>
      <w:r>
        <w:rPr>
          <w:b/>
          <w:bCs/>
        </w:rPr>
        <w:t xml:space="preserve">The</w:t>
      </w:r>
      <w:r>
        <w:rPr>
          <w:b/>
          <w:bCs/>
        </w:rPr>
        <w:t xml:space="preserve"> </w:t>
      </w:r>
      <w:r>
        <w:rPr>
          <w:b/>
          <w:bCs/>
        </w:rPr>
        <w:t xml:space="preserve">trial</w:t>
      </w:r>
      <w:r>
        <w:rPr>
          <w:b/>
          <w:bCs/>
        </w:rPr>
        <w:t xml:space="preserve"> </w:t>
      </w:r>
      <w:r>
        <w:rPr>
          <w:b/>
          <w:bCs/>
        </w:rPr>
        <w:t xml:space="preserve">judge</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admitting</w:t>
      </w:r>
      <w:r>
        <w:rPr>
          <w:b/>
          <w:bCs/>
        </w:rPr>
        <w:t xml:space="preserve"> </w:t>
      </w:r>
      <w:r>
        <w:rPr>
          <w:b/>
          <w:bCs/>
        </w:rPr>
        <w:t xml:space="preserve">irrelevant</w:t>
      </w:r>
      <w:r>
        <w:rPr>
          <w:b/>
          <w:bCs/>
        </w:rPr>
        <w:t xml:space="preserve"> </w:t>
      </w:r>
      <w:r>
        <w:rPr>
          <w:b/>
          <w:bCs/>
        </w:rPr>
        <w:t xml:space="preserve">and</w:t>
      </w:r>
      <w:r>
        <w:rPr>
          <w:b/>
          <w:bCs/>
        </w:rPr>
        <w:t xml:space="preserve"> </w:t>
      </w:r>
      <w:r>
        <w:rPr>
          <w:b/>
          <w:bCs/>
        </w:rPr>
        <w:t xml:space="preserve">highly</w:t>
      </w:r>
      <w:r>
        <w:rPr>
          <w:b/>
          <w:bCs/>
        </w:rPr>
        <w:t xml:space="preserve"> </w:t>
      </w:r>
      <w:r>
        <w:rPr>
          <w:b/>
          <w:bCs/>
        </w:rPr>
        <w:t xml:space="preserve">prejudicial</w:t>
      </w:r>
      <w:r>
        <w:rPr>
          <w:b/>
          <w:bCs/>
        </w:rPr>
        <w:t xml:space="preserve"> </w:t>
      </w:r>
      <w:r>
        <w:rPr>
          <w:b/>
          <w:bCs/>
        </w:rPr>
        <w:t xml:space="preserve">evidence</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Sinaloa</w:t>
      </w:r>
      <w:r>
        <w:rPr>
          <w:b/>
          <w:bCs/>
        </w:rPr>
        <w:t xml:space="preserve"> </w:t>
      </w:r>
      <w:r>
        <w:rPr>
          <w:b/>
          <w:bCs/>
        </w:rPr>
        <w:t xml:space="preserve">drug</w:t>
      </w:r>
      <w:r>
        <w:rPr>
          <w:b/>
          <w:bCs/>
        </w:rPr>
        <w:t xml:space="preserve"> </w:t>
      </w:r>
      <w:r>
        <w:rPr>
          <w:b/>
          <w:bCs/>
        </w:rPr>
        <w:t xml:space="preserve">cartel,</w:t>
      </w:r>
      <w:r>
        <w:rPr>
          <w:b/>
          <w:bCs/>
        </w:rPr>
        <w:t xml:space="preserve"> </w:t>
      </w:r>
      <w:r>
        <w:rPr>
          <w:b/>
          <w:bCs/>
        </w:rPr>
        <w:t xml:space="preserve">kidnapping,</w:t>
      </w:r>
      <w:r>
        <w:rPr>
          <w:b/>
          <w:bCs/>
        </w:rPr>
        <w:t xml:space="preserve"> </w:t>
      </w:r>
      <w:r>
        <w:rPr>
          <w:b/>
          <w:bCs/>
        </w:rPr>
        <w:t xml:space="preserve">and</w:t>
      </w:r>
      <w:r>
        <w:rPr>
          <w:b/>
          <w:bCs/>
        </w:rPr>
        <w:t xml:space="preserve"> </w:t>
      </w:r>
      <w:r>
        <w:rPr>
          <w:b/>
          <w:bCs/>
        </w:rPr>
        <w:t xml:space="preserve">torture.</w:t>
      </w:r>
    </w:p>
    <w:p>
      <w:pPr>
        <w:pStyle w:val="BodyText"/>
      </w:pPr>
      <w:r>
        <w:t xml:space="preserve">Though there was no evidence that Figueroa was a cartel member, the cloud of the Sinaloa drug cartel hung over his trial. The government elicited evidence that their cooperator, Magana, had been kidnapped, beaten, and threatened by cartel members in Mexico months before the charged conspiracy began. The parties agreed that Figueroa was not involved in this misconduct. The government used this irrelevant evidence to evoke sympathy for Magana, to enhance his credibility, and to suggest guilt by association. Further, the government stretched the evidence in its closing argument to attempt to associate Figueroa with this misconduct. This Court should reverse.</w:t>
      </w:r>
    </w:p>
    <w:p>
      <w:pPr>
        <w:pStyle w:val="Heading3"/>
        <w:keepNext/>
        <w:keepLines/>
        <w:spacing w:before="308" w:after="252" w:line="400" w:lineRule="exact"/>
        <w:ind w:left="1440" w:hanging="720"/>
      </w:pPr>
      <w:r>
        <w:rPr>
          <w:b/>
          <w:bCs/>
        </w:rPr>
        <w:t xml:space="preserve">A.</w:t>
      </w:r>
      <w:r>
        <w:rPr>
          <w:b/>
          <w:bCs/>
        </w:rPr>
        <w:tab/>
      </w:r>
      <w:r>
        <w:rPr>
          <w:b/>
          <w:bCs/>
        </w:rPr>
        <w:t xml:space="preserve">Background</w:t>
      </w:r>
      <w:r>
        <w:rPr>
          <w:b/>
          <w:bCs/>
        </w:rPr>
        <w:t xml:space="preserve"> </w:t>
      </w:r>
      <w:r>
        <w:rPr>
          <w:b/>
          <w:bCs/>
        </w:rPr>
        <w:t xml:space="preserve">&amp;</w:t>
      </w:r>
      <w:r>
        <w:rPr>
          <w:b/>
          <w:bCs/>
        </w:rPr>
        <w:t xml:space="preserve"> </w:t>
      </w:r>
      <w:r>
        <w:rPr>
          <w:b/>
          <w:bCs/>
        </w:rPr>
        <w:t xml:space="preserve">Legal</w:t>
      </w:r>
      <w:r>
        <w:rPr>
          <w:b/>
          <w:bCs/>
        </w:rPr>
        <w:t xml:space="preserve"> </w:t>
      </w:r>
      <w:r>
        <w:rPr>
          <w:b/>
          <w:bCs/>
        </w:rPr>
        <w:t xml:space="preserve">Standard</w:t>
      </w:r>
    </w:p>
    <w:p>
      <w:pPr>
        <w:pStyle w:val="BodyText"/>
      </w:pPr>
      <w:r>
        <w:t xml:space="preserve">At the pretrial hearing, the government foreshadowed that its cooperating witness would testify “about his experience being kidnapped by the drug cartel.” PTC Tr. 27 (R.A.27). The Court ruled, “I think a witness can tell his or her own story as long as it’s relevant to what we are doing. It sounds like it might be a kind of Breaking Bad interest in the testimony as it unfolds.” PTC Tr. 27 (R.A.27). Defense counsel stated his belief that the proffered testimony was irrelevant. PTC Tr. 27 (R.A.27). The judge replied that he would simply give a curative instruction that there is no allegation that the defendant was involved in a plot to kidnap anyone. PTC Tr. 27–28 (R.A.27–28). The government agreed that there is no allegation that Figueroa was involved in this conduct. PTC Tr. 28 (R.A.28).</w:t>
      </w:r>
    </w:p>
    <w:p>
      <w:pPr>
        <w:pStyle w:val="BodyText"/>
      </w:pPr>
      <w:r>
        <w:t xml:space="preserve">Because the judge ruled definitively that the evidence of kidnapping was admissible even though it was unrelated to Figueroa, the issue is preserved. Fed. R. Evid. 103(b);</w:t>
      </w:r>
      <w:r>
        <w:t xml:space="preserve"> </w:t>
      </w:r>
      <w:r>
        <w:rPr>
          <w:i/>
          <w:iCs/>
        </w:rPr>
        <w:t xml:space="preserve">United States v. Mahone</w:t>
      </w:r>
      <w:r>
        <w:t xml:space="preserve">, 453 F.3d 68, 70 (1st Cir. 2006) (evidentiary objection raised in limine not renewed at trial, issue preserved, pre-trial ruling was definitive);</w:t>
      </w:r>
      <w:r>
        <w:t xml:space="preserve"> </w:t>
      </w:r>
      <w:r>
        <w:rPr>
          <w:i/>
          <w:iCs/>
        </w:rPr>
        <w:t xml:space="preserve">United States v. McGauley</w:t>
      </w:r>
      <w:r>
        <w:t xml:space="preserve">, 279 F.3d 62, 72 n.7 (1st Cir. 2002) (same). Preserved evidentiary rulings are reviewed for abuse of discretion.</w:t>
      </w:r>
      <w:r>
        <w:t xml:space="preserve"> </w:t>
      </w:r>
      <w:r>
        <w:rPr>
          <w:i/>
          <w:iCs/>
        </w:rPr>
        <w:t xml:space="preserve">United States v. Villa-Guillen</w:t>
      </w:r>
      <w:r>
        <w:t xml:space="preserve">, 102 F.4th 508, 515 (1st Cir. 2024). If error is found, the government must prove it was harmless; that is, the government has the burden to demonstrate that it is “highly probable that the error did not influence the verdict.”</w:t>
      </w:r>
      <w:r>
        <w:t xml:space="preserve"> </w:t>
      </w:r>
      <w:r>
        <w:rPr>
          <w:i/>
          <w:iCs/>
        </w:rPr>
        <w:t xml:space="preserve">United States v. Casas</w:t>
      </w:r>
      <w:r>
        <w:t xml:space="preserve">, 356 F.3d 104, 121 (1st Cir. 2004).</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628" w:lineRule="exact"/>
        <w:ind w:left="0" w:firstLine="720"/>
      </w:pPr>
      <w:r>
        <w:t xml:space="preserve">For</w:t>
      </w:r>
      <w:r>
        <w:t xml:space="preserve"> </w:t>
      </w:r>
      <w:r>
        <w:t xml:space="preserve">the</w:t>
      </w:r>
      <w:r>
        <w:t xml:space="preserve"> </w:t>
      </w:r>
      <w:r>
        <w:t xml:space="preserve">foregoing</w:t>
      </w:r>
      <w:r>
        <w:t xml:space="preserve"> </w:t>
      </w:r>
      <w:r>
        <w:t xml:space="preserve">reasons,</w:t>
      </w:r>
      <w:r>
        <w:t xml:space="preserve"> </w:t>
      </w:r>
      <w:r>
        <w:t xml:space="preserve">standing</w:t>
      </w:r>
      <w:r>
        <w:t xml:space="preserve"> </w:t>
      </w:r>
      <w:r>
        <w:t xml:space="preserve">individually</w:t>
      </w:r>
      <w:r>
        <w:t xml:space="preserve"> </w:t>
      </w:r>
      <w:r>
        <w:t xml:space="preserve">and</w:t>
      </w:r>
      <w:r>
        <w:t xml:space="preserve"> </w:t>
      </w:r>
      <w:r>
        <w:t xml:space="preserve">in</w:t>
      </w:r>
      <w:r>
        <w:t xml:space="preserve"> </w:t>
      </w:r>
      <w:r>
        <w:t xml:space="preserve">combination,</w:t>
      </w:r>
      <w:r>
        <w:t xml:space="preserve"> </w:t>
      </w:r>
      <w:r>
        <w:t xml:space="preserve">this</w:t>
      </w:r>
      <w:r>
        <w:t xml:space="preserve"> </w:t>
      </w:r>
      <w:r>
        <w:t xml:space="preserve">Court</w:t>
      </w:r>
      <w:r>
        <w:t xml:space="preserve"> </w:t>
      </w:r>
      <w:r>
        <w:t xml:space="preserve">should</w:t>
      </w:r>
      <w:r>
        <w:t xml:space="preserve"> </w:t>
      </w:r>
      <w:r>
        <w:t xml:space="preserve">vacate</w:t>
      </w:r>
      <w:r>
        <w:t xml:space="preserve"> </w:t>
      </w:r>
      <w:r>
        <w:t xml:space="preserve">Mr.</w:t>
      </w:r>
      <w:r>
        <w:t xml:space="preserve"> </w:t>
      </w:r>
      <w:r>
        <w:t xml:space="preserve">Figueroa’s</w:t>
      </w:r>
      <w:r>
        <w:t xml:space="preserve"> </w:t>
      </w:r>
      <w:r>
        <w:t xml:space="preserve">conviction</w:t>
      </w:r>
      <w:r>
        <w:t xml:space="preserve"> </w:t>
      </w:r>
      <w:r>
        <w:t xml:space="preserve">and</w:t>
      </w:r>
      <w:r>
        <w:t xml:space="preserve"> </w:t>
      </w:r>
      <w:r>
        <w:t xml:space="preserve">remand</w:t>
      </w:r>
      <w:r>
        <w:t xml:space="preserve"> </w:t>
      </w:r>
      <w:r>
        <w:t xml:space="preserve">the</w:t>
      </w:r>
      <w:r>
        <w:t xml:space="preserve"> </w:t>
      </w:r>
      <w:r>
        <w:t xml:space="preserve">case</w:t>
      </w:r>
      <w:r>
        <w:t xml:space="preserve"> </w:t>
      </w:r>
      <w:r>
        <w:t xml:space="preserve">to</w:t>
      </w:r>
      <w:r>
        <w:t xml:space="preserve"> </w:t>
      </w:r>
      <w:r>
        <w:t xml:space="preserve">the</w:t>
      </w:r>
      <w:r>
        <w:t xml:space="preserve"> </w:t>
      </w:r>
      <w:r>
        <w:t xml:space="preserve">District</w:t>
      </w:r>
      <w:r>
        <w:t xml:space="preserve"> </w:t>
      </w:r>
      <w:r>
        <w:t xml:space="preserve">Court</w:t>
      </w:r>
      <w:r>
        <w:t xml:space="preserve"> </w:t>
      </w:r>
      <w:r>
        <w:t xml:space="preserve">for</w:t>
      </w:r>
      <w:r>
        <w:t xml:space="preserve"> </w:t>
      </w:r>
      <w:r>
        <w:t xml:space="preserve">a</w:t>
      </w:r>
      <w:r>
        <w:t xml:space="preserve"> </w:t>
      </w:r>
      <w:r>
        <w:t xml:space="preserve">new</w:t>
      </w:r>
      <w:r>
        <w:t xml:space="preserve"> </w:t>
      </w:r>
      <w:r>
        <w:t xml:space="preserve">trial.</w:t>
      </w:r>
    </w:p>
    <w:p>
      <w:pPr>
        <w:keepNext/>
        <w:keepLines/>
        <w:spacing w:before="392" w:after="0" w:line="400" w:lineRule="exact"/>
        <w:ind w:left="4680"/>
      </w:pPr>
      <w:r>
        <w:t xml:space="preserve">Respectfully submitted,</w:t>
      </w:r>
    </w:p>
    <w:p>
      <w:pPr>
        <w:keepNext/>
        <w:keepLines/>
        <w:spacing w:before="336" w:after="0" w:line="400" w:lineRule="exact"/>
        <w:ind w:left="4680"/>
      </w:pPr>
      <w:r>
        <w:t xml:space="preserve">/s/ David J. Nathanson</w:t>
      </w:r>
    </w:p>
    <w:p>
      <w:pPr>
        <w:keepNext/>
        <w:keepLines/>
        <w:spacing w:before="0" w:after="0" w:line="400" w:lineRule="exact"/>
        <w:ind w:left="4680"/>
      </w:pPr>
      <w:r>
        <w:t xml:space="preserve">DAVID J. NATHANSON</w:t>
      </w:r>
    </w:p>
    <w:p>
      <w:pPr>
        <w:keepNext/>
        <w:keepLines/>
        <w:spacing w:before="0" w:after="0" w:line="400" w:lineRule="exact"/>
        <w:ind w:left="4680" w:firstLine="140"/>
      </w:pPr>
      <w:r>
        <w:rPr>
          <w:i/>
          <w:iCs/>
        </w:rPr>
        <w:t xml:space="preserve">Jellison</w:t>
      </w:r>
      <w:r>
        <w:rPr>
          <w:i/>
          <w:iCs/>
        </w:rPr>
        <w:t xml:space="preserve"> </w:t>
      </w:r>
      <w:r>
        <w:rPr>
          <w:i/>
          <w:iCs/>
        </w:rPr>
        <w:t xml:space="preserve">&amp;</w:t>
      </w:r>
      <w:r>
        <w:rPr>
          <w:i/>
          <w:iCs/>
        </w:rPr>
        <w:t xml:space="preserve"> </w:t>
      </w:r>
      <w:r>
        <w:rPr>
          <w:i/>
          <w:iCs/>
        </w:rPr>
        <w:t xml:space="preserve">Nathanson,</w:t>
      </w:r>
      <w:r>
        <w:rPr>
          <w:i/>
          <w:iCs/>
        </w:rPr>
        <w:t xml:space="preserve"> </w:t>
      </w:r>
      <w:r>
        <w:rPr>
          <w:i/>
          <w:iCs/>
        </w:rPr>
        <w:t xml:space="preserve">LLP</w:t>
      </w:r>
    </w:p>
    <w:p>
      <w:pPr>
        <w:keepNext/>
        <w:keepLines/>
        <w:spacing w:before="0" w:after="0" w:line="400" w:lineRule="exact"/>
        <w:ind w:left="4680" w:firstLine="140"/>
      </w:pPr>
      <w:r>
        <w:rPr>
          <w:i/>
          <w:iCs/>
        </w:rPr>
        <w:t xml:space="preserve">55</w:t>
      </w:r>
      <w:r>
        <w:rPr>
          <w:i/>
          <w:iCs/>
        </w:rPr>
        <w:t xml:space="preserve"> </w:t>
      </w:r>
      <w:r>
        <w:rPr>
          <w:i/>
          <w:iCs/>
        </w:rPr>
        <w:t xml:space="preserve">Union</w:t>
      </w:r>
      <w:r>
        <w:rPr>
          <w:i/>
          <w:iCs/>
        </w:rPr>
        <w:t xml:space="preserve"> </w:t>
      </w:r>
      <w:r>
        <w:rPr>
          <w:i/>
          <w:iCs/>
        </w:rPr>
        <w:t xml:space="preserve">Street,</w:t>
      </w:r>
      <w:r>
        <w:rPr>
          <w:i/>
          <w:iCs/>
        </w:rPr>
        <w:t xml:space="preserve"> </w:t>
      </w:r>
      <w:r>
        <w:rPr>
          <w:i/>
          <w:iCs/>
        </w:rPr>
        <w:t xml:space="preserve">4th</w:t>
      </w:r>
      <w:r>
        <w:rPr>
          <w:i/>
          <w:iCs/>
        </w:rPr>
        <w:t xml:space="preserve"> </w:t>
      </w:r>
      <w:r>
        <w:rPr>
          <w:i/>
          <w:iCs/>
        </w:rPr>
        <w:t xml:space="preserve">Floor</w:t>
      </w:r>
    </w:p>
    <w:p>
      <w:pPr>
        <w:keepNext/>
        <w:keepLines/>
        <w:spacing w:before="0" w:after="0" w:line="400" w:lineRule="exact"/>
        <w:ind w:left="4680" w:firstLine="140"/>
      </w:pPr>
      <w:r>
        <w:rPr>
          <w:i/>
          <w:iCs/>
        </w:rPr>
        <w:t xml:space="preserve">Boston,</w:t>
      </w:r>
      <w:r>
        <w:rPr>
          <w:i/>
          <w:iCs/>
        </w:rPr>
        <w:t xml:space="preserve"> </w:t>
      </w:r>
      <w:r>
        <w:rPr>
          <w:i/>
          <w:iCs/>
        </w:rPr>
        <w:t xml:space="preserve">MA</w:t>
      </w:r>
      <w:r>
        <w:rPr>
          <w:i/>
          <w:iCs/>
        </w:rPr>
        <w:t xml:space="preserve"> </w:t>
      </w:r>
      <w:r>
        <w:rPr>
          <w:i/>
          <w:iCs/>
        </w:rPr>
        <w:t xml:space="preserve">02108</w:t>
      </w:r>
    </w:p>
    <w:p>
      <w:pPr>
        <w:keepNext/>
        <w:keepLines/>
        <w:spacing w:before="0" w:after="0" w:line="400" w:lineRule="exact"/>
        <w:ind w:left="4680" w:firstLine="140"/>
      </w:pPr>
      <w:r>
        <w:rPr>
          <w:i/>
          <w:iCs/>
        </w:rPr>
        <w:t xml:space="preserve">Tel.</w:t>
      </w:r>
      <w:r>
        <w:rPr>
          <w:i/>
          <w:iCs/>
        </w:rPr>
        <w:t xml:space="preserve"> </w:t>
      </w:r>
      <w:r>
        <w:rPr>
          <w:i/>
          <w:iCs/>
        </w:rPr>
        <w:t xml:space="preserve">(617)</w:t>
      </w:r>
      <w:r>
        <w:rPr>
          <w:i/>
          <w:iCs/>
        </w:rPr>
        <w:t xml:space="preserve"> </w:t>
      </w:r>
      <w:r>
        <w:rPr>
          <w:i/>
          <w:iCs/>
        </w:rPr>
        <w:t xml:space="preserve">248-⁠1806</w:t>
      </w:r>
    </w:p>
    <w:p>
      <w:pPr>
        <w:keepNext/>
        <w:keepLines/>
        <w:spacing w:before="0" w:after="0" w:line="400" w:lineRule="exact"/>
        <w:ind w:left="4680" w:firstLine="140"/>
      </w:pPr>
      <w:r>
        <w:rPr>
          <w:i/>
          <w:iCs/>
        </w:rPr>
        <w:t xml:space="preserve">dnathanson@JNdefense.com</w:t>
      </w:r>
    </w:p>
    <w:p>
      <w:pPr>
        <w:keepLines/>
        <w:spacing w:before="224" w:after="0" w:line="400" w:lineRule="exact"/>
        <w:ind w:left="0"/>
      </w:pPr>
      <w:r>
        <w:t xml:space="preserve">March</w:t>
      </w:r>
      <w:r>
        <w:t xml:space="preserve"> </w:t>
      </w:r>
      <w:r>
        <w:t xml:space="preserve">17,</w:t>
      </w:r>
      <w:r>
        <w:t xml:space="preserve"> </w:t>
      </w:r>
      <w:r>
        <w:t xml:space="preserve">2025</w:t>
      </w:r>
    </w:p>
    <w:p>
      <w:pPr>
        <w:pStyle w:val="Heading1"/>
        <w:keepNext/>
        <w:keepLines/>
        <w:pageBreakBefore/>
        <w:spacing w:before="0" w:after="308" w:line="400" w:lineRule="exact"/>
        <w:ind w:left="0" w:firstLine="0"/>
        <w:jc w:val="center"/>
      </w:pPr>
      <w:r>
        <w:rPr>
          <w:b/>
          <w:bCs/>
          <w:sz w:val="32"/>
          <w:szCs w:val="32"/>
        </w:rPr>
        <w:t xml:space="preserve">CERTIFICATE OF COMPLIANCE</w:t>
      </w:r>
    </w:p>
    <w:p>
      <w:pPr>
        <w:keepLines/>
        <w:spacing w:before="0" w:after="0" w:line="400" w:lineRule="exact"/>
        <w:ind w:left="720" w:hanging="720"/>
      </w:pPr>
      <w:r>
        <w:t xml:space="preserve">1.</w:t>
      </w:r>
      <w:r>
        <w:tab/>
      </w:r>
      <w:r>
        <w:t xml:space="preserve">This document complies with the type-volume limit of Fed. R. App. P. 32(a)⁠(7)⁠(B) because, excluding the parts of the document exempted by Fed. R. App. P. 32(f):</w:t>
      </w:r>
    </w:p>
    <w:p>
      <w:pPr>
        <w:keepLines/>
        <w:spacing w:before="224" w:after="224" w:line="400" w:lineRule="exact"/>
        <w:ind w:left="896" w:hanging="448"/>
      </w:pPr>
      <w:r>
        <w:rPr>
          <w:bdr w:val="single" w:sz="6" w:space="0" w:color="000000"/>
        </w:rPr>
        <w:t xml:space="preserve">X</w:t>
      </w:r>
      <w:r>
        <w:tab/>
      </w:r>
      <w:r>
        <w:t xml:space="preserve">this document contains 1,159 words.</w:t>
      </w:r>
    </w:p>
    <w:p>
      <w:pPr>
        <w:keepLines/>
        <w:spacing w:before="0" w:after="0" w:line="400" w:lineRule="exact"/>
        <w:ind w:left="720" w:hanging="720"/>
      </w:pPr>
      <w:r>
        <w:t xml:space="preserve">2.</w:t>
      </w:r>
      <w:r>
        <w:tab/>
      </w:r>
      <w:r>
        <w:t xml:space="preserve">This document complies with the typeface requirements of Fed. R. App. P. 32(a)⁠(5) and the type-style requirements of Fed. R. App. P. 32(a)⁠(6) because:</w:t>
      </w:r>
    </w:p>
    <w:p>
      <w:pPr>
        <w:keepLines/>
        <w:spacing w:before="224" w:after="224" w:line="400" w:lineRule="exact"/>
        <w:ind w:left="896" w:hanging="448"/>
      </w:pPr>
      <w:r>
        <w:rPr>
          <w:bdr w:val="single" w:sz="6" w:space="0" w:color="000000"/>
        </w:rPr>
        <w:t xml:space="preserve">X</w:t>
      </w:r>
      <w:r>
        <w:tab/>
      </w:r>
      <w:r>
        <w:t xml:space="preserve">this document has been prepared in a proportionally spaced typeface using </w:t>
      </w:r>
      <w:r>
        <w:t xml:space="preserve">Typst</w:t>
      </w:r>
      <w:r>
        <w:t xml:space="preserve"> </w:t>
      </w:r>
      <w:r>
        <w:t xml:space="preserve">0.15.1</w:t>
      </w:r>
      <w:r>
        <w:t xml:space="preserve"> in 14-point </w:t>
      </w:r>
      <w:r>
        <w:t xml:space="preserve">Liberation</w:t>
      </w:r>
      <w:r>
        <w:t xml:space="preserve"> </w:t>
      </w:r>
      <w:r>
        <w:t xml:space="preserve">Serif</w:t>
      </w:r>
      <w:r>
        <w:t xml:space="preserve"> roman type.</w:t>
      </w:r>
    </w:p>
    <w:p>
      <w:pPr>
        <w:keepNext/>
        <w:keepLines/>
        <w:spacing w:before="448" w:after="0" w:line="400" w:lineRule="exact"/>
        <w:ind w:left="4680"/>
      </w:pPr>
      <w:r>
        <w:t xml:space="preserve">/s/ David J. Nathanson</w:t>
      </w:r>
    </w:p>
    <w:p>
      <w:pPr>
        <w:keepNext/>
        <w:keepLines/>
        <w:spacing w:before="0" w:after="0" w:line="400" w:lineRule="exact"/>
        <w:ind w:left="4680"/>
      </w:pPr>
      <w:r>
        <w:t xml:space="preserve">Attorney for </w:t>
      </w:r>
      <w:r>
        <w:t xml:space="preserve">Defendant</w:t>
      </w:r>
      <w:r>
        <w:t xml:space="preserve"> </w:t>
      </w:r>
      <w:r>
        <w:t xml:space="preserve">-</w:t>
      </w:r>
      <w:r>
        <w:t xml:space="preserve"> </w:t>
      </w:r>
      <w:r>
        <w:t xml:space="preserve">Appellant</w:t>
      </w:r>
      <w:r>
        <w:t xml:space="preserve"> </w:t>
      </w:r>
      <w:r>
        <w:t xml:space="preserve">Mark</w:t>
      </w:r>
      <w:r>
        <w:t xml:space="preserve"> </w:t>
      </w:r>
      <w:r>
        <w:t xml:space="preserve">Anthony</w:t>
      </w:r>
      <w:r>
        <w:t xml:space="preserve"> </w:t>
      </w:r>
      <w:r>
        <w:t xml:space="preserve">Figueroa</w:t>
      </w:r>
    </w:p>
    <w:p>
      <w:pPr>
        <w:keepLines/>
        <w:spacing w:before="0" w:after="0" w:line="400" w:lineRule="exact"/>
        <w:ind w:left="4680"/>
      </w:pPr>
      <w:r>
        <w:t xml:space="preserve">Dated: </w:t>
      </w:r>
      <w:r>
        <w:t xml:space="preserve">March</w:t>
      </w:r>
      <w:r>
        <w:t xml:space="preserve"> </w:t>
      </w:r>
      <w:r>
        <w:t xml:space="preserve">17,</w:t>
      </w:r>
      <w:r>
        <w:t xml:space="preserve"> </w:t>
      </w:r>
      <w:r>
        <w:t xml:space="preserve">2025</w:t>
      </w:r>
    </w:p>
    <w:p>
      <w:pPr>
        <w:pStyle w:val="Heading1"/>
        <w:keepNext/>
        <w:keepLines/>
        <w:pageBreakBefore/>
        <w:spacing w:before="0" w:after="308" w:line="400" w:lineRule="exact"/>
        <w:ind w:left="0" w:firstLine="0"/>
        <w:jc w:val="center"/>
      </w:pPr>
      <w:r>
        <w:rPr>
          <w:b/>
          <w:bCs/>
          <w:sz w:val="32"/>
          <w:szCs w:val="32"/>
        </w:rPr>
        <w:t xml:space="preserve">CERTIFICATE OF SERVICE</w:t>
      </w:r>
    </w:p>
    <w:p>
      <w:pPr>
        <w:spacing w:before="0" w:after="280" w:line="400" w:lineRule="exact"/>
        <w:ind w:left="0"/>
      </w:pPr>
      <w:r>
        <w:t xml:space="preserve">I hereby certify that on </w:t>
      </w:r>
      <w:r>
        <w:t xml:space="preserve">March</w:t>
      </w:r>
      <w:r>
        <w:t xml:space="preserve"> </w:t>
      </w:r>
      <w:r>
        <w:t xml:space="preserve">17,</w:t>
      </w:r>
      <w:r>
        <w:t xml:space="preserve"> </w:t>
      </w:r>
      <w:r>
        <w:t xml:space="preserve">2025</w:t>
      </w:r>
      <w:r>
        <w:t xml:space="preserve">, I electronically filed the foregoing with the Clerk of the Court for the United States Court of Appeals for the First Circuit by using the appellate CM/ECF system, which will send notification of such filing to all counsel of record.</w:t>
      </w:r>
    </w:p>
    <w:p>
      <w:pPr>
        <w:keepNext/>
        <w:keepLines/>
        <w:spacing w:before="448" w:after="0" w:line="400" w:lineRule="exact"/>
        <w:ind w:left="4680"/>
      </w:pPr>
      <w:r>
        <w:t xml:space="preserve">/s/ David J. Nathanson</w:t>
      </w:r>
    </w:p>
    <w:p>
      <w:pPr>
        <w:keepNext/>
        <w:keepLines/>
        <w:spacing w:before="0" w:after="0" w:line="400" w:lineRule="exact"/>
        <w:ind w:left="4680"/>
      </w:pPr>
      <w:r>
        <w:t xml:space="preserve">Attorney for </w:t>
      </w:r>
      <w:r>
        <w:t xml:space="preserve">Defendant</w:t>
      </w:r>
      <w:r>
        <w:t xml:space="preserve"> </w:t>
      </w:r>
      <w:r>
        <w:t xml:space="preserve">-</w:t>
      </w:r>
      <w:r>
        <w:t xml:space="preserve"> </w:t>
      </w:r>
      <w:r>
        <w:t xml:space="preserve">Appellant</w:t>
      </w:r>
      <w:r>
        <w:t xml:space="preserve"> </w:t>
      </w:r>
      <w:r>
        <w:t xml:space="preserve">Mark</w:t>
      </w:r>
      <w:r>
        <w:t xml:space="preserve"> </w:t>
      </w:r>
      <w:r>
        <w:t xml:space="preserve">Anthony</w:t>
      </w:r>
      <w:r>
        <w:t xml:space="preserve"> </w:t>
      </w:r>
      <w:r>
        <w:t xml:space="preserve">Figueroa</w:t>
      </w:r>
    </w:p>
    <w:p>
      <w:pPr>
        <w:keepLines/>
        <w:spacing w:before="0" w:after="0" w:line="400" w:lineRule="exact"/>
        <w:ind w:left="4680"/>
      </w:pPr>
      <w:r>
        <w:t xml:space="preserve">Dated: </w:t>
      </w:r>
      <w:r>
        <w:t xml:space="preserve">March</w:t>
      </w:r>
      <w:r>
        <w:t xml:space="preserve"> </w:t>
      </w:r>
      <w:r>
        <w:t xml:space="preserve">17,</w:t>
      </w:r>
      <w:r>
        <w:t xml:space="preserve"> </w:t>
      </w:r>
      <w:r>
        <w:t xml:space="preserve">2025</w:t>
      </w:r>
    </w:p>
    <w:p>
      <w:pPr>
        <w:spacing w:before="0" w:after="0" w:line="20" w:lineRule="exact"/>
        <w:sectPr>
          <w:footerReference w:type="default" r:id="rIdFtrPage"/>
          <w:pgSz w:w="12240" w:h="15840"/>
          <w:pgMar w:top="1440" w:right="1440" w:bottom="1440" w:left="1440" w:header="720" w:footer="628" w:gutter="0"/>
          <w:pgNumType w:fmt="decimal" w:start="1"/>
        </w:sectPr>
      </w:pPr>
    </w:p>
    <w:p>
      <w:pPr>
        <w:pStyle w:val="Heading1"/>
        <w:keepNext/>
        <w:keepLines/>
        <w:spacing w:before="0" w:after="308" w:line="400" w:lineRule="exact"/>
        <w:ind w:left="0" w:firstLine="0"/>
        <w:jc w:val="center"/>
      </w:pPr>
      <w:r>
        <w:rPr>
          <w:b/>
          <w:bCs/>
          <w:sz w:val="32"/>
          <w:szCs w:val="32"/>
        </w:rPr>
        <w:t xml:space="preserve">ADDENDUM</w:t>
      </w:r>
    </w:p>
    <w:p>
      <w:pPr>
        <w:keepNext/>
        <w:keepLines/>
        <w:spacing w:before="420" w:after="308" w:line="400" w:lineRule="exact"/>
        <w:ind w:left="0" w:firstLine="0"/>
        <w:jc w:val="center"/>
      </w:pPr>
      <w:r>
        <w:rPr>
          <w:b/>
          <w:bCs/>
          <w:sz w:val="32"/>
          <w:szCs w:val="32"/>
        </w:rPr>
        <w:t xml:space="preserve">TABLE OF CONTENTS</w:t>
      </w:r>
    </w:p>
    <w:p>
      <w:pPr>
        <w:keepLines/>
        <w:tabs>
          <w:tab w:val="right" w:leader="dot" w:pos="9360"/>
        </w:tabs>
        <w:spacing w:before="98" w:after="0" w:line="400" w:lineRule="exact"/>
        <w:ind w:left="720" w:right="720" w:hanging="720"/>
      </w:pPr>
      <w:r>
        <w:t xml:space="preserve">Judgment of Conviction, entered March 22, 2024   </w:t>
      </w:r>
      <w:r>
        <w:tab/>
      </w:r>
      <w:r>
        <w:t xml:space="preserve">Add-⁠2</w:t>
      </w:r>
    </w:p>
    <w:p>
      <w:pPr>
        <w:pStyle w:val="Heading2"/>
        <w:keepNext/>
        <w:keepLines/>
        <w:pageBreakBefore/>
        <w:spacing w:before="0" w:after="252" w:line="400" w:lineRule="exact"/>
        <w:ind w:left="0" w:firstLine="0"/>
      </w:pPr>
      <w:r>
        <w:rPr>
          <w:b/>
          <w:bCs/>
        </w:rPr>
        <w:t xml:space="preserve">Judgment</w:t>
      </w:r>
      <w:r>
        <w:rPr>
          <w:b/>
          <w:bCs/>
        </w:rPr>
        <w:t xml:space="preserve"> </w:t>
      </w:r>
      <w:r>
        <w:rPr>
          <w:b/>
          <w:bCs/>
        </w:rPr>
        <w:t xml:space="preserve">of</w:t>
      </w:r>
      <w:r>
        <w:rPr>
          <w:b/>
          <w:bCs/>
        </w:rPr>
        <w:t xml:space="preserve"> </w:t>
      </w:r>
      <w:r>
        <w:rPr>
          <w:b/>
          <w:bCs/>
        </w:rPr>
        <w:t xml:space="preserve">Conviction,</w:t>
      </w:r>
      <w:r>
        <w:rPr>
          <w:b/>
          <w:bCs/>
        </w:rPr>
        <w:t xml:space="preserve"> </w:t>
      </w:r>
      <w:r>
        <w:rPr>
          <w:b/>
          <w:bCs/>
        </w:rPr>
        <w:t xml:space="preserve">entered</w:t>
      </w:r>
      <w:r>
        <w:rPr>
          <w:b/>
          <w:bCs/>
        </w:rPr>
        <w:t xml:space="preserve"> </w:t>
      </w:r>
      <w:r>
        <w:rPr>
          <w:b/>
          <w:bCs/>
        </w:rPr>
        <w:t xml:space="preserve">March</w:t>
      </w:r>
      <w:r>
        <w:rPr>
          <w:b/>
          <w:bCs/>
        </w:rPr>
        <w:t xml:space="preserve"> </w:t>
      </w:r>
      <w:r>
        <w:rPr>
          <w:b/>
          <w:bCs/>
        </w:rPr>
        <w:t xml:space="preserve">22,</w:t>
      </w:r>
      <w:r>
        <w:rPr>
          <w:b/>
          <w:bCs/>
        </w:rPr>
        <w:t xml:space="preserve"> </w:t>
      </w:r>
      <w:r>
        <w:rPr>
          <w:b/>
          <w:bCs/>
        </w:rPr>
        <w:t xml:space="preserve">2024</w:t>
      </w:r>
    </w:p>
    <w:p>
      <w:pPr>
        <w:pStyle w:val="BodyText"/>
      </w:pPr>
      <w:r>
        <w:t xml:space="preserve">[Transcription note: the addendum pages of the filed exemplar are scanned images without a text layer; only the entry is shown here.]</w:t>
      </w:r>
    </w:p>
    <w:sectPr>
      <w:footerReference w:type="default" r:id="rIdFtrAdd"/>
      <w:pgSz w:w="12240" w:h="15840"/>
      <w:pgMar w:top="1440" w:right="1440" w:bottom="1440" w:left="1440" w:header="720" w:footer="62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record appendix is cited herein as “R.A.[page].” The addendum to the brief is cited as “Add.[page].” The trial transcripts are cited as “Tr. [Vol.]:[page],” and the final pretrial conference transcript is cited as “PTC Tr.[page].”</w:t>
      </w:r>
    </w:p>
  </w:footnote>
  <w:footnote w:id="10">
    <w:p>
      <w:pPr>
        <w:pStyle w:val="FootnoteText"/>
      </w:pPr>
      <w:r>
        <w:rPr>
          <w:rStyle w:val="FootnoteReference"/>
        </w:rPr>
        <w:footnoteRef/>
      </w:r>
      <w:r>
        <w:t xml:space="preserve"> </w:t>
      </w:r>
      <w:r>
        <w:t xml:space="preserve">Agents also obtained security footage from the hotel. Tr.1:59 (R.A.75).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