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7" w:after="0" w:line="400" w:lineRule="exact"/>
        <w:jc w:val="center"/>
      </w:pPr>
      <w:r>
        <w:rPr>
          <w:b/>
          <w:bCs/>
        </w:rPr>
        <w:t xml:space="preserve">No. </w:t>
      </w:r>
      <w:r>
        <w:rPr>
          <w:b/>
          <w:bCs/>
        </w:rPr>
        <w:t xml:space="preserve">24-⁠1414</w:t>
      </w:r>
    </w:p>
    <w:p>
      <w:pPr>
        <w:pBdr>
          <w:bottom w:val="single" w:sz="8" w:space="1" w:color="000000"/>
        </w:pBdr>
        <w:spacing w:before="279" w:after="0" w:line="120" w:lineRule="exact"/>
        <w:ind w:left="0" w:right="0"/>
      </w:pPr>
    </w:p>
    <w:p>
      <w:pPr>
        <w:spacing w:before="279" w:after="0" w:line="400" w:lineRule="exact"/>
        <w:jc w:val="center"/>
      </w:pPr>
      <w:r>
        <w:rPr>
          <w:b/>
          <w:bCs/>
        </w:rPr>
        <w:t xml:space="preserve">UNITED STATES COURT OF APPEALS FOR THE FIRST CIRCUIT</w:t>
      </w:r>
    </w:p>
    <w:p>
      <w:pPr>
        <w:pBdr>
          <w:bottom w:val="single" w:sz="6" w:space="1" w:color="000000"/>
        </w:pBdr>
        <w:spacing w:before="279" w:after="0" w:line="120" w:lineRule="exact"/>
        <w:ind w:left="3240" w:right="3240"/>
      </w:pPr>
    </w:p>
    <w:p>
      <w:pPr>
        <w:spacing w:before="279" w:after="0" w:line="400" w:lineRule="exact"/>
        <w:jc w:val="center"/>
      </w:pPr>
      <w:r>
        <w:t xml:space="preserve">ELIZABETH</w:t>
      </w:r>
      <w:r>
        <w:t xml:space="preserve"> </w:t>
      </w:r>
      <w:r>
        <w:t xml:space="preserve">F.</w:t>
      </w:r>
      <w:r>
        <w:t xml:space="preserve"> </w:t>
      </w:r>
      <w:r>
        <w:t xml:space="preserve">WARNER,</w:t>
      </w:r>
    </w:p>
    <w:p>
      <w:pPr>
        <w:spacing w:before="98" w:after="0" w:line="400" w:lineRule="exact"/>
        <w:jc w:val="center"/>
      </w:pPr>
      <w:r>
        <w:t xml:space="preserve">Plaintiff-Appellant,</w:t>
      </w:r>
    </w:p>
    <w:p>
      <w:pPr>
        <w:spacing w:before="83" w:after="83" w:line="400" w:lineRule="exact"/>
        <w:jc w:val="center"/>
      </w:pPr>
      <w:r>
        <w:t xml:space="preserve">v.</w:t>
      </w:r>
    </w:p>
    <w:p>
      <w:pPr>
        <w:spacing w:before="98" w:after="0" w:line="400" w:lineRule="exact"/>
        <w:jc w:val="center"/>
      </w:pPr>
      <w:r>
        <w:t xml:space="preserve">LOUIS</w:t>
      </w:r>
      <w:r>
        <w:t xml:space="preserve"> </w:t>
      </w:r>
      <w:r>
        <w:t xml:space="preserve">DEJOY,</w:t>
      </w:r>
      <w:r>
        <w:t xml:space="preserve"> </w:t>
      </w:r>
      <w:r>
        <w:t xml:space="preserve">Postmaster</w:t>
      </w:r>
      <w:r>
        <w:t xml:space="preserve"> </w:t>
      </w:r>
      <w:r>
        <w:t xml:space="preserve">General</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Postal</w:t>
      </w:r>
      <w:r>
        <w:t xml:space="preserve"> </w:t>
      </w:r>
      <w:r>
        <w:t xml:space="preserve">Service,</w:t>
      </w:r>
    </w:p>
    <w:p>
      <w:pPr>
        <w:spacing w:before="98" w:after="0" w:line="400" w:lineRule="exact"/>
        <w:jc w:val="center"/>
      </w:pPr>
      <w:r>
        <w:t xml:space="preserve">Defendant-Appellee.</w:t>
      </w:r>
    </w:p>
    <w:p>
      <w:pPr>
        <w:pBdr>
          <w:bottom w:val="single" w:sz="6" w:space="1" w:color="000000"/>
        </w:pBdr>
        <w:spacing w:before="279" w:after="0" w:line="120" w:lineRule="exact"/>
        <w:ind w:left="3240" w:right="3240"/>
      </w:pPr>
    </w:p>
    <w:p>
      <w:pPr>
        <w:spacing w:before="279" w:after="0"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New</w:t>
      </w:r>
      <w:r>
        <w:t xml:space="preserve"> </w:t>
      </w:r>
      <w:r>
        <w:t xml:space="preserve">Hampshire</w:t>
      </w:r>
    </w:p>
    <w:p>
      <w:pPr>
        <w:pBdr>
          <w:bottom w:val="single" w:sz="6" w:space="1" w:color="000000"/>
        </w:pBdr>
        <w:spacing w:before="279" w:after="0" w:line="120" w:lineRule="exact"/>
        <w:ind w:left="3240" w:right="3240"/>
      </w:pPr>
    </w:p>
    <w:p>
      <w:pPr>
        <w:spacing w:before="279" w:after="0" w:line="400" w:lineRule="exact"/>
        <w:jc w:val="center"/>
      </w:pPr>
      <w:r>
        <w:rPr>
          <w:b/>
          <w:bCs/>
          <w:caps/>
        </w:rPr>
        <w:t xml:space="preserve">Reply</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Appellant</w:t>
      </w:r>
      <w:r>
        <w:rPr>
          <w:b/>
          <w:bCs/>
          <w:caps/>
        </w:rPr>
        <w:t xml:space="preserve"> </w:t>
      </w:r>
      <w:r>
        <w:rPr>
          <w:b/>
          <w:bCs/>
          <w:caps/>
        </w:rPr>
        <w:t xml:space="preserve">Elizabeth</w:t>
      </w:r>
      <w:r>
        <w:rPr>
          <w:b/>
          <w:bCs/>
          <w:caps/>
        </w:rPr>
        <w:t xml:space="preserve"> </w:t>
      </w:r>
      <w:r>
        <w:rPr>
          <w:b/>
          <w:bCs/>
          <w:caps/>
        </w:rPr>
        <w:t xml:space="preserve">F.</w:t>
      </w:r>
      <w:r>
        <w:rPr>
          <w:b/>
          <w:bCs/>
          <w:caps/>
        </w:rPr>
        <w:t xml:space="preserve"> </w:t>
      </w:r>
      <w:r>
        <w:rPr>
          <w:b/>
          <w:bCs/>
          <w:caps/>
        </w:rPr>
        <w:t xml:space="preserve">Warner</w:t>
      </w:r>
    </w:p>
    <w:p>
      <w:pPr>
        <w:pBdr>
          <w:bottom w:val="single" w:sz="6" w:space="1" w:color="000000"/>
        </w:pBdr>
        <w:spacing w:before="279" w:after="0" w:line="120" w:lineRule="exact"/>
        <w:ind w:left="3240" w:right="3240"/>
      </w:pPr>
    </w:p>
    <w:p>
      <w:pPr>
        <w:keepLines/>
        <w:spacing w:before="279" w:after="0" w:line="400" w:lineRule="exact"/>
        <w:ind w:left="4680"/>
      </w:pPr>
      <w:r>
        <w:t xml:space="preserve">Mark</w:t>
      </w:r>
      <w:r>
        <w:t xml:space="preserve"> </w:t>
      </w:r>
      <w:r>
        <w:t xml:space="preserve">M.</w:t>
      </w:r>
      <w:r>
        <w:t xml:space="preserve"> </w:t>
      </w:r>
      <w:r>
        <w:t xml:space="preserve">Whitney</w:t>
      </w:r>
      <w:r>
        <w:t xml:space="preserve"> </w:t>
      </w:r>
      <w:r>
        <w:t xml:space="preserve">(1st</w:t>
      </w:r>
      <w:r>
        <w:t xml:space="preserve"> </w:t>
      </w:r>
      <w:r>
        <w:t xml:space="preserve">Cir.</w:t>
      </w:r>
      <w:r>
        <w:t xml:space="preserve"> </w:t>
      </w:r>
      <w:r>
        <w:t xml:space="preserve">No.</w:t>
      </w:r>
      <w:r>
        <w:t xml:space="preserve"> </w:t>
      </w:r>
      <w:r>
        <w:t xml:space="preserve">46659)</w:t>
      </w:r>
    </w:p>
    <w:p>
      <w:pPr>
        <w:keepLines/>
        <w:spacing w:before="0" w:after="0" w:line="400" w:lineRule="exact"/>
        <w:ind w:left="4680"/>
      </w:pPr>
      <w:r>
        <w:t xml:space="preserve">Kyle</w:t>
      </w:r>
      <w:r>
        <w:t xml:space="preserve"> </w:t>
      </w:r>
      <w:r>
        <w:t xml:space="preserve">E.</w:t>
      </w:r>
      <w:r>
        <w:t xml:space="preserve"> </w:t>
      </w:r>
      <w:r>
        <w:t xml:space="preserve">Cullen</w:t>
      </w:r>
      <w:r>
        <w:t xml:space="preserve"> </w:t>
      </w:r>
      <w:r>
        <w:t xml:space="preserve">(1st</w:t>
      </w:r>
      <w:r>
        <w:t xml:space="preserve"> </w:t>
      </w:r>
      <w:r>
        <w:t xml:space="preserve">Cir.</w:t>
      </w:r>
      <w:r>
        <w:t xml:space="preserve"> </w:t>
      </w:r>
      <w:r>
        <w:t xml:space="preserve">No.</w:t>
      </w:r>
      <w:r>
        <w:t xml:space="preserve"> </w:t>
      </w:r>
      <w:r>
        <w:t xml:space="preserve">1212465)</w:t>
      </w:r>
    </w:p>
    <w:p>
      <w:pPr>
        <w:keepLines/>
        <w:spacing w:before="0" w:after="0" w:line="400" w:lineRule="exact"/>
        <w:ind w:left="4680" w:firstLine="140"/>
      </w:pPr>
      <w:r>
        <w:rPr>
          <w:i/>
          <w:iCs/>
        </w:rPr>
        <w:t xml:space="preserve">Whitney</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LLC</w:t>
      </w:r>
    </w:p>
    <w:p>
      <w:pPr>
        <w:keepLines/>
        <w:spacing w:before="0" w:after="0" w:line="400" w:lineRule="exact"/>
        <w:ind w:left="4680" w:firstLine="140"/>
      </w:pPr>
      <w:r>
        <w:rPr>
          <w:i/>
          <w:iCs/>
        </w:rPr>
        <w:t xml:space="preserve">11</w:t>
      </w:r>
      <w:r>
        <w:rPr>
          <w:i/>
          <w:iCs/>
        </w:rPr>
        <w:t xml:space="preserve"> </w:t>
      </w:r>
      <w:r>
        <w:rPr>
          <w:i/>
          <w:iCs/>
        </w:rPr>
        <w:t xml:space="preserve">State</w:t>
      </w:r>
      <w:r>
        <w:rPr>
          <w:i/>
          <w:iCs/>
        </w:rPr>
        <w:t xml:space="preserve"> </w:t>
      </w:r>
      <w:r>
        <w:rPr>
          <w:i/>
          <w:iCs/>
        </w:rPr>
        <w:t xml:space="preserve">Street</w:t>
      </w:r>
    </w:p>
    <w:p>
      <w:pPr>
        <w:keepLines/>
        <w:spacing w:before="0" w:after="0" w:line="400" w:lineRule="exact"/>
        <w:ind w:left="4680" w:firstLine="140"/>
      </w:pPr>
      <w:r>
        <w:rPr>
          <w:i/>
          <w:iCs/>
        </w:rPr>
        <w:t xml:space="preserve">Marblehead,</w:t>
      </w:r>
      <w:r>
        <w:rPr>
          <w:i/>
          <w:iCs/>
        </w:rPr>
        <w:t xml:space="preserve"> </w:t>
      </w:r>
      <w:r>
        <w:rPr>
          <w:i/>
          <w:iCs/>
        </w:rPr>
        <w:t xml:space="preserve">MA</w:t>
      </w:r>
      <w:r>
        <w:rPr>
          <w:i/>
          <w:iCs/>
        </w:rPr>
        <w:t xml:space="preserve"> </w:t>
      </w:r>
      <w:r>
        <w:rPr>
          <w:i/>
          <w:iCs/>
        </w:rPr>
        <w:t xml:space="preserve">01945</w:t>
      </w:r>
    </w:p>
    <w:p>
      <w:pPr>
        <w:keepLines/>
        <w:spacing w:before="0" w:after="0" w:line="400" w:lineRule="exact"/>
        <w:ind w:left="4680" w:firstLine="140"/>
      </w:pPr>
      <w:r>
        <w:rPr>
          <w:i/>
          <w:iCs/>
        </w:rPr>
        <w:t xml:space="preserve">mwhitney@whitneylawgroup.com</w:t>
      </w:r>
    </w:p>
    <w:p>
      <w:pPr>
        <w:keepLines/>
        <w:spacing w:before="0" w:after="0" w:line="400" w:lineRule="exact"/>
        <w:ind w:left="4680" w:firstLine="140"/>
      </w:pPr>
      <w:r>
        <w:rPr>
          <w:i/>
          <w:iCs/>
        </w:rPr>
        <w:t xml:space="preserve">kcullen@whitneylawgroup.com</w:t>
      </w:r>
    </w:p>
    <w:p>
      <w:pPr>
        <w:keepLines/>
        <w:spacing w:before="0" w:after="0" w:line="400" w:lineRule="exact"/>
        <w:ind w:left="4680" w:firstLine="140"/>
      </w:pPr>
      <w:r>
        <w:rPr>
          <w:i/>
          <w:iCs/>
        </w:rPr>
        <w:t xml:space="preserve">(781)</w:t>
      </w:r>
      <w:r>
        <w:rPr>
          <w:i/>
          <w:iCs/>
        </w:rPr>
        <w:t xml:space="preserve"> </w:t>
      </w:r>
      <w:r>
        <w:rPr>
          <w:i/>
          <w:iCs/>
        </w:rPr>
        <w:t xml:space="preserve">631-⁠4400</w:t>
      </w:r>
    </w:p>
    <w:p>
      <w:pPr>
        <w:spacing w:before="0" w:after="0" w:line="20" w:lineRule="exact"/>
        <w:sectPr>
          <w:footerReference w:type="default" r:id="rIdFtrNone"/>
          <w:pgSz w:w="12240" w:h="15840"/>
          <w:pgMar w:top="1440" w:right="1440" w:bottom="1440" w:left="1440" w:header="720" w:footer="62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   </w:t>
      </w:r>
      <w:r>
        <w:tab/>
      </w:r>
      <w:r>
        <w:t xml:space="preserve">ii</w:t>
      </w:r>
    </w:p>
    <w:p>
      <w:pPr>
        <w:keepLines/>
        <w:tabs>
          <w:tab w:val="right" w:leader="dot" w:pos="9360"/>
        </w:tabs>
        <w:spacing w:before="168" w:after="0" w:line="400" w:lineRule="exact"/>
        <w:ind w:left="720" w:right="720" w:hanging="720"/>
      </w:pPr>
      <w:r>
        <w:t xml:space="preserve">INTRODUCTION   </w:t>
      </w:r>
      <w:r>
        <w:tab/>
      </w:r>
      <w:r>
        <w:t xml:space="preserve">1</w:t>
      </w:r>
    </w:p>
    <w:p>
      <w:pPr>
        <w:keepLines/>
        <w:tabs>
          <w:tab w:val="right" w:leader="dot" w:pos="9360"/>
        </w:tabs>
        <w:spacing w:before="168" w:after="0" w:line="400" w:lineRule="exact"/>
        <w:ind w:left="720" w:right="720" w:hanging="720"/>
      </w:pPr>
      <w:r>
        <w:t xml:space="preserve">REPLY ARGUMENT   </w:t>
      </w:r>
      <w:r>
        <w:tab/>
      </w:r>
      <w:r>
        <w:t xml:space="preserve">1</w:t>
      </w:r>
    </w:p>
    <w:p>
      <w:pPr>
        <w:keepLines/>
        <w:tabs>
          <w:tab w:val="right" w:leader="dot" w:pos="9360"/>
        </w:tabs>
        <w:spacing w:before="98" w:after="0" w:line="400" w:lineRule="exact"/>
        <w:ind w:left="720" w:right="720" w:hanging="720"/>
      </w:pPr>
      <w:r>
        <w:t xml:space="preserve">I.</w:t>
      </w:r>
      <w:r>
        <w:tab/>
      </w:r>
      <w:r>
        <w:t xml:space="preserve">The USPS Misstated the Applicable Legal Standard Throughout its Brief – Ms. Warner Is Not Required to “Prove” Pretext, She Merely Needs to Show a Potential Jury Question   </w:t>
      </w:r>
      <w:r>
        <w:tab/>
      </w:r>
      <w:r>
        <w:t xml:space="preserve">2</w:t>
      </w:r>
    </w:p>
    <w:p>
      <w:pPr>
        <w:keepLines/>
        <w:tabs>
          <w:tab w:val="right" w:leader="dot" w:pos="9360"/>
        </w:tabs>
        <w:spacing w:before="98" w:after="0" w:line="400" w:lineRule="exact"/>
        <w:ind w:left="720" w:right="720" w:hanging="720"/>
      </w:pPr>
      <w:r>
        <w:t xml:space="preserve">II.</w:t>
      </w:r>
      <w:r>
        <w:tab/>
      </w:r>
      <w:r>
        <w:t xml:space="preserve">The Success of USPS’s Position Depends on the Veracity of One Key Witness – In So Arguing, Both the USPS and the Lower Court Made Improper Credibility Determinations   </w:t>
      </w:r>
      <w:r>
        <w:tab/>
      </w:r>
      <w:r>
        <w:t xml:space="preserve">4</w:t>
      </w:r>
    </w:p>
    <w:p>
      <w:pPr>
        <w:keepLines/>
        <w:tabs>
          <w:tab w:val="right" w:leader="dot" w:pos="9360"/>
        </w:tabs>
        <w:spacing w:before="168" w:after="0" w:line="400" w:lineRule="exact"/>
        <w:ind w:left="720" w:right="720" w:hanging="720"/>
      </w:pPr>
      <w:r>
        <w:t xml:space="preserve">CONCLUSION   </w:t>
      </w:r>
      <w:r>
        <w:tab/>
      </w:r>
      <w:r>
        <w:t xml:space="preserve">4</w:t>
      </w:r>
    </w:p>
    <w:p>
      <w:pPr>
        <w:keepLines/>
        <w:tabs>
          <w:tab w:val="right" w:leader="dot" w:pos="9360"/>
        </w:tabs>
        <w:spacing w:before="168" w:after="0" w:line="400" w:lineRule="exact"/>
        <w:ind w:left="720" w:right="720" w:hanging="720"/>
      </w:pPr>
      <w:r>
        <w:t xml:space="preserve">CERTIFICATE OF COMPLIANCE   </w:t>
      </w:r>
      <w:r>
        <w:tab/>
      </w:r>
      <w:r>
        <w:t xml:space="preserve">6</w:t>
      </w:r>
    </w:p>
    <w:p>
      <w:pPr>
        <w:keepLines/>
        <w:tabs>
          <w:tab w:val="right" w:leader="dot" w:pos="9360"/>
        </w:tabs>
        <w:spacing w:before="168" w:after="0" w:line="400" w:lineRule="exact"/>
        <w:ind w:left="720" w:right="720" w:hanging="720"/>
      </w:pPr>
      <w:r>
        <w:t xml:space="preserve">CERTIFICATE OF SERVICE   </w:t>
      </w:r>
      <w:r>
        <w:tab/>
      </w:r>
      <w:r>
        <w:t xml:space="preserve">7</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Ahmed</w:t>
      </w:r>
      <w:r>
        <w:rPr>
          <w:i/>
          <w:iCs/>
        </w:rPr>
        <w:t xml:space="preserve"> </w:t>
      </w:r>
      <w:r>
        <w:rPr>
          <w:i/>
          <w:iCs/>
        </w:rPr>
        <w:t xml:space="preserve">v.</w:t>
      </w:r>
      <w:r>
        <w:rPr>
          <w:i/>
          <w:iCs/>
        </w:rPr>
        <w:t xml:space="preserve"> </w:t>
      </w:r>
      <w:r>
        <w:rPr>
          <w:i/>
          <w:iCs/>
        </w:rPr>
        <w:t xml:space="preserve">Johnson</w:t>
      </w:r>
      <w:r>
        <w:t xml:space="preserve">,</w:t>
      </w:r>
      <w:r>
        <w:br/>
      </w:r>
      <w:r>
        <w:t xml:space="preserve">752</w:t>
      </w:r>
      <w:r>
        <w:t xml:space="preserve"> </w:t>
      </w:r>
      <w:r>
        <w:t xml:space="preserve">F.3d</w:t>
      </w:r>
      <w:r>
        <w:t xml:space="preserve"> </w:t>
      </w:r>
      <w:r>
        <w:t xml:space="preserve">490</w:t>
      </w:r>
      <w:r>
        <w:t xml:space="preserve"> </w:t>
      </w:r>
      <w:r>
        <w:t xml:space="preserve">(1st</w:t>
      </w:r>
      <w:r>
        <w:t xml:space="preserve"> </w:t>
      </w:r>
      <w:r>
        <w:t xml:space="preserve">Cir.</w:t>
      </w:r>
      <w:r>
        <w:t xml:space="preserve"> </w:t>
      </w:r>
      <w:r>
        <w:t xml:space="preserve">2014)</w:t>
      </w:r>
      <w:r>
        <w:t xml:space="preserve">   </w:t>
      </w:r>
      <w:r>
        <w:tab/>
      </w:r>
      <w:r>
        <w:t xml:space="preserve">3</w:t>
      </w:r>
    </w:p>
    <w:p>
      <w:pPr>
        <w:keepLines/>
        <w:tabs>
          <w:tab w:val="right" w:leader="dot" w:pos="9360"/>
        </w:tabs>
        <w:spacing w:before="196" w:after="0" w:line="400" w:lineRule="exact"/>
        <w:ind w:left="504" w:right="1120" w:hanging="504"/>
      </w:pPr>
      <w:r>
        <w:rPr>
          <w:i/>
          <w:iCs/>
        </w:rPr>
        <w:t xml:space="preserve">Taite</w:t>
      </w:r>
      <w:r>
        <w:rPr>
          <w:i/>
          <w:iCs/>
        </w:rPr>
        <w:t xml:space="preserve"> </w:t>
      </w:r>
      <w:r>
        <w:rPr>
          <w:i/>
          <w:iCs/>
        </w:rPr>
        <w:t xml:space="preserve">v.</w:t>
      </w:r>
      <w:r>
        <w:rPr>
          <w:i/>
          <w:iCs/>
        </w:rPr>
        <w:t xml:space="preserve"> </w:t>
      </w:r>
      <w:r>
        <w:rPr>
          <w:i/>
          <w:iCs/>
        </w:rPr>
        <w:t xml:space="preserve">Bridgewater</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Trustees</w:t>
      </w:r>
      <w:r>
        <w:t xml:space="preserve">,</w:t>
      </w:r>
      <w:r>
        <w:br/>
      </w:r>
      <w:r>
        <w:t xml:space="preserve">999</w:t>
      </w:r>
      <w:r>
        <w:t xml:space="preserve"> </w:t>
      </w:r>
      <w:r>
        <w:t xml:space="preserve">F.3d</w:t>
      </w:r>
      <w:r>
        <w:t xml:space="preserve"> </w:t>
      </w:r>
      <w:r>
        <w:t xml:space="preserve">86</w:t>
      </w:r>
      <w:r>
        <w:t xml:space="preserve"> </w:t>
      </w:r>
      <w:r>
        <w:t xml:space="preserve">(1st</w:t>
      </w:r>
      <w:r>
        <w:t xml:space="preserve"> </w:t>
      </w:r>
      <w:r>
        <w:t xml:space="preserve">Cir.</w:t>
      </w:r>
      <w:r>
        <w:t xml:space="preserve"> </w:t>
      </w:r>
      <w:r>
        <w:t xml:space="preserve">2021)</w:t>
      </w:r>
      <w:r>
        <w:t xml:space="preserve">   </w:t>
      </w:r>
      <w:r>
        <w:tab/>
      </w:r>
      <w:r>
        <w:t xml:space="preserve">3</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The Plaintiff-Appellant, Elizabeth F. Warner (“Ms. Warner”), submits this reply in response to the opposition brief of the Defendant-Appellee, Louis DeJoy, Postmaster General of the United States Postal Service (“USPS”), in an action for employment discrimination arising from the USPS’s unlawful failure to promote to two separate postmaster positions within eight months in 2018.</w:t>
      </w:r>
    </w:p>
    <w:p>
      <w:pPr>
        <w:pStyle w:val="Heading1"/>
        <w:keepNext/>
        <w:keepLines/>
        <w:spacing w:before="420" w:after="308" w:line="400" w:lineRule="exact"/>
        <w:ind w:left="0" w:firstLine="0"/>
        <w:jc w:val="center"/>
      </w:pPr>
      <w:r>
        <w:rPr>
          <w:b/>
          <w:bCs/>
          <w:sz w:val="32"/>
          <w:szCs w:val="32"/>
        </w:rPr>
        <w:t xml:space="preserve">REPLY ARGUMENT</w:t>
      </w:r>
    </w:p>
    <w:p>
      <w:pPr>
        <w:pStyle w:val="BodyText"/>
      </w:pPr>
      <w:r>
        <w:t xml:space="preserve">Ms. Warner relies on the arguments in her main brief and submits this reply to address key issues raised in the USPS’s opposition brief. First, the USPS seeks to impose the wrong legal standard on Ms. Warner by claiming that she did not “prove” or “establish” pretext. That is far from the applicable standard, and she is not required to prove her claim now. Second, the USPS has compounded the lower court’s error by also relying so heavily on the veracity of its one primary witness, Ms. Kathleen Hayes (“Ms. Hayes”). For the USPS’s arguments to succeed and for the lower court to be affirmed, one must necessarily conclude that Ms. Hayes is credible. This pivotal determination is for the jury to decide. Third, this Court should affirm the lower court’s finding that Ms. Warner’s claim for failure to promote to the Durham Postmaster position is not time-barred. The lower court properly relied upon the clear precedent of this Court in rendering this portion of its decision. Fourth, this Court should exercise its discretion to ensure that the federal sector age discrimination standard is applied to Ms. Warner’s case.</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USPS</w:t>
      </w:r>
      <w:r>
        <w:rPr>
          <w:b/>
          <w:bCs/>
        </w:rPr>
        <w:t xml:space="preserve"> </w:t>
      </w:r>
      <w:r>
        <w:rPr>
          <w:b/>
          <w:bCs/>
        </w:rPr>
        <w:t xml:space="preserve">Misstated</w:t>
      </w:r>
      <w:r>
        <w:rPr>
          <w:b/>
          <w:bCs/>
        </w:rPr>
        <w:t xml:space="preserve"> </w:t>
      </w:r>
      <w:r>
        <w:rPr>
          <w:b/>
          <w:bCs/>
        </w:rPr>
        <w:t xml:space="preserve">the</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Standard</w:t>
      </w:r>
      <w:r>
        <w:rPr>
          <w:b/>
          <w:bCs/>
        </w:rPr>
        <w:t xml:space="preserve"> </w:t>
      </w:r>
      <w:r>
        <w:rPr>
          <w:b/>
          <w:bCs/>
        </w:rPr>
        <w:t xml:space="preserve">Throughout</w:t>
      </w:r>
      <w:r>
        <w:rPr>
          <w:b/>
          <w:bCs/>
        </w:rPr>
        <w:t xml:space="preserve"> </w:t>
      </w:r>
      <w:r>
        <w:rPr>
          <w:b/>
          <w:bCs/>
        </w:rPr>
        <w:t xml:space="preserve">its</w:t>
      </w:r>
      <w:r>
        <w:rPr>
          <w:b/>
          <w:bCs/>
        </w:rPr>
        <w:t xml:space="preserve"> </w:t>
      </w:r>
      <w:r>
        <w:rPr>
          <w:b/>
          <w:bCs/>
        </w:rPr>
        <w:t xml:space="preserve">Brief</w:t>
      </w:r>
      <w:r>
        <w:rPr>
          <w:b/>
          <w:bCs/>
        </w:rPr>
        <w:t xml:space="preserve"> </w:t>
      </w:r>
      <w:r>
        <w:rPr>
          <w:b/>
          <w:bCs/>
        </w:rPr>
        <w:t xml:space="preserve">–</w:t>
      </w:r>
      <w:r>
        <w:rPr>
          <w:b/>
          <w:bCs/>
        </w:rPr>
        <w:t xml:space="preserve"> </w:t>
      </w:r>
      <w:r>
        <w:rPr>
          <w:b/>
          <w:bCs/>
        </w:rPr>
        <w:t xml:space="preserve">Ms.</w:t>
      </w:r>
      <w:r>
        <w:rPr>
          <w:b/>
          <w:bCs/>
        </w:rPr>
        <w:t xml:space="preserve"> </w:t>
      </w:r>
      <w:r>
        <w:rPr>
          <w:b/>
          <w:bCs/>
        </w:rPr>
        <w:t xml:space="preserve">Warner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Pretext,</w:t>
      </w:r>
      <w:r>
        <w:rPr>
          <w:b/>
          <w:bCs/>
        </w:rPr>
        <w:t xml:space="preserve"> </w:t>
      </w:r>
      <w:r>
        <w:rPr>
          <w:b/>
          <w:bCs/>
        </w:rPr>
        <w:t xml:space="preserve">She</w:t>
      </w:r>
      <w:r>
        <w:rPr>
          <w:b/>
          <w:bCs/>
        </w:rPr>
        <w:t xml:space="preserve"> </w:t>
      </w:r>
      <w:r>
        <w:rPr>
          <w:b/>
          <w:bCs/>
        </w:rPr>
        <w:t xml:space="preserve">Merely</w:t>
      </w:r>
      <w:r>
        <w:rPr>
          <w:b/>
          <w:bCs/>
        </w:rPr>
        <w:t xml:space="preserve"> </w:t>
      </w:r>
      <w:r>
        <w:rPr>
          <w:b/>
          <w:bCs/>
        </w:rPr>
        <w:t xml:space="preserve">Needs</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a</w:t>
      </w:r>
      <w:r>
        <w:rPr>
          <w:b/>
          <w:bCs/>
        </w:rPr>
        <w:t xml:space="preserve"> </w:t>
      </w:r>
      <w:r>
        <w:rPr>
          <w:b/>
          <w:bCs/>
        </w:rPr>
        <w:t xml:space="preserve">Potential</w:t>
      </w:r>
      <w:r>
        <w:rPr>
          <w:b/>
          <w:bCs/>
        </w:rPr>
        <w:t xml:space="preserve"> </w:t>
      </w:r>
      <w:r>
        <w:rPr>
          <w:b/>
          <w:bCs/>
        </w:rPr>
        <w:t xml:space="preserve">Jury</w:t>
      </w:r>
      <w:r>
        <w:rPr>
          <w:b/>
          <w:bCs/>
        </w:rPr>
        <w:t xml:space="preserve"> </w:t>
      </w:r>
      <w:r>
        <w:rPr>
          <w:b/>
          <w:bCs/>
        </w:rPr>
        <w:t xml:space="preserve">Question</w:t>
      </w:r>
    </w:p>
    <w:p>
      <w:pPr>
        <w:pStyle w:val="BodyText"/>
      </w:pPr>
      <w:r>
        <w:t xml:space="preserve">Throughout its brief, the USPS repeatedly argues that Ms. Warner failed to “prove” or “establish” pretext. While this may be the proof standard at trial, this matter comes before this Court on a de novo review of a summary judgment order. Thus, the USPS grossly overstates Ms. Warner’s burden at this point in the proceedings. (USPS Brief p. 15, 28–29) In fact, all Ms. Warner needs to do is show that material factual disputes exist that should be decided by a jury. Especially when construing inferences in favor of Ms. Warner, she more than met her limited burden to defeat summary judgment.</w:t>
      </w:r>
    </w:p>
    <w:p>
      <w:pPr>
        <w:pStyle w:val="BodyText"/>
      </w:pPr>
      <w:r>
        <w:t xml:space="preserve">USPS seeks to raise the bar that Ms. Warner must clear to have a jury of her peers weigh the merits of her claims. For example, the USPS asserts the following at various points in its brief:</w:t>
      </w:r>
    </w:p>
    <w:p>
      <w:pPr>
        <w:pStyle w:val="ListItem"/>
      </w:pPr>
      <w:r>
        <w:t xml:space="preserve">•</w:t>
      </w:r>
      <w:r>
        <w:tab/>
      </w:r>
      <w:r>
        <w:t xml:space="preserve">“Warner Has Failed to Prove Pretext.” (USPS Brief p. 29, Point Heading A5 (emphasis added)).</w:t>
      </w:r>
    </w:p>
    <w:p>
      <w:pPr>
        <w:pStyle w:val="ListItem"/>
      </w:pPr>
      <w:r>
        <w:t xml:space="preserve">•</w:t>
      </w:r>
      <w:r>
        <w:tab/>
      </w:r>
      <w:r>
        <w:t xml:space="preserve">“At the final step of the analysis, Warner must prove that the Postal Service’s nondiscriminatory justification for its hiring decisions was pretextual and the real reason was illegal discrimination.” (USPS Brief p. 15 (emphasis added)).</w:t>
      </w:r>
    </w:p>
    <w:p>
      <w:pPr>
        <w:pStyle w:val="ListItem"/>
      </w:pPr>
      <w:r>
        <w:t xml:space="preserve">•</w:t>
      </w:r>
      <w:r>
        <w:tab/>
      </w:r>
      <w:r>
        <w:t xml:space="preserve">“Accordingly, Warner bore the burden of showing that the reasons Hayes articulated in support of the hiring decision were pretextual, which the court below held that she failed to do. (USPS Brief p. 22–23 (emphasis added)).</w:t>
      </w:r>
    </w:p>
    <w:p>
      <w:pPr>
        <w:pStyle w:val="BodyText"/>
      </w:pPr>
      <w:r>
        <w:t xml:space="preserve">In contrast to the USPS’s contentions, Ms. Warner does not need to “prove” or have conclusively “established” pretext at the summary judgment stage of this case. (USPS Brief p. 22–23, 29) Ms. Warner only needs to demonstrate that there are genuine issues of material fact with respect to USPS’s pretextual reasoning.</w:t>
      </w:r>
      <w:r>
        <w:t xml:space="preserve"> </w:t>
      </w:r>
      <w:r>
        <w:rPr>
          <w:i/>
          <w:iCs/>
        </w:rPr>
        <w:t xml:space="preserve">Taite v. Bridgewater State Univ., Bd. of Trustees</w:t>
      </w:r>
      <w:r>
        <w:t xml:space="preserve">, 999 F.3d 86, 94 (1st Cir. 2021) (“Ultimately, to survive summary judgment, Taite does not need to prove her case . . ., but, instead, viewing the aggregate package of proof she offered, she ‘need only show that [her] ability to meet [her] burden turns on a genuine issue of material fact . . .’ ‘Stated otherwise, we must determine if there is a convincing mosaic of circumstantial evidence that would allow a jury to infer intentional discrimination.’”) (Internal citations omitted). “[S]ufficient evidence to support a finding of pretext, in combination with the with the plaintiff’s prima facie showing, can suffice at times to raise an inference of discrimination that will defeat summary judgment.”</w:t>
      </w:r>
      <w:r>
        <w:t xml:space="preserve"> </w:t>
      </w:r>
      <w:r>
        <w:rPr>
          <w:i/>
          <w:iCs/>
        </w:rPr>
        <w:t xml:space="preserve">Ahmed v. Johnson</w:t>
      </w:r>
      <w:r>
        <w:t xml:space="preserve">, 752 F.3d 490, 503 (1st Cir. 2014) (vacating the lower court’s summary judgment ruling in favor of the employer because the plaintiff adequately demonstrated genuine material fact disputes).</w:t>
      </w:r>
    </w:p>
    <w:p>
      <w:pPr>
        <w:pStyle w:val="BodyText"/>
      </w:pPr>
      <w:r>
        <w:t xml:space="preserve">Ms. Warner submits that this Court should remain cognizant of the USPS’s overreach when considering its arguments about evidence of pretext. As explained in her main brief, Ms. Warner has presented the type of convincing mosaic of circumstantial evidence that would allow a jury to infer intentional discrimination.</w:t>
      </w:r>
    </w:p>
    <w:p>
      <w:pPr>
        <w:pStyle w:val="Heading2"/>
        <w:keepNext/>
        <w:keepLines/>
        <w:spacing w:before="336" w:after="280" w:line="400" w:lineRule="exact"/>
        <w:ind w:left="0" w:firstLine="0"/>
        <w:jc w:val="center"/>
      </w:pPr>
      <w:r>
        <w:rPr>
          <w:b/>
          <w:bCs/>
        </w:rPr>
        <w:t xml:space="preserve">II. </w:t>
      </w:r>
      <w:r>
        <w:rPr>
          <w:b/>
          <w:bCs/>
        </w:rPr>
        <w:t xml:space="preserve">The</w:t>
      </w:r>
      <w:r>
        <w:rPr>
          <w:b/>
          <w:bCs/>
        </w:rPr>
        <w:t xml:space="preserve"> </w:t>
      </w:r>
      <w:r>
        <w:rPr>
          <w:b/>
          <w:bCs/>
        </w:rPr>
        <w:t xml:space="preserve">Success</w:t>
      </w:r>
      <w:r>
        <w:rPr>
          <w:b/>
          <w:bCs/>
        </w:rPr>
        <w:t xml:space="preserve"> </w:t>
      </w:r>
      <w:r>
        <w:rPr>
          <w:b/>
          <w:bCs/>
        </w:rPr>
        <w:t xml:space="preserve">of</w:t>
      </w:r>
      <w:r>
        <w:rPr>
          <w:b/>
          <w:bCs/>
        </w:rPr>
        <w:t xml:space="preserve"> </w:t>
      </w:r>
      <w:r>
        <w:rPr>
          <w:b/>
          <w:bCs/>
        </w:rPr>
        <w:t xml:space="preserve">USPS’s</w:t>
      </w:r>
      <w:r>
        <w:rPr>
          <w:b/>
          <w:bCs/>
        </w:rPr>
        <w:t xml:space="preserve"> </w:t>
      </w:r>
      <w:r>
        <w:rPr>
          <w:b/>
          <w:bCs/>
        </w:rPr>
        <w:t xml:space="preserve">Position</w:t>
      </w:r>
      <w:r>
        <w:rPr>
          <w:b/>
          <w:bCs/>
        </w:rPr>
        <w:t xml:space="preserve"> </w:t>
      </w:r>
      <w:r>
        <w:rPr>
          <w:b/>
          <w:bCs/>
        </w:rPr>
        <w:t xml:space="preserve">Depends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Veracity</w:t>
      </w:r>
      <w:r>
        <w:rPr>
          <w:b/>
          <w:bCs/>
        </w:rPr>
        <w:t xml:space="preserve"> </w:t>
      </w:r>
      <w:r>
        <w:rPr>
          <w:b/>
          <w:bCs/>
        </w:rPr>
        <w:t xml:space="preserve">of</w:t>
      </w:r>
      <w:r>
        <w:rPr>
          <w:b/>
          <w:bCs/>
        </w:rPr>
        <w:t xml:space="preserve"> </w:t>
      </w:r>
      <w:r>
        <w:rPr>
          <w:b/>
          <w:bCs/>
        </w:rPr>
        <w:t xml:space="preserve">One</w:t>
      </w:r>
      <w:r>
        <w:rPr>
          <w:b/>
          <w:bCs/>
        </w:rPr>
        <w:t xml:space="preserve"> </w:t>
      </w:r>
      <w:r>
        <w:rPr>
          <w:b/>
          <w:bCs/>
        </w:rPr>
        <w:t xml:space="preserve">Key</w:t>
      </w:r>
      <w:r>
        <w:rPr>
          <w:b/>
          <w:bCs/>
        </w:rPr>
        <w:t xml:space="preserve"> </w:t>
      </w:r>
      <w:r>
        <w:rPr>
          <w:b/>
          <w:bCs/>
        </w:rPr>
        <w:t xml:space="preserve">Witness</w:t>
      </w:r>
      <w:r>
        <w:rPr>
          <w:b/>
          <w:bCs/>
        </w:rPr>
        <w:t xml:space="preserve"> </w:t>
      </w:r>
      <w:r>
        <w:rPr>
          <w:b/>
          <w:bCs/>
        </w:rPr>
        <w:t xml:space="preserve">–</w:t>
      </w:r>
      <w:r>
        <w:rPr>
          <w:b/>
          <w:bCs/>
        </w:rPr>
        <w:t xml:space="preserve"> </w:t>
      </w:r>
      <w:r>
        <w:rPr>
          <w:b/>
          <w:bCs/>
        </w:rPr>
        <w:t xml:space="preserve">In</w:t>
      </w:r>
      <w:r>
        <w:rPr>
          <w:b/>
          <w:bCs/>
        </w:rPr>
        <w:t xml:space="preserve"> </w:t>
      </w:r>
      <w:r>
        <w:rPr>
          <w:b/>
          <w:bCs/>
        </w:rPr>
        <w:t xml:space="preserve">So</w:t>
      </w:r>
      <w:r>
        <w:rPr>
          <w:b/>
          <w:bCs/>
        </w:rPr>
        <w:t xml:space="preserve"> </w:t>
      </w:r>
      <w:r>
        <w:rPr>
          <w:b/>
          <w:bCs/>
        </w:rPr>
        <w:t xml:space="preserve">Arguing,</w:t>
      </w:r>
      <w:r>
        <w:rPr>
          <w:b/>
          <w:bCs/>
        </w:rPr>
        <w:t xml:space="preserve"> </w:t>
      </w:r>
      <w:r>
        <w:rPr>
          <w:b/>
          <w:bCs/>
        </w:rPr>
        <w:t xml:space="preserve">Both</w:t>
      </w:r>
      <w:r>
        <w:rPr>
          <w:b/>
          <w:bCs/>
        </w:rPr>
        <w:t xml:space="preserve"> </w:t>
      </w:r>
      <w:r>
        <w:rPr>
          <w:b/>
          <w:bCs/>
        </w:rPr>
        <w:t xml:space="preserve">the</w:t>
      </w:r>
      <w:r>
        <w:rPr>
          <w:b/>
          <w:bCs/>
        </w:rPr>
        <w:t xml:space="preserve"> </w:t>
      </w:r>
      <w:r>
        <w:rPr>
          <w:b/>
          <w:bCs/>
        </w:rPr>
        <w:t xml:space="preserve">USPS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Made</w:t>
      </w:r>
      <w:r>
        <w:rPr>
          <w:b/>
          <w:bCs/>
        </w:rPr>
        <w:t xml:space="preserve"> </w:t>
      </w:r>
      <w:r>
        <w:rPr>
          <w:b/>
          <w:bCs/>
        </w:rPr>
        <w:t xml:space="preserve">Improper</w:t>
      </w:r>
      <w:r>
        <w:rPr>
          <w:b/>
          <w:bCs/>
        </w:rPr>
        <w:t xml:space="preserve"> </w:t>
      </w:r>
      <w:r>
        <w:rPr>
          <w:b/>
          <w:bCs/>
        </w:rPr>
        <w:t xml:space="preserve">Credibility</w:t>
      </w:r>
      <w:r>
        <w:rPr>
          <w:b/>
          <w:bCs/>
        </w:rPr>
        <w:t xml:space="preserve"> </w:t>
      </w:r>
      <w:r>
        <w:rPr>
          <w:b/>
          <w:bCs/>
        </w:rPr>
        <w:t xml:space="preserve">Determinations</w:t>
      </w:r>
    </w:p>
    <w:p>
      <w:pPr>
        <w:pStyle w:val="BodyText"/>
      </w:pPr>
      <w:r>
        <w:t xml:space="preserve">In its brief, the USPS expends substantial effort to argue that Ms. Hayes did not commit perjury when they both caused her to file a materially false statement in support of the USPS’s summary judgment motion.</w:t>
      </w:r>
    </w:p>
    <w:p>
      <w:pPr>
        <w:pStyle w:val="Heading1"/>
        <w:keepNext/>
        <w:keepLines/>
        <w:spacing w:before="420" w:after="308" w:line="400" w:lineRule="exact"/>
        <w:ind w:left="0" w:firstLine="0"/>
        <w:jc w:val="center"/>
      </w:pPr>
      <w:r>
        <w:rPr>
          <w:b/>
          <w:bCs/>
          <w:sz w:val="32"/>
          <w:szCs w:val="32"/>
        </w:rPr>
        <w:t xml:space="preserve">CONCLUSION</w:t>
      </w:r>
    </w:p>
    <w:p>
      <w:pPr>
        <w:pStyle w:val="BodyText"/>
      </w:pPr>
      <w:r>
        <w:t xml:space="preserve">For the reasons set forth in Ms. Warner’s main brief as well as those articulated above, Ms. Warner respectfully requests that this Honorable Court should:</w:t>
      </w:r>
    </w:p>
    <w:p>
      <w:pPr>
        <w:pStyle w:val="ListItem"/>
        <w:keepNext/>
        <w:keepLines/>
      </w:pPr>
      <w:r>
        <w:t xml:space="preserve">•</w:t>
      </w:r>
      <w:r>
        <w:tab/>
      </w:r>
      <w:r>
        <w:t xml:space="preserve">Reverse</w:t>
      </w:r>
      <w:r>
        <w:t xml:space="preserve"> </w:t>
      </w:r>
      <w:r>
        <w:t xml:space="preserve">the</w:t>
      </w:r>
      <w:r>
        <w:t xml:space="preserve"> </w:t>
      </w:r>
      <w:r>
        <w:t xml:space="preserve">lower</w:t>
      </w:r>
      <w:r>
        <w:t xml:space="preserve"> </w:t>
      </w:r>
      <w:r>
        <w:t xml:space="preserve">court’s</w:t>
      </w:r>
      <w:r>
        <w:t xml:space="preserve"> </w:t>
      </w:r>
      <w:r>
        <w:t xml:space="preserve">dismissal</w:t>
      </w:r>
      <w:r>
        <w:t xml:space="preserve"> </w:t>
      </w:r>
      <w:r>
        <w:t xml:space="preserve">of</w:t>
      </w:r>
      <w:r>
        <w:t xml:space="preserve"> </w:t>
      </w:r>
      <w:r>
        <w:t xml:space="preserve">Ms.</w:t>
      </w:r>
      <w:r>
        <w:t xml:space="preserve"> </w:t>
      </w:r>
      <w:r>
        <w:t xml:space="preserve">Warner’s</w:t>
      </w:r>
      <w:r>
        <w:t xml:space="preserve"> </w:t>
      </w:r>
      <w:r>
        <w:t xml:space="preserve">claims</w:t>
      </w:r>
      <w:r>
        <w:t xml:space="preserve"> </w:t>
      </w:r>
      <w:r>
        <w:t xml:space="preserve">and</w:t>
      </w:r>
      <w:r>
        <w:t xml:space="preserve"> </w:t>
      </w:r>
      <w:r>
        <w:t xml:space="preserve">send</w:t>
      </w:r>
      <w:r>
        <w:t xml:space="preserve"> </w:t>
      </w:r>
      <w:r>
        <w:t xml:space="preserve">the</w:t>
      </w:r>
      <w:r>
        <w:t xml:space="preserve"> </w:t>
      </w:r>
      <w:r>
        <w:t xml:space="preserve">case</w:t>
      </w:r>
      <w:r>
        <w:t xml:space="preserve"> </w:t>
      </w:r>
      <w:r>
        <w:t xml:space="preserve">back</w:t>
      </w:r>
      <w:r>
        <w:t xml:space="preserve"> </w:t>
      </w:r>
      <w:r>
        <w:t xml:space="preserve">to</w:t>
      </w:r>
      <w:r>
        <w:t xml:space="preserve"> </w:t>
      </w:r>
      <w:r>
        <w:t xml:space="preserve">the</w:t>
      </w:r>
      <w:r>
        <w:t xml:space="preserve"> </w:t>
      </w:r>
      <w:r>
        <w:t xml:space="preserve">District</w:t>
      </w:r>
      <w:r>
        <w:t xml:space="preserve"> </w:t>
      </w:r>
      <w:r>
        <w:t xml:space="preserve">Court</w:t>
      </w:r>
      <w:r>
        <w:t xml:space="preserve"> </w:t>
      </w:r>
      <w:r>
        <w:t xml:space="preserve">for</w:t>
      </w:r>
      <w:r>
        <w:t xml:space="preserve"> </w:t>
      </w:r>
      <w:r>
        <w:t xml:space="preserve">further</w:t>
      </w:r>
      <w:r>
        <w:t xml:space="preserve"> </w:t>
      </w:r>
      <w:r>
        <w:t xml:space="preserve">proceedings;</w:t>
      </w:r>
    </w:p>
    <w:p>
      <w:pPr>
        <w:pStyle w:val="ListItem"/>
        <w:keepNext/>
        <w:keepLines/>
      </w:pPr>
      <w:r>
        <w:t xml:space="preserve">•</w:t>
      </w:r>
      <w:r>
        <w:tab/>
      </w:r>
      <w:r>
        <w:t xml:space="preserve">Affirm</w:t>
      </w:r>
      <w:r>
        <w:t xml:space="preserve"> </w:t>
      </w:r>
      <w:r>
        <w:t xml:space="preserve">the</w:t>
      </w:r>
      <w:r>
        <w:t xml:space="preserve"> </w:t>
      </w:r>
      <w:r>
        <w:t xml:space="preserve">portion</w:t>
      </w:r>
      <w:r>
        <w:t xml:space="preserve"> </w:t>
      </w:r>
      <w:r>
        <w:t xml:space="preserve">of</w:t>
      </w:r>
      <w:r>
        <w:t xml:space="preserve"> </w:t>
      </w:r>
      <w:r>
        <w:t xml:space="preserve">the</w:t>
      </w:r>
      <w:r>
        <w:t xml:space="preserve"> </w:t>
      </w:r>
      <w:r>
        <w:t xml:space="preserve">lower</w:t>
      </w:r>
      <w:r>
        <w:t xml:space="preserve"> </w:t>
      </w:r>
      <w:r>
        <w:t xml:space="preserve">court’s</w:t>
      </w:r>
      <w:r>
        <w:t xml:space="preserve"> </w:t>
      </w:r>
      <w:r>
        <w:t xml:space="preserve">opinion</w:t>
      </w:r>
      <w:r>
        <w:t xml:space="preserve"> </w:t>
      </w:r>
      <w:r>
        <w:t xml:space="preserve">which</w:t>
      </w:r>
      <w:r>
        <w:t xml:space="preserve"> </w:t>
      </w:r>
      <w:r>
        <w:t xml:space="preserve">held</w:t>
      </w:r>
      <w:r>
        <w:t xml:space="preserve"> </w:t>
      </w:r>
      <w:r>
        <w:t xml:space="preserve">that</w:t>
      </w:r>
      <w:r>
        <w:t xml:space="preserve"> </w:t>
      </w:r>
      <w:r>
        <w:t xml:space="preserve">Ms.</w:t>
      </w:r>
      <w:r>
        <w:t xml:space="preserve"> </w:t>
      </w:r>
      <w:r>
        <w:t xml:space="preserve">Warner’s</w:t>
      </w:r>
      <w:r>
        <w:t xml:space="preserve"> </w:t>
      </w:r>
      <w:r>
        <w:t xml:space="preserve">Durham</w:t>
      </w:r>
      <w:r>
        <w:t xml:space="preserve"> </w:t>
      </w:r>
      <w:r>
        <w:t xml:space="preserve">Postmaster</w:t>
      </w:r>
      <w:r>
        <w:t xml:space="preserve"> </w:t>
      </w:r>
      <w:r>
        <w:t xml:space="preserve">claim</w:t>
      </w:r>
      <w:r>
        <w:t xml:space="preserve"> </w:t>
      </w:r>
      <w:r>
        <w:t xml:space="preserve">is</w:t>
      </w:r>
      <w:r>
        <w:t xml:space="preserve"> </w:t>
      </w:r>
      <w:r>
        <w:t xml:space="preserve">not</w:t>
      </w:r>
      <w:r>
        <w:t xml:space="preserve"> </w:t>
      </w:r>
      <w:r>
        <w:t xml:space="preserve">time-barred;</w:t>
      </w:r>
      <w:r>
        <w:t xml:space="preserve"> </w:t>
      </w:r>
      <w:r>
        <w:t xml:space="preserve">and</w:t>
      </w:r>
    </w:p>
    <w:p>
      <w:pPr>
        <w:pStyle w:val="ListItem"/>
        <w:keepNext/>
        <w:keepLines/>
      </w:pPr>
      <w:r>
        <w:t xml:space="preserve">•</w:t>
      </w:r>
      <w:r>
        <w:tab/>
      </w:r>
      <w:r>
        <w:t xml:space="preserve">Clarify</w:t>
      </w:r>
      <w:r>
        <w:t xml:space="preserve"> </w:t>
      </w:r>
      <w:r>
        <w:t xml:space="preserve">that</w:t>
      </w:r>
      <w:r>
        <w:t xml:space="preserve"> </w:t>
      </w:r>
      <w:r>
        <w:t xml:space="preserve">Ms.</w:t>
      </w:r>
      <w:r>
        <w:t xml:space="preserve"> </w:t>
      </w:r>
      <w:r>
        <w:t xml:space="preserve">Warner</w:t>
      </w:r>
      <w:r>
        <w:t xml:space="preserve"> </w:t>
      </w:r>
      <w:r>
        <w:t xml:space="preserve">is</w:t>
      </w:r>
      <w:r>
        <w:t xml:space="preserve"> </w:t>
      </w:r>
      <w:r>
        <w:t xml:space="preserve">entitled</w:t>
      </w:r>
      <w:r>
        <w:t xml:space="preserve"> </w:t>
      </w:r>
      <w:r>
        <w:t xml:space="preserve">to</w:t>
      </w:r>
      <w:r>
        <w:t xml:space="preserve"> </w:t>
      </w:r>
      <w:r>
        <w:t xml:space="preserve">have</w:t>
      </w:r>
      <w:r>
        <w:t xml:space="preserve"> </w:t>
      </w:r>
      <w:r>
        <w:t xml:space="preserve">her</w:t>
      </w:r>
      <w:r>
        <w:t xml:space="preserve"> </w:t>
      </w:r>
      <w:r>
        <w:t xml:space="preserve">age</w:t>
      </w:r>
      <w:r>
        <w:t xml:space="preserve"> </w:t>
      </w:r>
      <w:r>
        <w:t xml:space="preserve">claims</w:t>
      </w:r>
      <w:r>
        <w:t xml:space="preserve"> </w:t>
      </w:r>
      <w:r>
        <w:t xml:space="preserve">heard</w:t>
      </w:r>
      <w:r>
        <w:t xml:space="preserve"> </w:t>
      </w:r>
      <w:r>
        <w:t xml:space="preserve">under</w:t>
      </w:r>
      <w:r>
        <w:t xml:space="preserve"> </w:t>
      </w:r>
      <w:r>
        <w:t xml:space="preserve">the</w:t>
      </w:r>
      <w:r>
        <w:t xml:space="preserve"> </w:t>
      </w:r>
      <w:r>
        <w:t xml:space="preserve">federal</w:t>
      </w:r>
      <w:r>
        <w:t xml:space="preserve"> </w:t>
      </w:r>
      <w:r>
        <w:t xml:space="preserve">sector</w:t>
      </w:r>
      <w:r>
        <w:t xml:space="preserve"> </w:t>
      </w:r>
      <w:r>
        <w:t xml:space="preserve">age</w:t>
      </w:r>
      <w:r>
        <w:t xml:space="preserve"> </w:t>
      </w:r>
      <w:r>
        <w:t xml:space="preserve">discrimination</w:t>
      </w:r>
      <w:r>
        <w:t xml:space="preserve"> </w:t>
      </w:r>
      <w:r>
        <w:t xml:space="preserve">standard.</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Mark M. Whitney</w:t>
      </w:r>
    </w:p>
    <w:p>
      <w:pPr>
        <w:keepNext/>
        <w:keepLines/>
        <w:spacing w:before="0" w:after="0" w:line="400" w:lineRule="exact"/>
        <w:ind w:left="4680"/>
      </w:pPr>
      <w:r>
        <w:t xml:space="preserve">MARK M. WHITNEY</w:t>
      </w:r>
    </w:p>
    <w:p>
      <w:pPr>
        <w:keepNext/>
        <w:keepLines/>
        <w:spacing w:before="0" w:after="0" w:line="400" w:lineRule="exact"/>
        <w:ind w:left="4680" w:firstLine="140"/>
      </w:pPr>
      <w:r>
        <w:rPr>
          <w:i/>
          <w:iCs/>
        </w:rPr>
        <w:t xml:space="preserve">Whitney</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LLC</w:t>
      </w:r>
    </w:p>
    <w:p>
      <w:pPr>
        <w:keepNext/>
        <w:keepLines/>
        <w:spacing w:before="0" w:after="0" w:line="400" w:lineRule="exact"/>
        <w:ind w:left="4680" w:firstLine="140"/>
      </w:pPr>
      <w:r>
        <w:rPr>
          <w:i/>
          <w:iCs/>
        </w:rPr>
        <w:t xml:space="preserve">11</w:t>
      </w:r>
      <w:r>
        <w:rPr>
          <w:i/>
          <w:iCs/>
        </w:rPr>
        <w:t xml:space="preserve"> </w:t>
      </w:r>
      <w:r>
        <w:rPr>
          <w:i/>
          <w:iCs/>
        </w:rPr>
        <w:t xml:space="preserve">State</w:t>
      </w:r>
      <w:r>
        <w:rPr>
          <w:i/>
          <w:iCs/>
        </w:rPr>
        <w:t xml:space="preserve"> </w:t>
      </w:r>
      <w:r>
        <w:rPr>
          <w:i/>
          <w:iCs/>
        </w:rPr>
        <w:t xml:space="preserve">Street</w:t>
      </w:r>
    </w:p>
    <w:p>
      <w:pPr>
        <w:keepNext/>
        <w:keepLines/>
        <w:spacing w:before="0" w:after="0" w:line="400" w:lineRule="exact"/>
        <w:ind w:left="4680" w:firstLine="140"/>
      </w:pPr>
      <w:r>
        <w:rPr>
          <w:i/>
          <w:iCs/>
        </w:rPr>
        <w:t xml:space="preserve">Marblehead,</w:t>
      </w:r>
      <w:r>
        <w:rPr>
          <w:i/>
          <w:iCs/>
        </w:rPr>
        <w:t xml:space="preserve"> </w:t>
      </w:r>
      <w:r>
        <w:rPr>
          <w:i/>
          <w:iCs/>
        </w:rPr>
        <w:t xml:space="preserve">MA</w:t>
      </w:r>
      <w:r>
        <w:rPr>
          <w:i/>
          <w:iCs/>
        </w:rPr>
        <w:t xml:space="preserve"> </w:t>
      </w:r>
      <w:r>
        <w:rPr>
          <w:i/>
          <w:iCs/>
        </w:rPr>
        <w:t xml:space="preserve">01945</w:t>
      </w:r>
    </w:p>
    <w:p>
      <w:pPr>
        <w:keepNext/>
        <w:keepLines/>
        <w:spacing w:before="0" w:after="0" w:line="400" w:lineRule="exact"/>
        <w:ind w:left="4680" w:firstLine="140"/>
      </w:pPr>
      <w:r>
        <w:rPr>
          <w:i/>
          <w:iCs/>
        </w:rPr>
        <w:t xml:space="preserve">P:</w:t>
      </w:r>
      <w:r>
        <w:rPr>
          <w:i/>
          <w:iCs/>
        </w:rPr>
        <w:t xml:space="preserve"> </w:t>
      </w:r>
      <w:r>
        <w:rPr>
          <w:i/>
          <w:iCs/>
        </w:rPr>
        <w:t xml:space="preserve">(781)</w:t>
      </w:r>
      <w:r>
        <w:rPr>
          <w:i/>
          <w:iCs/>
        </w:rPr>
        <w:t xml:space="preserve"> </w:t>
      </w:r>
      <w:r>
        <w:rPr>
          <w:i/>
          <w:iCs/>
        </w:rPr>
        <w:t xml:space="preserve">631-⁠4400</w:t>
      </w:r>
    </w:p>
    <w:p>
      <w:pPr>
        <w:keepNext/>
        <w:keepLines/>
        <w:spacing w:before="0" w:after="0" w:line="400" w:lineRule="exact"/>
        <w:ind w:left="4680" w:firstLine="140"/>
      </w:pPr>
      <w:r>
        <w:rPr>
          <w:i/>
          <w:iCs/>
        </w:rPr>
        <w:t xml:space="preserve">mwhitney@whitneylawgroup.com</w:t>
      </w:r>
    </w:p>
    <w:p>
      <w:pPr>
        <w:keepLines/>
        <w:spacing w:before="224" w:after="0" w:line="400" w:lineRule="exact"/>
        <w:ind w:left="0"/>
      </w:pPr>
      <w:r>
        <w:t xml:space="preserve">October</w:t>
      </w:r>
      <w:r>
        <w:t xml:space="preserve"> </w:t>
      </w:r>
      <w:r>
        <w:t xml:space="preserve">9,</w:t>
      </w:r>
      <w:r>
        <w:t xml:space="preserve"> </w:t>
      </w:r>
      <w:r>
        <w:t xml:space="preserve">2024</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0" w:line="400" w:lineRule="exact"/>
        <w:ind w:left="720" w:hanging="720"/>
      </w:pPr>
      <w:r>
        <w:t xml:space="preserve">1.</w:t>
      </w:r>
      <w:r>
        <w:tab/>
      </w:r>
      <w:r>
        <w:t xml:space="preserve">This document complies with the type-volume limit of Fed. R. App. P. 32(a)⁠(7)⁠(B) because, excluding the parts of the document exempted by Fed. R. App. P. 32(f):</w:t>
      </w:r>
    </w:p>
    <w:p>
      <w:pPr>
        <w:keepLines/>
        <w:spacing w:before="224" w:after="224" w:line="400" w:lineRule="exact"/>
        <w:ind w:left="896" w:hanging="448"/>
      </w:pPr>
      <w:r>
        <w:rPr>
          <w:bdr w:val="single" w:sz="6" w:space="0" w:color="000000"/>
        </w:rPr>
        <w:t xml:space="preserve">X</w:t>
      </w:r>
      <w:r>
        <w:tab/>
      </w:r>
      <w:r>
        <w:t xml:space="preserve">this document contains 901 words.</w:t>
      </w:r>
    </w:p>
    <w:p>
      <w:pPr>
        <w:keepLines/>
        <w:spacing w:before="0" w:after="0" w:line="400" w:lineRule="exact"/>
        <w:ind w:left="720" w:hanging="720"/>
      </w:pPr>
      <w:r>
        <w:t xml:space="preserve">2.</w:t>
      </w:r>
      <w:r>
        <w:tab/>
      </w:r>
      <w:r>
        <w:t xml:space="preserve">This document complies with the typeface requirements of Fed. R. App. P. 32(a)⁠(5) and the type-style requirements of Fed. R. App. P. 32(a)⁠(6) because:</w:t>
      </w:r>
    </w:p>
    <w:p>
      <w:pPr>
        <w:keepLines/>
        <w:spacing w:before="224" w:after="224" w:line="400" w:lineRule="exact"/>
        <w:ind w:left="896" w:hanging="448"/>
      </w:pPr>
      <w:r>
        <w:rPr>
          <w:bdr w:val="single" w:sz="6" w:space="0" w:color="000000"/>
        </w:rPr>
        <w:t xml:space="preserve">X</w:t>
      </w:r>
      <w:r>
        <w:tab/>
      </w:r>
      <w:r>
        <w:t xml:space="preserve">this document has been prepared in a proportionally spaced typeface using </w:t>
      </w:r>
      <w:r>
        <w:t xml:space="preserve">Typst</w:t>
      </w:r>
      <w:r>
        <w:t xml:space="preserve"> </w:t>
      </w:r>
      <w:r>
        <w:t xml:space="preserve">0.15.1</w:t>
      </w:r>
      <w:r>
        <w:t xml:space="preserve"> in 14-point </w:t>
      </w:r>
      <w:r>
        <w:t xml:space="preserve">Liberation</w:t>
      </w:r>
      <w:r>
        <w:t xml:space="preserve"> </w:t>
      </w:r>
      <w:r>
        <w:t xml:space="preserve">Serif</w:t>
      </w:r>
      <w:r>
        <w:t xml:space="preserve"> roman type.</w:t>
      </w:r>
    </w:p>
    <w:p>
      <w:pPr>
        <w:keepNext/>
        <w:keepLines/>
        <w:spacing w:before="448" w:after="0" w:line="400" w:lineRule="exact"/>
        <w:ind w:left="4680"/>
      </w:pPr>
      <w:r>
        <w:t xml:space="preserve">/s/ Mark M. Whitney</w:t>
      </w:r>
    </w:p>
    <w:p>
      <w:pPr>
        <w:keepNext/>
        <w:keepLines/>
        <w:spacing w:before="0" w:after="0" w:line="400" w:lineRule="exact"/>
        <w:ind w:left="4680"/>
      </w:pPr>
      <w:r>
        <w:t xml:space="preserve">Attorney for </w:t>
      </w:r>
      <w:r>
        <w:t xml:space="preserve">Plaintiff-Appellant</w:t>
      </w:r>
      <w:r>
        <w:t xml:space="preserve"> </w:t>
      </w:r>
      <w:r>
        <w:t xml:space="preserve">Elizabeth</w:t>
      </w:r>
      <w:r>
        <w:t xml:space="preserve"> </w:t>
      </w:r>
      <w:r>
        <w:t xml:space="preserve">F.</w:t>
      </w:r>
      <w:r>
        <w:t xml:space="preserve"> </w:t>
      </w:r>
      <w:r>
        <w:t xml:space="preserve">Warner</w:t>
      </w:r>
    </w:p>
    <w:p>
      <w:pPr>
        <w:keepLines/>
        <w:spacing w:before="0" w:after="0" w:line="400" w:lineRule="exact"/>
        <w:ind w:left="4680"/>
      </w:pPr>
      <w:r>
        <w:t xml:space="preserve">Dated: </w:t>
      </w:r>
      <w:r>
        <w:t xml:space="preserve">October</w:t>
      </w:r>
      <w:r>
        <w:t xml:space="preserve"> </w:t>
      </w:r>
      <w:r>
        <w:t xml:space="preserve">9,</w:t>
      </w:r>
      <w:r>
        <w:t xml:space="preserve"> </w:t>
      </w:r>
      <w:r>
        <w:t xml:space="preserve">2024</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280" w:line="400" w:lineRule="exact"/>
        <w:ind w:left="0"/>
      </w:pPr>
      <w:r>
        <w:t xml:space="preserve">I hereby certify that on </w:t>
      </w:r>
      <w:r>
        <w:t xml:space="preserve">October</w:t>
      </w:r>
      <w:r>
        <w:t xml:space="preserve"> </w:t>
      </w:r>
      <w:r>
        <w:t xml:space="preserve">9,</w:t>
      </w:r>
      <w:r>
        <w:t xml:space="preserve"> </w:t>
      </w:r>
      <w:r>
        <w:t xml:space="preserve">2024</w:t>
      </w:r>
      <w:r>
        <w:t xml:space="preserve">, I electronically filed the foregoing with the Clerk of the Court for the United States Court of Appeals for the First Circuit by using the appellate CM/ECF system, which will send notification of such filing to all counsel of record.</w:t>
      </w:r>
    </w:p>
    <w:p>
      <w:pPr>
        <w:keepNext/>
        <w:keepLines/>
        <w:spacing w:before="448" w:after="0" w:line="400" w:lineRule="exact"/>
        <w:ind w:left="4680"/>
      </w:pPr>
      <w:r>
        <w:t xml:space="preserve">/s/ Mark M. Whitney</w:t>
      </w:r>
    </w:p>
    <w:p>
      <w:pPr>
        <w:keepNext/>
        <w:keepLines/>
        <w:spacing w:before="0" w:after="0" w:line="400" w:lineRule="exact"/>
        <w:ind w:left="4680"/>
      </w:pPr>
      <w:r>
        <w:t xml:space="preserve">Attorney for </w:t>
      </w:r>
      <w:r>
        <w:t xml:space="preserve">Plaintiff-Appellant</w:t>
      </w:r>
      <w:r>
        <w:t xml:space="preserve"> </w:t>
      </w:r>
      <w:r>
        <w:t xml:space="preserve">Elizabeth</w:t>
      </w:r>
      <w:r>
        <w:t xml:space="preserve"> </w:t>
      </w:r>
      <w:r>
        <w:t xml:space="preserve">F.</w:t>
      </w:r>
      <w:r>
        <w:t xml:space="preserve"> </w:t>
      </w:r>
      <w:r>
        <w:t xml:space="preserve">Warner</w:t>
      </w:r>
    </w:p>
    <w:p>
      <w:pPr>
        <w:keepLines/>
        <w:spacing w:before="0" w:after="0" w:line="400" w:lineRule="exact"/>
        <w:ind w:left="4680"/>
      </w:pPr>
      <w:r>
        <w:t xml:space="preserve">Dated: </w:t>
      </w:r>
      <w:r>
        <w:t xml:space="preserve">October</w:t>
      </w:r>
      <w:r>
        <w:t xml:space="preserve"> </w:t>
      </w:r>
      <w:r>
        <w:t xml:space="preserve">9,</w:t>
      </w:r>
      <w:r>
        <w:t xml:space="preserve"> </w:t>
      </w:r>
      <w:r>
        <w:t xml:space="preserve">2024</w:t>
      </w:r>
    </w:p>
    <w:sectPr>
      <w:footerReference w:type="default" r:id="rIdFtrPage"/>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