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6" w:lineRule="exact"/>
        <w:ind w:left="0" w:firstLine="0"/>
        <w:jc w:val="center"/>
      </w:pPr>
      <w:r>
        <w:rPr>
          <w:b/>
          <w:bCs/>
        </w:rPr>
        <w:t xml:space="preserve">No.</w:t>
      </w:r>
      <w:r>
        <w:rPr>
          <w:b/>
          <w:bCs/>
        </w:rPr>
        <w:t xml:space="preserve"> </w:t>
      </w:r>
      <w:r>
        <w:rPr>
          <w:b/>
          <w:bCs/>
        </w:rPr>
        <w:t xml:space="preserve">E2019</w:t>
        <w:noBreakHyphen/>
        <w:t xml:space="preserve">02236-CCA-R3-CD</w:t>
      </w:r>
    </w:p>
    <w:p>
      <w:pPr>
        <w:spacing w:before="288" w:after="0" w:line="33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CRIMINAL</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TENNESSEE</w:t>
      </w:r>
    </w:p>
    <w:p>
      <w:pPr>
        <w:spacing w:before="0" w:after="0" w:line="336" w:lineRule="exact"/>
        <w:ind w:left="0" w:firstLine="0"/>
        <w:jc w:val="center"/>
      </w:pPr>
      <w:r>
        <w:rPr>
          <w:b/>
          <w:bCs/>
        </w:rPr>
        <w:t xml:space="preserve">AT</w:t>
      </w:r>
      <w:r>
        <w:rPr>
          <w:b/>
          <w:bCs/>
        </w:rPr>
        <w:t xml:space="preserve"> </w:t>
      </w:r>
      <w:r>
        <w:rPr>
          <w:b/>
          <w:bCs/>
        </w:rPr>
        <w:t xml:space="preserve">KNOXVILLE</w:t>
      </w:r>
    </w:p>
    <w:p>
      <w:pPr>
        <w:spacing w:before="432" w:after="0" w:line="336" w:lineRule="exact"/>
        <w:ind w:left="0" w:firstLine="0"/>
        <w:jc w:val="center"/>
      </w:pPr>
      <w:r>
        <w:t xml:space="preserve">STATE</w:t>
      </w:r>
      <w:r>
        <w:t xml:space="preserve"> </w:t>
      </w:r>
      <w:r>
        <w:t xml:space="preserve">OF</w:t>
      </w:r>
      <w:r>
        <w:t xml:space="preserve"> </w:t>
      </w:r>
      <w:r>
        <w:t xml:space="preserve">TENNESSEE,</w:t>
      </w:r>
    </w:p>
    <w:p>
      <w:pPr>
        <w:spacing w:before="0" w:after="0" w:line="336" w:lineRule="exact"/>
        <w:ind w:left="0" w:firstLine="0"/>
        <w:jc w:val="center"/>
      </w:pPr>
      <w:r>
        <w:rPr>
          <w:i/>
          <w:iCs/>
        </w:rPr>
        <w:t xml:space="preserve">Plaintiff/​Appellee,</w:t>
      </w:r>
    </w:p>
    <w:p>
      <w:pPr>
        <w:spacing w:before="288" w:after="288" w:line="336" w:lineRule="exact"/>
        <w:ind w:left="0" w:firstLine="0"/>
        <w:jc w:val="center"/>
      </w:pPr>
      <w:r>
        <w:t xml:space="preserve">v.</w:t>
      </w:r>
    </w:p>
    <w:p>
      <w:pPr>
        <w:spacing w:before="0" w:after="0" w:line="336" w:lineRule="exact"/>
        <w:ind w:left="0" w:firstLine="0"/>
        <w:jc w:val="center"/>
      </w:pPr>
      <w:r>
        <w:t xml:space="preserve">CHRISTOPHER</w:t>
      </w:r>
      <w:r>
        <w:t xml:space="preserve"> </w:t>
      </w:r>
      <w:r>
        <w:t xml:space="preserve">BASSETT,</w:t>
      </w:r>
      <w:r>
        <w:t xml:space="preserve"> </w:t>
      </w:r>
      <w:r>
        <w:t xml:space="preserve">Jr.,</w:t>
      </w:r>
    </w:p>
    <w:p>
      <w:pPr>
        <w:spacing w:before="0" w:after="0" w:line="336" w:lineRule="exact"/>
        <w:ind w:left="0" w:firstLine="0"/>
        <w:jc w:val="center"/>
      </w:pPr>
      <w:r>
        <w:rPr>
          <w:i/>
          <w:iCs/>
        </w:rPr>
        <w:t xml:space="preserve">Defendant/​Appellant.</w:t>
      </w:r>
    </w:p>
    <w:p>
      <w:pPr>
        <w:spacing w:before="432" w:after="0" w:line="336" w:lineRule="exact"/>
        <w:ind w:left="0" w:firstLine="0"/>
        <w:jc w:val="center"/>
      </w:pPr>
      <w:r>
        <w:t xml:space="preserve">Appeal</w:t>
      </w:r>
      <w:r>
        <w:t xml:space="preserve"> </w:t>
      </w:r>
      <w:r>
        <w:t xml:space="preserve">from</w:t>
      </w:r>
      <w:r>
        <w:t xml:space="preserve"> </w:t>
      </w:r>
      <w:r>
        <w:t xml:space="preserve">a</w:t>
      </w:r>
      <w:r>
        <w:t xml:space="preserve"> </w:t>
      </w:r>
      <w:r>
        <w:t xml:space="preserve">Jury</w:t>
      </w:r>
      <w:r>
        <w:t xml:space="preserve"> </w:t>
      </w:r>
      <w:r>
        <w:t xml:space="preserve">Verdict</w:t>
      </w:r>
      <w:r>
        <w:t xml:space="preserve"> </w:t>
      </w:r>
      <w:r>
        <w:t xml:space="preserve">of</w:t>
      </w:r>
      <w:r>
        <w:t xml:space="preserve"> </w:t>
      </w:r>
      <w:r>
        <w:t xml:space="preserve">the</w:t>
      </w:r>
      <w:r>
        <w:t xml:space="preserve"> </w:t>
      </w:r>
      <w:r>
        <w:t xml:space="preserve">Criminal</w:t>
      </w:r>
      <w:r>
        <w:t xml:space="preserve"> </w:t>
      </w:r>
      <w:r>
        <w:t xml:space="preserve">Court</w:t>
      </w:r>
      <w:r>
        <w:t xml:space="preserve"> </w:t>
      </w:r>
      <w:r>
        <w:t xml:space="preserve">for</w:t>
      </w:r>
      <w:r>
        <w:t xml:space="preserve"> </w:t>
      </w:r>
      <w:r>
        <w:t xml:space="preserve">Knox</w:t>
      </w:r>
      <w:r>
        <w:t xml:space="preserve"> </w:t>
      </w:r>
      <w:r>
        <w:t xml:space="preserve">County,</w:t>
      </w:r>
      <w:r>
        <w:t xml:space="preserve"> </w:t>
      </w:r>
      <w:r>
        <w:t xml:space="preserve">Docket</w:t>
      </w:r>
      <w:r>
        <w:t xml:space="preserve"> </w:t>
      </w:r>
      <w:r>
        <w:t xml:space="preserve">No.</w:t>
      </w:r>
      <w:r>
        <w:t xml:space="preserve"> </w:t>
      </w:r>
      <w:r>
        <w:t xml:space="preserve">110855</w:t>
      </w:r>
    </w:p>
    <w:p>
      <w:pPr>
        <w:spacing w:before="0" w:after="0" w:line="724" w:lineRule="exact"/>
      </w:pPr>
    </w:p>
    <w:p>
      <w:pPr>
        <w:spacing w:before="0" w:after="0" w:line="384"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AMICI</w:t>
      </w:r>
      <w:r>
        <w:rPr>
          <w:b/>
          <w:bCs/>
          <w:sz w:val="32"/>
          <w:szCs w:val="32"/>
        </w:rPr>
        <w:t xml:space="preserve"> </w:t>
      </w:r>
      <w:r>
        <w:rPr>
          <w:b/>
          <w:bCs/>
          <w:sz w:val="32"/>
          <w:szCs w:val="32"/>
        </w:rPr>
        <w:t xml:space="preserve">CURIAE</w:t>
      </w:r>
      <w:r>
        <w:rPr>
          <w:b/>
          <w:bCs/>
          <w:sz w:val="32"/>
          <w:szCs w:val="32"/>
        </w:rPr>
        <w:t xml:space="preserve"> </w:t>
      </w:r>
      <w:r>
        <w:rPr>
          <w:b/>
          <w:bCs/>
          <w:sz w:val="32"/>
          <w:szCs w:val="32"/>
        </w:rPr>
        <w:t xml:space="preserve">AMERICAN</w:t>
      </w:r>
      <w:r>
        <w:rPr>
          <w:b/>
          <w:bCs/>
          <w:sz w:val="32"/>
          <w:szCs w:val="32"/>
        </w:rPr>
        <w:t xml:space="preserve"> </w:t>
      </w:r>
      <w:r>
        <w:rPr>
          <w:b/>
          <w:bCs/>
          <w:sz w:val="32"/>
          <w:szCs w:val="32"/>
        </w:rPr>
        <w:t xml:space="preserve">CIVIL</w:t>
      </w:r>
      <w:r>
        <w:rPr>
          <w:b/>
          <w:bCs/>
          <w:sz w:val="32"/>
          <w:szCs w:val="32"/>
        </w:rPr>
        <w:t xml:space="preserve"> </w:t>
      </w:r>
      <w:r>
        <w:rPr>
          <w:b/>
          <w:bCs/>
          <w:sz w:val="32"/>
          <w:szCs w:val="32"/>
        </w:rPr>
        <w:t xml:space="preserve">LIBERTIES</w:t>
      </w:r>
      <w:r>
        <w:rPr>
          <w:b/>
          <w:bCs/>
          <w:sz w:val="32"/>
          <w:szCs w:val="32"/>
        </w:rPr>
        <w:t xml:space="preserve"> </w:t>
      </w:r>
      <w:r>
        <w:rPr>
          <w:b/>
          <w:bCs/>
          <w:sz w:val="32"/>
          <w:szCs w:val="32"/>
        </w:rPr>
        <w:t xml:space="preserve">UNION</w:t>
      </w:r>
      <w:r>
        <w:rPr>
          <w:b/>
          <w:bCs/>
          <w:sz w:val="32"/>
          <w:szCs w:val="32"/>
        </w:rPr>
        <w:t xml:space="preserve"> </w:t>
      </w:r>
      <w:r>
        <w:rPr>
          <w:b/>
          <w:bCs/>
          <w:sz w:val="32"/>
          <w:szCs w:val="32"/>
        </w:rPr>
        <w:t xml:space="preserve">AND</w:t>
      </w:r>
      <w:r>
        <w:rPr>
          <w:b/>
          <w:bCs/>
          <w:sz w:val="32"/>
          <w:szCs w:val="32"/>
        </w:rPr>
        <w:t xml:space="preserve"> </w:t>
      </w:r>
      <w:r>
        <w:rPr>
          <w:b/>
          <w:bCs/>
          <w:sz w:val="32"/>
          <w:szCs w:val="32"/>
        </w:rPr>
        <w:t xml:space="preserve">AMERICAN</w:t>
      </w:r>
      <w:r>
        <w:rPr>
          <w:b/>
          <w:bCs/>
          <w:sz w:val="32"/>
          <w:szCs w:val="32"/>
        </w:rPr>
        <w:t xml:space="preserve"> </w:t>
      </w:r>
      <w:r>
        <w:rPr>
          <w:b/>
          <w:bCs/>
          <w:sz w:val="32"/>
          <w:szCs w:val="32"/>
        </w:rPr>
        <w:t xml:space="preserve">CIVIL</w:t>
      </w:r>
      <w:r>
        <w:rPr>
          <w:b/>
          <w:bCs/>
          <w:sz w:val="32"/>
          <w:szCs w:val="32"/>
        </w:rPr>
        <w:t xml:space="preserve"> </w:t>
      </w:r>
      <w:r>
        <w:rPr>
          <w:b/>
          <w:bCs/>
          <w:sz w:val="32"/>
          <w:szCs w:val="32"/>
        </w:rPr>
        <w:t xml:space="preserve">LIBERTIES</w:t>
      </w:r>
      <w:r>
        <w:rPr>
          <w:b/>
          <w:bCs/>
          <w:sz w:val="32"/>
          <w:szCs w:val="32"/>
        </w:rPr>
        <w:t xml:space="preserve"> </w:t>
      </w:r>
      <w:r>
        <w:rPr>
          <w:b/>
          <w:bCs/>
          <w:sz w:val="32"/>
          <w:szCs w:val="32"/>
        </w:rPr>
        <w:t xml:space="preserve">UNION</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TENNESSEE</w:t>
      </w:r>
      <w:r>
        <w:rPr>
          <w:b/>
          <w:bCs/>
          <w:sz w:val="32"/>
          <w:szCs w:val="32"/>
        </w:rPr>
        <w:t xml:space="preserve"> </w:t>
      </w:r>
      <w:r>
        <w:rPr>
          <w:b/>
          <w:bCs/>
          <w:sz w:val="32"/>
          <w:szCs w:val="32"/>
        </w:rPr>
        <w:t xml:space="preserve">TO</w:t>
      </w:r>
      <w:r>
        <w:rPr>
          <w:b/>
          <w:bCs/>
          <w:sz w:val="32"/>
          <w:szCs w:val="32"/>
        </w:rPr>
        <w:t xml:space="preserve"> </w:t>
      </w:r>
      <w:r>
        <w:rPr>
          <w:b/>
          <w:bCs/>
          <w:sz w:val="32"/>
          <w:szCs w:val="32"/>
        </w:rPr>
        <w:t xml:space="preserve">FILE</w:t>
      </w:r>
    </w:p>
    <w:p>
      <w:pPr>
        <w:spacing w:before="0" w:after="0" w:line="7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36" w:lineRule="exact"/>
              <w:ind w:left="0" w:firstLine="0"/>
              <w:jc w:val="left"/>
            </w:pPr>
            <w:r>
              <w:rPr>
                <w:b/>
                <w:bCs/>
              </w:rPr>
              <w:t xml:space="preserve">Thomas</w:t>
            </w:r>
            <w:r>
              <w:rPr>
                <w:b/>
                <w:bCs/>
              </w:rPr>
              <w:t xml:space="preserve"> </w:t>
            </w:r>
            <w:r>
              <w:rPr>
                <w:b/>
                <w:bCs/>
              </w:rPr>
              <w:t xml:space="preserve">H.</w:t>
            </w:r>
            <w:r>
              <w:rPr>
                <w:b/>
                <w:bCs/>
              </w:rPr>
              <w:t xml:space="preserve"> </w:t>
            </w:r>
            <w:r>
              <w:rPr>
                <w:b/>
                <w:bCs/>
              </w:rPr>
              <w:t xml:space="preserve">Castelli</w:t>
            </w:r>
          </w:p>
          <w:p>
            <w:pPr>
              <w:spacing w:before="0" w:after="0" w:line="336" w:lineRule="exact"/>
              <w:ind w:left="0" w:firstLine="0"/>
              <w:jc w:val="left"/>
            </w:pPr>
            <w:r>
              <w:rPr>
                <w:b/>
                <w:bCs/>
              </w:rPr>
              <w:t xml:space="preserve">BPR</w:t>
            </w:r>
            <w:r>
              <w:rPr>
                <w:b/>
                <w:bCs/>
              </w:rPr>
              <w:t xml:space="preserve"> </w:t>
            </w:r>
            <w:r>
              <w:rPr>
                <w:b/>
                <w:bCs/>
              </w:rPr>
              <w:t xml:space="preserve">No.</w:t>
            </w:r>
            <w:r>
              <w:rPr>
                <w:b/>
                <w:bCs/>
              </w:rPr>
              <w:t xml:space="preserve"> </w:t>
            </w:r>
            <w:r>
              <w:rPr>
                <w:b/>
                <w:bCs/>
              </w:rPr>
              <w:t xml:space="preserve">24849</w:t>
            </w:r>
          </w:p>
          <w:p>
            <w:pPr>
              <w:spacing w:before="0" w:after="0" w:line="336" w:lineRule="exact"/>
              <w:ind w:left="0" w:firstLine="0"/>
              <w:jc w:val="left"/>
            </w:pPr>
            <w:r>
              <w:rPr>
                <w:b/>
                <w:bCs/>
              </w:rPr>
              <w:t xml:space="preserve">Stella</w:t>
            </w:r>
            <w:r>
              <w:rPr>
                <w:b/>
                <w:bCs/>
              </w:rPr>
              <w:t xml:space="preserve"> </w:t>
            </w:r>
            <w:r>
              <w:rPr>
                <w:b/>
                <w:bCs/>
              </w:rPr>
              <w:t xml:space="preserve">Yarbrough</w:t>
            </w:r>
          </w:p>
          <w:p>
            <w:pPr>
              <w:spacing w:before="0" w:after="0" w:line="336" w:lineRule="exact"/>
              <w:ind w:left="0" w:firstLine="0"/>
              <w:jc w:val="left"/>
            </w:pPr>
            <w:r>
              <w:rPr>
                <w:b/>
                <w:bCs/>
              </w:rPr>
              <w:t xml:space="preserve">BPR</w:t>
            </w:r>
            <w:r>
              <w:rPr>
                <w:b/>
                <w:bCs/>
              </w:rPr>
              <w:t xml:space="preserve"> </w:t>
            </w:r>
            <w:r>
              <w:rPr>
                <w:b/>
                <w:bCs/>
              </w:rPr>
              <w:t xml:space="preserve">No.</w:t>
            </w:r>
            <w:r>
              <w:rPr>
                <w:b/>
                <w:bCs/>
              </w:rPr>
              <w:t xml:space="preserve"> </w:t>
            </w:r>
            <w:r>
              <w:rPr>
                <w:b/>
                <w:bCs/>
              </w:rPr>
              <w:t xml:space="preserve">33673</w:t>
            </w:r>
          </w:p>
          <w:p>
            <w:pPr>
              <w:spacing w:before="0" w:after="0" w:line="336"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TENNESSEE</w:t>
            </w:r>
          </w:p>
          <w:p>
            <w:pPr>
              <w:spacing w:before="0" w:after="0" w:line="336" w:lineRule="exact"/>
              <w:ind w:left="0" w:firstLine="0"/>
              <w:jc w:val="left"/>
            </w:pPr>
            <w:r>
              <w:t xml:space="preserve">P.O.</w:t>
            </w:r>
            <w:r>
              <w:t xml:space="preserve"> </w:t>
            </w:r>
            <w:r>
              <w:t xml:space="preserve">Box</w:t>
            </w:r>
            <w:r>
              <w:t xml:space="preserve"> </w:t>
            </w:r>
            <w:r>
              <w:t xml:space="preserve">120160</w:t>
            </w:r>
          </w:p>
          <w:p>
            <w:pPr>
              <w:spacing w:before="0" w:after="0" w:line="336" w:lineRule="exact"/>
              <w:ind w:left="0" w:firstLine="0"/>
              <w:jc w:val="left"/>
            </w:pPr>
            <w:r>
              <w:t xml:space="preserve">Nashville,</w:t>
            </w:r>
            <w:r>
              <w:t xml:space="preserve"> </w:t>
            </w:r>
            <w:r>
              <w:t xml:space="preserve">TN</w:t>
            </w:r>
            <w:r>
              <w:t xml:space="preserve"> </w:t>
            </w:r>
            <w:r>
              <w:t xml:space="preserve">37211</w:t>
            </w:r>
          </w:p>
          <w:p>
            <w:pPr>
              <w:spacing w:before="0" w:after="0" w:line="336" w:lineRule="exact"/>
              <w:ind w:left="0" w:firstLine="0"/>
              <w:jc w:val="left"/>
            </w:pPr>
            <w:r>
              <w:t xml:space="preserve">(615)</w:t>
            </w:r>
            <w:r>
              <w:t xml:space="preserve"> </w:t>
            </w:r>
            <w:r>
              <w:t xml:space="preserve">320</w:t>
              <w:noBreakHyphen/>
              <w:t xml:space="preserve">7142</w:t>
            </w:r>
          </w:p>
          <w:p>
            <w:pPr>
              <w:spacing w:before="0" w:after="0" w:line="336" w:lineRule="exact"/>
              <w:ind w:left="0" w:firstLine="0"/>
              <w:jc w:val="left"/>
            </w:pPr>
            <w:r>
              <w:t xml:space="preserve">tcastelli@aclu-tn.org</w:t>
            </w:r>
          </w:p>
          <w:p>
            <w:pPr>
              <w:spacing w:before="0" w:after="0" w:line="336" w:lineRule="exact"/>
              <w:ind w:left="0" w:firstLine="0"/>
              <w:jc w:val="left"/>
            </w:pPr>
            <w:r>
              <w:t xml:space="preserve">syarbrough@aclu-tn.org</w:t>
            </w:r>
          </w:p>
        </w:tc>
        <w:tc>
          <w:tcPr>
            <w:tcW w:w="4896" w:type="dxa"/>
            <w:tcMar>
              <w:left w:w="432" w:type="dxa"/>
            </w:tcMar>
          </w:tcPr>
          <w:p>
            <w:pPr>
              <w:spacing w:before="0" w:after="0" w:line="336" w:lineRule="exact"/>
              <w:ind w:left="0" w:firstLine="0"/>
              <w:jc w:val="left"/>
            </w:pPr>
            <w:r>
              <w:rPr>
                <w:b/>
                <w:bCs/>
              </w:rPr>
              <w:t xml:space="preserve">Emerson</w:t>
            </w:r>
            <w:r>
              <w:rPr>
                <w:b/>
                <w:bCs/>
              </w:rPr>
              <w:t xml:space="preserve"> </w:t>
            </w:r>
            <w:r>
              <w:rPr>
                <w:b/>
                <w:bCs/>
              </w:rPr>
              <w:t xml:space="preserve">Sykes</w:t>
            </w:r>
            <w:r>
              <w:rPr>
                <w:b/>
                <w:bCs/>
              </w:rPr>
              <w:t xml:space="preserve"> </w:t>
            </w:r>
            <w:r>
              <w:rPr>
                <w:b/>
                <w:bCs/>
              </w:rPr>
              <w:t xml:space="preserve">(pro</w:t>
            </w:r>
            <w:r>
              <w:rPr>
                <w:b/>
                <w:bCs/>
              </w:rPr>
              <w:t xml:space="preserve"> </w:t>
            </w:r>
            <w:r>
              <w:rPr>
                <w:b/>
                <w:bCs/>
              </w:rPr>
              <w:t xml:space="preserve">hac</w:t>
            </w:r>
            <w:r>
              <w:rPr>
                <w:b/>
                <w:bCs/>
              </w:rPr>
              <w:t xml:space="preserve"> </w:t>
            </w:r>
            <w:r>
              <w:rPr>
                <w:b/>
                <w:bCs/>
              </w:rPr>
              <w:t xml:space="preserve">vice</w:t>
            </w:r>
            <w:r>
              <w:rPr>
                <w:b/>
                <w:bCs/>
              </w:rPr>
              <w:t xml:space="preserve"> </w:t>
            </w:r>
            <w:r>
              <w:rPr>
                <w:b/>
                <w:bCs/>
              </w:rPr>
              <w:t xml:space="preserve">pending)</w:t>
            </w:r>
          </w:p>
          <w:p>
            <w:pPr>
              <w:spacing w:before="0" w:after="0" w:line="336" w:lineRule="exact"/>
              <w:ind w:left="0" w:firstLine="0"/>
              <w:jc w:val="left"/>
            </w:pPr>
            <w:r>
              <w:rPr>
                <w:b/>
                <w:bCs/>
              </w:rPr>
              <w:t xml:space="preserve">Vera</w:t>
            </w:r>
            <w:r>
              <w:rPr>
                <w:b/>
                <w:bCs/>
              </w:rPr>
              <w:t xml:space="preserve"> </w:t>
            </w:r>
            <w:r>
              <w:rPr>
                <w:b/>
                <w:bCs/>
              </w:rPr>
              <w:t xml:space="preserve">Eidelman</w:t>
            </w:r>
            <w:r>
              <w:rPr>
                <w:b/>
                <w:bCs/>
              </w:rPr>
              <w:t xml:space="preserve"> </w:t>
            </w:r>
            <w:r>
              <w:rPr>
                <w:b/>
                <w:bCs/>
              </w:rPr>
              <w:t xml:space="preserve">(pro</w:t>
            </w:r>
            <w:r>
              <w:rPr>
                <w:b/>
                <w:bCs/>
              </w:rPr>
              <w:t xml:space="preserve"> </w:t>
            </w:r>
            <w:r>
              <w:rPr>
                <w:b/>
                <w:bCs/>
              </w:rPr>
              <w:t xml:space="preserve">hac</w:t>
            </w:r>
            <w:r>
              <w:rPr>
                <w:b/>
                <w:bCs/>
              </w:rPr>
              <w:t xml:space="preserve"> </w:t>
            </w:r>
            <w:r>
              <w:rPr>
                <w:b/>
                <w:bCs/>
              </w:rPr>
              <w:t xml:space="preserve">vice</w:t>
            </w:r>
            <w:r>
              <w:rPr>
                <w:b/>
                <w:bCs/>
              </w:rPr>
              <w:t xml:space="preserve"> </w:t>
            </w:r>
            <w:r>
              <w:rPr>
                <w:b/>
                <w:bCs/>
              </w:rPr>
              <w:t xml:space="preserve">pending)</w:t>
            </w:r>
          </w:p>
          <w:p>
            <w:pPr>
              <w:spacing w:before="0" w:after="0" w:line="336" w:lineRule="exact"/>
              <w:ind w:left="0" w:firstLine="0"/>
              <w:jc w:val="left"/>
            </w:pPr>
            <w:r>
              <w:rPr>
                <w:b/>
                <w:bCs/>
              </w:rPr>
              <w:t xml:space="preserve">Arianna</w:t>
            </w:r>
            <w:r>
              <w:rPr>
                <w:b/>
                <w:bCs/>
              </w:rPr>
              <w:t xml:space="preserve"> </w:t>
            </w:r>
            <w:r>
              <w:rPr>
                <w:b/>
                <w:bCs/>
              </w:rPr>
              <w:t xml:space="preserve">Demas</w:t>
            </w:r>
            <w:r>
              <w:rPr>
                <w:b/>
                <w:bCs/>
              </w:rPr>
              <w:t xml:space="preserve"> </w:t>
            </w:r>
            <w:r>
              <w:rPr>
                <w:b/>
                <w:bCs/>
              </w:rPr>
              <w:t xml:space="preserve">(pro</w:t>
            </w:r>
            <w:r>
              <w:rPr>
                <w:b/>
                <w:bCs/>
              </w:rPr>
              <w:t xml:space="preserve"> </w:t>
            </w:r>
            <w:r>
              <w:rPr>
                <w:b/>
                <w:bCs/>
              </w:rPr>
              <w:t xml:space="preserve">hac</w:t>
            </w:r>
            <w:r>
              <w:rPr>
                <w:b/>
                <w:bCs/>
              </w:rPr>
              <w:t xml:space="preserve"> </w:t>
            </w:r>
            <w:r>
              <w:rPr>
                <w:b/>
                <w:bCs/>
              </w:rPr>
              <w:t xml:space="preserve">vice</w:t>
            </w:r>
            <w:r>
              <w:rPr>
                <w:b/>
                <w:bCs/>
              </w:rPr>
              <w:t xml:space="preserve"> </w:t>
            </w:r>
            <w:r>
              <w:rPr>
                <w:b/>
                <w:bCs/>
              </w:rPr>
              <w:t xml:space="preserve">pending)</w:t>
            </w:r>
          </w:p>
          <w:p>
            <w:pPr>
              <w:spacing w:before="0" w:after="0" w:line="336"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336" w:lineRule="exact"/>
              <w:ind w:left="0" w:firstLine="0"/>
              <w:jc w:val="left"/>
            </w:pPr>
            <w:r>
              <w:t xml:space="preserve">125</w:t>
            </w:r>
            <w:r>
              <w:t xml:space="preserve"> </w:t>
            </w:r>
            <w:r>
              <w:t xml:space="preserve">Broad</w:t>
            </w:r>
            <w:r>
              <w:t xml:space="preserve"> </w:t>
            </w:r>
            <w:r>
              <w:t xml:space="preserve">Street,</w:t>
            </w:r>
            <w:r>
              <w:t xml:space="preserve"> </w:t>
            </w:r>
            <w:r>
              <w:t xml:space="preserve">18th</w:t>
            </w:r>
            <w:r>
              <w:t xml:space="preserve"> </w:t>
            </w:r>
            <w:r>
              <w:t xml:space="preserve">Floor</w:t>
            </w:r>
          </w:p>
          <w:p>
            <w:pPr>
              <w:spacing w:before="0" w:after="0" w:line="336" w:lineRule="exact"/>
              <w:ind w:left="0" w:firstLine="0"/>
              <w:jc w:val="left"/>
            </w:pPr>
            <w:r>
              <w:t xml:space="preserve">New</w:t>
            </w:r>
            <w:r>
              <w:t xml:space="preserve"> </w:t>
            </w:r>
            <w:r>
              <w:t xml:space="preserve">York,</w:t>
            </w:r>
            <w:r>
              <w:t xml:space="preserve"> </w:t>
            </w:r>
            <w:r>
              <w:t xml:space="preserve">NY</w:t>
            </w:r>
            <w:r>
              <w:t xml:space="preserve"> </w:t>
            </w:r>
            <w:r>
              <w:t xml:space="preserve">10004</w:t>
            </w:r>
          </w:p>
          <w:p>
            <w:pPr>
              <w:spacing w:before="0" w:after="0" w:line="336" w:lineRule="exact"/>
              <w:ind w:left="0" w:firstLine="0"/>
              <w:jc w:val="left"/>
            </w:pPr>
            <w:r>
              <w:t xml:space="preserve">(212)</w:t>
            </w:r>
            <w:r>
              <w:t xml:space="preserve"> </w:t>
            </w:r>
            <w:r>
              <w:t xml:space="preserve">549</w:t>
              <w:noBreakHyphen/>
              <w:t xml:space="preserve">2500</w:t>
            </w:r>
          </w:p>
          <w:p>
            <w:pPr>
              <w:spacing w:before="0" w:after="0" w:line="336" w:lineRule="exact"/>
              <w:ind w:left="0" w:firstLine="0"/>
              <w:jc w:val="left"/>
            </w:pPr>
            <w:r>
              <w:t xml:space="preserve">esykes@aclu.org</w:t>
            </w:r>
          </w:p>
          <w:p>
            <w:pPr>
              <w:spacing w:before="0" w:after="0" w:line="336" w:lineRule="exact"/>
              <w:ind w:left="0" w:firstLine="0"/>
              <w:jc w:val="left"/>
            </w:pPr>
            <w:r>
              <w:t xml:space="preserve">veidelman@aclu.org</w:t>
            </w:r>
          </w:p>
          <w:p>
            <w:pPr>
              <w:spacing w:before="0" w:after="0" w:line="336" w:lineRule="exact"/>
              <w:ind w:left="0" w:firstLine="0"/>
              <w:jc w:val="left"/>
            </w:pPr>
            <w:r>
              <w:t xml:space="preserve">ademas@aclu.org</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36" w:lineRule="exact"/>
              <w:ind w:left="0" w:firstLine="0"/>
              <w:jc w:val="left"/>
            </w:pPr>
            <w:r>
              <w:t xml:space="preserve">Attorneys</w:t>
            </w:r>
            <w:r>
              <w:t xml:space="preserve"> </w:t>
            </w:r>
            <w:r>
              <w:t xml:space="preserve">for</w:t>
            </w:r>
            <w:r>
              <w:t xml:space="preserve"> </w:t>
            </w:r>
            <w:r>
              <w:t xml:space="preserve">Amici</w:t>
            </w:r>
            <w:r>
              <w:t xml:space="preserve"> </w:t>
            </w:r>
            <w:r>
              <w:t xml:space="preserve">Curiae</w:t>
            </w:r>
          </w:p>
        </w:tc>
        <w:tc>
          <w:tcPr>
            <w:tcW w:w="4896" w:type="dxa"/>
            <w:tcMar>
              <w:left w:w="432" w:type="dxa"/>
            </w:tcMar>
          </w:tcPr>
          <w:p>
            <w:pPr>
              <w:spacing w:before="0" w:after="0" w:line="1" w:lineRule="exact"/>
            </w:pPr>
          </w:p>
        </w:tc>
      </w:tr>
    </w:tbl>
    <w:p>
      <w:pPr>
        <w:pageBreakBefore/>
        <w:spacing w:before="0" w:after="0" w:line="1" w:lineRule="exact"/>
      </w:pPr>
    </w:p>
    <w:p>
      <w:pPr>
        <w:keepNext/>
        <w:keepLines/>
        <w:spacing w:before="0" w:after="336" w:line="33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36" w:lineRule="exact"/>
        <w:ind w:left="720" w:right="720" w:hanging="720"/>
      </w:pPr>
      <w:r>
        <w:t xml:space="preserve">STATEMENT</w:t>
      </w:r>
      <w:r>
        <w:t xml:space="preserve"> </w:t>
      </w:r>
      <w:r>
        <w:t xml:space="preserve">OF</w:t>
      </w:r>
      <w:r>
        <w:t xml:space="preserve"> </w:t>
      </w:r>
      <w:r>
        <w:t xml:space="preserve">INTEREST</w:t>
      </w:r>
      <w:r>
        <w:t xml:space="preserve"> </w:t>
      </w:r>
      <w:r>
        <w:t xml:space="preserve">OF</w:t>
      </w:r>
      <w:r>
        <w:t xml:space="preserve"> </w:t>
      </w:r>
      <w:r>
        <w:t xml:space="preserve">AMICI</w:t>
      </w:r>
      <w:r>
        <w:t xml:space="preserve"> </w:t>
      </w:r>
      <w:r>
        <w:t xml:space="preserve">CURIAE</w:t>
      </w:r>
      <w:r>
        <w:t xml:space="preserve">   </w:t>
      </w:r>
      <w:r>
        <w:tab/>
      </w:r>
      <w:r>
        <w:t xml:space="preserve">6</w:t>
      </w:r>
    </w:p>
    <w:p>
      <w:pPr>
        <w:keepLines/>
        <w:tabs>
          <w:tab w:val="right" w:leader="dot" w:pos="9360"/>
        </w:tabs>
        <w:spacing w:before="252" w:after="0" w:line="336" w:lineRule="exact"/>
        <w:ind w:left="720" w:right="720" w:hanging="720"/>
      </w:pPr>
      <w:r>
        <w:t xml:space="preserve">ISSUE</w:t>
      </w:r>
      <w:r>
        <w:t xml:space="preserve"> </w:t>
      </w:r>
      <w:r>
        <w:t xml:space="preserve">PRESENTED</w:t>
      </w:r>
      <w:r>
        <w:t xml:space="preserve"> </w:t>
      </w:r>
      <w:r>
        <w:t xml:space="preserve">FOR</w:t>
      </w:r>
      <w:r>
        <w:t xml:space="preserve"> </w:t>
      </w:r>
      <w:r>
        <w:t xml:space="preserve">REVIEW</w:t>
      </w:r>
      <w:r>
        <w:t xml:space="preserve">   </w:t>
      </w:r>
      <w:r>
        <w:tab/>
      </w:r>
      <w:r>
        <w:t xml:space="preserve">6</w:t>
      </w:r>
    </w:p>
    <w:p>
      <w:pPr>
        <w:keepLines/>
        <w:tabs>
          <w:tab w:val="right" w:leader="dot" w:pos="9360"/>
        </w:tabs>
        <w:spacing w:before="252" w:after="0" w:line="336" w:lineRule="exact"/>
        <w:ind w:left="720" w:right="720" w:hanging="720"/>
      </w:pPr>
      <w:r>
        <w:t xml:space="preserve">SUMMARY</w:t>
      </w:r>
      <w:r>
        <w:t xml:space="preserve"> </w:t>
      </w:r>
      <w:r>
        <w:t xml:space="preserve">OF</w:t>
      </w:r>
      <w:r>
        <w:t xml:space="preserve"> </w:t>
      </w:r>
      <w:r>
        <w:t xml:space="preserve">ARGUMENT</w:t>
      </w:r>
      <w:r>
        <w:t xml:space="preserve">   </w:t>
      </w:r>
      <w:r>
        <w:tab/>
      </w:r>
      <w:r>
        <w:t xml:space="preserve">7</w:t>
      </w:r>
    </w:p>
    <w:p>
      <w:pPr>
        <w:keepLines/>
        <w:tabs>
          <w:tab w:val="right" w:leader="dot" w:pos="9360"/>
        </w:tabs>
        <w:spacing w:before="252" w:after="0" w:line="336" w:lineRule="exact"/>
        <w:ind w:left="720" w:right="720" w:hanging="720"/>
      </w:pPr>
      <w:r>
        <w:t xml:space="preserve">FACTUAL</w:t>
      </w:r>
      <w:r>
        <w:t xml:space="preserve"> </w:t>
      </w:r>
      <w:r>
        <w:t xml:space="preserve">BACKGROUND</w:t>
      </w:r>
      <w:r>
        <w:t xml:space="preserve">   </w:t>
      </w:r>
      <w:r>
        <w:tab/>
      </w:r>
      <w:r>
        <w:t xml:space="preserve">9</w:t>
      </w:r>
    </w:p>
    <w:p>
      <w:pPr>
        <w:keepLines/>
        <w:tabs>
          <w:tab w:val="right" w:leader="dot" w:pos="9360"/>
        </w:tabs>
        <w:spacing w:before="252" w:after="0" w:line="336" w:lineRule="exact"/>
        <w:ind w:left="720" w:right="720" w:hanging="720"/>
      </w:pPr>
      <w:r>
        <w:t xml:space="preserve">ARGUMENT</w:t>
      </w:r>
      <w:r>
        <w:t xml:space="preserve">   </w:t>
      </w:r>
      <w:r>
        <w:tab/>
      </w:r>
      <w:r>
        <w:t xml:space="preserve">10</w:t>
      </w:r>
    </w:p>
    <w:p>
      <w:pPr>
        <w:keepLines/>
        <w:tabs>
          <w:tab w:val="right" w:leader="dot" w:pos="9360"/>
        </w:tabs>
        <w:spacing w:before="252" w:after="0" w:line="336" w:lineRule="exact"/>
        <w:ind w:left="1140" w:right="720" w:hanging="720"/>
      </w:pPr>
      <w:r>
        <w:t xml:space="preserve">I.</w:t>
      </w:r>
      <w:r>
        <w:tab/>
      </w:r>
      <w:r>
        <w:t xml:space="preserve">Evidence</w:t>
      </w:r>
      <w:r>
        <w:t xml:space="preserve"> </w:t>
      </w:r>
      <w:r>
        <w:t xml:space="preserve">That</w:t>
      </w:r>
      <w:r>
        <w:t xml:space="preserve"> </w:t>
      </w:r>
      <w:r>
        <w:t xml:space="preserve">Is</w:t>
      </w:r>
      <w:r>
        <w:t xml:space="preserve"> </w:t>
      </w:r>
      <w:r>
        <w:t xml:space="preserve">Protected</w:t>
      </w:r>
      <w:r>
        <w:t xml:space="preserve"> </w:t>
      </w:r>
      <w:r>
        <w:t xml:space="preserve">by</w:t>
      </w:r>
      <w:r>
        <w:t xml:space="preserve"> </w:t>
      </w:r>
      <w:r>
        <w:t xml:space="preserve">the</w:t>
      </w:r>
      <w:r>
        <w:t xml:space="preserve"> </w:t>
      </w:r>
      <w:r>
        <w:t xml:space="preserve">First</w:t>
      </w:r>
      <w:r>
        <w:t xml:space="preserve"> </w:t>
      </w:r>
      <w:r>
        <w:t xml:space="preserve">Amendment</w:t>
      </w:r>
      <w:r>
        <w:t xml:space="preserve"> </w:t>
      </w:r>
      <w:r>
        <w:t xml:space="preserve">and</w:t>
      </w:r>
      <w:r>
        <w:t xml:space="preserve"> </w:t>
      </w:r>
      <w:r>
        <w:t xml:space="preserve">Irrelevant</w:t>
      </w:r>
      <w:r>
        <w:t xml:space="preserve"> </w:t>
      </w:r>
      <w:r>
        <w:t xml:space="preserve">to</w:t>
      </w:r>
      <w:r>
        <w:t xml:space="preserve"> </w:t>
      </w:r>
      <w:r>
        <w:t xml:space="preserve">Any</w:t>
      </w:r>
      <w:r>
        <w:t xml:space="preserve"> </w:t>
      </w:r>
      <w:r>
        <w:t xml:space="preserve">Issue</w:t>
      </w:r>
      <w:r>
        <w:t xml:space="preserve"> </w:t>
      </w:r>
      <w:r>
        <w:t xml:space="preserve">Before</w:t>
      </w:r>
      <w:r>
        <w:t xml:space="preserve"> </w:t>
      </w:r>
      <w:r>
        <w:t xml:space="preserve">the</w:t>
      </w:r>
      <w:r>
        <w:t xml:space="preserve"> </w:t>
      </w:r>
      <w:r>
        <w:t xml:space="preserve">Court</w:t>
      </w:r>
      <w:r>
        <w:t xml:space="preserve"> </w:t>
      </w:r>
      <w:r>
        <w:t xml:space="preserve">Is</w:t>
      </w:r>
      <w:r>
        <w:t xml:space="preserve"> </w:t>
      </w:r>
      <w:r>
        <w:t xml:space="preserve">Inadmissible</w:t>
      </w:r>
      <w:r>
        <w:t xml:space="preserve"> </w:t>
      </w:r>
      <w:r>
        <w:t xml:space="preserve">on</w:t>
      </w:r>
      <w:r>
        <w:t xml:space="preserve"> </w:t>
      </w:r>
      <w:r>
        <w:t xml:space="preserve">Constitutional</w:t>
      </w:r>
      <w:r>
        <w:t xml:space="preserve"> </w:t>
      </w:r>
      <w:r>
        <w:t xml:space="preserve">Grounds</w:t>
      </w:r>
      <w:r>
        <w:t xml:space="preserve">   </w:t>
      </w:r>
      <w:r>
        <w:tab/>
      </w:r>
      <w:r>
        <w:t xml:space="preserve">10</w:t>
      </w:r>
    </w:p>
    <w:p>
      <w:pPr>
        <w:keepLines/>
        <w:tabs>
          <w:tab w:val="right" w:leader="dot" w:pos="9360"/>
        </w:tabs>
        <w:spacing w:before="252" w:after="0" w:line="336" w:lineRule="exact"/>
        <w:ind w:left="1140" w:right="720" w:hanging="720"/>
      </w:pPr>
      <w:r>
        <w:t xml:space="preserve">II.</w:t>
      </w:r>
      <w:r>
        <w:tab/>
      </w:r>
      <w:r>
        <w:t xml:space="preserve">The</w:t>
      </w:r>
      <w:r>
        <w:t xml:space="preserve"> </w:t>
      </w:r>
      <w:r>
        <w:t xml:space="preserve">Evidence</w:t>
      </w:r>
      <w:r>
        <w:t xml:space="preserve"> </w:t>
      </w:r>
      <w:r>
        <w:t xml:space="preserve">at</w:t>
      </w:r>
      <w:r>
        <w:t xml:space="preserve"> </w:t>
      </w:r>
      <w:r>
        <w:t xml:space="preserve">Issue—Defendant’s</w:t>
      </w:r>
      <w:r>
        <w:t xml:space="preserve"> </w:t>
      </w:r>
      <w:r>
        <w:t xml:space="preserve">Music</w:t>
      </w:r>
      <w:r>
        <w:t xml:space="preserve"> </w:t>
      </w:r>
      <w:r>
        <w:t xml:space="preserve">Video—Is</w:t>
      </w:r>
      <w:r>
        <w:t xml:space="preserve"> </w:t>
      </w:r>
      <w:r>
        <w:t xml:space="preserve">Protected</w:t>
      </w:r>
      <w:r>
        <w:t xml:space="preserve"> </w:t>
      </w:r>
      <w:r>
        <w:t xml:space="preserve">Under</w:t>
      </w:r>
      <w:r>
        <w:t xml:space="preserve"> </w:t>
      </w:r>
      <w:r>
        <w:t xml:space="preserve">the</w:t>
      </w:r>
      <w:r>
        <w:t xml:space="preserve"> </w:t>
      </w:r>
      <w:r>
        <w:t xml:space="preserve">First</w:t>
      </w:r>
      <w:r>
        <w:t xml:space="preserve"> </w:t>
      </w:r>
      <w:r>
        <w:t xml:space="preserve">Amendment</w:t>
      </w:r>
      <w:r>
        <w:t xml:space="preserve">   </w:t>
      </w:r>
      <w:r>
        <w:tab/>
      </w:r>
      <w:r>
        <w:t xml:space="preserve">13</w:t>
      </w:r>
    </w:p>
    <w:p>
      <w:pPr>
        <w:keepLines/>
        <w:tabs>
          <w:tab w:val="right" w:leader="dot" w:pos="9360"/>
        </w:tabs>
        <w:spacing w:before="252" w:after="0" w:line="336" w:lineRule="exact"/>
        <w:ind w:left="1140" w:right="720" w:hanging="720"/>
      </w:pPr>
      <w:r>
        <w:t xml:space="preserve">III.</w:t>
      </w:r>
      <w:r>
        <w:tab/>
      </w:r>
      <w:r>
        <w:t xml:space="preserve">Admitting</w:t>
      </w:r>
      <w:r>
        <w:t xml:space="preserve"> </w:t>
      </w:r>
      <w:r>
        <w:t xml:space="preserve">the</w:t>
      </w:r>
      <w:r>
        <w:t xml:space="preserve"> </w:t>
      </w:r>
      <w:r>
        <w:t xml:space="preserve">Music</w:t>
      </w:r>
      <w:r>
        <w:t xml:space="preserve"> </w:t>
      </w:r>
      <w:r>
        <w:t xml:space="preserve">Video</w:t>
      </w:r>
      <w:r>
        <w:t xml:space="preserve"> </w:t>
      </w:r>
      <w:r>
        <w:t xml:space="preserve">Violated</w:t>
      </w:r>
      <w:r>
        <w:t xml:space="preserve"> </w:t>
      </w:r>
      <w:r>
        <w:t xml:space="preserve">Defendant’s</w:t>
      </w:r>
      <w:r>
        <w:t xml:space="preserve"> </w:t>
      </w:r>
      <w:r>
        <w:t xml:space="preserve">First</w:t>
      </w:r>
      <w:r>
        <w:t xml:space="preserve"> </w:t>
      </w:r>
      <w:r>
        <w:t xml:space="preserve">Amendment</w:t>
      </w:r>
      <w:r>
        <w:t xml:space="preserve"> </w:t>
      </w:r>
      <w:r>
        <w:t xml:space="preserve">Rights</w:t>
      </w:r>
      <w:r>
        <w:t xml:space="preserve"> </w:t>
      </w:r>
      <w:r>
        <w:t xml:space="preserve">Because</w:t>
      </w:r>
      <w:r>
        <w:t xml:space="preserve"> </w:t>
      </w:r>
      <w:r>
        <w:t xml:space="preserve">the</w:t>
      </w:r>
      <w:r>
        <w:t xml:space="preserve"> </w:t>
      </w:r>
      <w:r>
        <w:t xml:space="preserve">Video</w:t>
      </w:r>
      <w:r>
        <w:t xml:space="preserve"> </w:t>
      </w:r>
      <w:r>
        <w:t xml:space="preserve">Was</w:t>
      </w:r>
      <w:r>
        <w:t xml:space="preserve"> </w:t>
      </w:r>
      <w:r>
        <w:t xml:space="preserve">Not</w:t>
      </w:r>
      <w:r>
        <w:t xml:space="preserve"> </w:t>
      </w:r>
      <w:r>
        <w:t xml:space="preserve">Relevant</w:t>
      </w:r>
      <w:r>
        <w:t xml:space="preserve"> </w:t>
      </w:r>
      <w:r>
        <w:t xml:space="preserve">to</w:t>
      </w:r>
      <w:r>
        <w:t xml:space="preserve"> </w:t>
      </w:r>
      <w:r>
        <w:t xml:space="preserve">Any</w:t>
      </w:r>
      <w:r>
        <w:t xml:space="preserve"> </w:t>
      </w:r>
      <w:r>
        <w:t xml:space="preserve">Issue</w:t>
      </w:r>
      <w:r>
        <w:t xml:space="preserve"> </w:t>
      </w:r>
      <w:r>
        <w:t xml:space="preserve">Before</w:t>
      </w:r>
      <w:r>
        <w:t xml:space="preserve"> </w:t>
      </w:r>
      <w:r>
        <w:t xml:space="preserve">the</w:t>
      </w:r>
      <w:r>
        <w:t xml:space="preserve"> </w:t>
      </w:r>
      <w:r>
        <w:t xml:space="preserve">Court</w:t>
      </w:r>
      <w:r>
        <w:t xml:space="preserve">   </w:t>
      </w:r>
      <w:r>
        <w:tab/>
      </w:r>
      <w:r>
        <w:t xml:space="preserve">17</w:t>
      </w:r>
    </w:p>
    <w:p>
      <w:pPr>
        <w:keepLines/>
        <w:tabs>
          <w:tab w:val="right" w:leader="dot" w:pos="9360"/>
        </w:tabs>
        <w:spacing w:before="252" w:after="0" w:line="336" w:lineRule="exact"/>
        <w:ind w:left="720" w:right="720" w:hanging="720"/>
      </w:pPr>
      <w:r>
        <w:t xml:space="preserve">CONCLUSION</w:t>
      </w:r>
      <w:r>
        <w:t xml:space="preserve">   </w:t>
      </w:r>
      <w:r>
        <w:tab/>
      </w:r>
      <w:r>
        <w:t xml:space="preserve">20</w:t>
      </w:r>
    </w:p>
    <w:p>
      <w:pPr>
        <w:keepLines/>
        <w:tabs>
          <w:tab w:val="right" w:leader="dot" w:pos="9360"/>
        </w:tabs>
        <w:spacing w:before="252" w:after="0" w:line="336"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21</w:t>
      </w:r>
    </w:p>
    <w:p>
      <w:pPr>
        <w:keepLines/>
        <w:tabs>
          <w:tab w:val="right" w:leader="dot" w:pos="9360"/>
        </w:tabs>
        <w:spacing w:before="252" w:after="0" w:line="336"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22</w:t>
      </w:r>
    </w:p>
    <w:p>
      <w:pPr>
        <w:pageBreakBefore/>
        <w:spacing w:before="0" w:after="0" w:line="1" w:lineRule="exact"/>
      </w:pPr>
    </w:p>
    <w:p>
      <w:pPr>
        <w:keepNext/>
        <w:keepLines/>
        <w:spacing w:before="0" w:after="336" w:line="33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112" w:line="336" w:lineRule="exact"/>
        <w:ind w:left="0" w:firstLine="0"/>
        <w:jc w:val="left"/>
      </w:pPr>
      <w:r>
        <w:rPr>
          <w:b/>
          <w:bCs/>
        </w:rPr>
        <w:t xml:space="preserve">Cases</w:t>
      </w:r>
    </w:p>
    <w:p>
      <w:pPr>
        <w:keepLines/>
        <w:tabs>
          <w:tab w:val="right" w:leader="dot" w:pos="9360"/>
        </w:tabs>
        <w:spacing w:before="252" w:after="0" w:line="336" w:lineRule="exact"/>
        <w:ind w:left="420" w:right="1440" w:hanging="420"/>
      </w:pPr>
      <w:r>
        <w:rPr>
          <w:i/>
          <w:iCs/>
        </w:rPr>
        <w:t xml:space="preserve">Aptheker</w:t>
      </w:r>
      <w:r>
        <w:rPr>
          <w:i/>
          <w:iCs/>
        </w:rPr>
        <w:t xml:space="preserve"> </w:t>
      </w:r>
      <w:r>
        <w:rPr>
          <w:i/>
          <w:iCs/>
        </w:rPr>
        <w:t xml:space="preserve">v.</w:t>
      </w:r>
      <w:r>
        <w:rPr>
          <w:i/>
          <w:iCs/>
        </w:rPr>
        <w:t xml:space="preserve"> </w:t>
      </w:r>
      <w:r>
        <w:rPr>
          <w:i/>
          <w:iCs/>
        </w:rPr>
        <w:t xml:space="preserve">Sec’y</w:t>
      </w:r>
      <w:r>
        <w:rPr>
          <w:i/>
          <w:iCs/>
        </w:rPr>
        <w:t xml:space="preserve"> </w:t>
      </w:r>
      <w:r>
        <w:rPr>
          <w:i/>
          <w:iCs/>
        </w:rPr>
        <w:t xml:space="preserve">of</w:t>
      </w:r>
      <w:r>
        <w:rPr>
          <w:i/>
          <w:iCs/>
        </w:rPr>
        <w:t xml:space="preserve"> </w:t>
      </w:r>
      <w:r>
        <w:rPr>
          <w:i/>
          <w:iCs/>
        </w:rPr>
        <w:t xml:space="preserve">State</w:t>
      </w:r>
      <w:r>
        <w:t xml:space="preserve">,</w:t>
      </w:r>
      <w:r>
        <w:t xml:space="preserve"> </w:t>
      </w:r>
      <w:r>
        <w:t xml:space="preserve">378</w:t>
      </w:r>
      <w:r>
        <w:t xml:space="preserve"> </w:t>
      </w:r>
      <w:r>
        <w:t xml:space="preserve">U.S.</w:t>
      </w:r>
      <w:r>
        <w:t xml:space="preserve"> </w:t>
      </w:r>
      <w:r>
        <w:t xml:space="preserve">500</w:t>
      </w:r>
      <w:r>
        <w:t xml:space="preserve"> </w:t>
      </w:r>
      <w:r>
        <w:t xml:space="preserve">(1964)</w:t>
      </w:r>
      <w:r>
        <w:t xml:space="preserve">   </w:t>
      </w:r>
      <w:r>
        <w:tab/>
      </w:r>
      <w:r>
        <w:t xml:space="preserve">12</w:t>
      </w:r>
    </w:p>
    <w:p>
      <w:pPr>
        <w:keepLines/>
        <w:tabs>
          <w:tab w:val="right" w:leader="dot" w:pos="9360"/>
        </w:tabs>
        <w:spacing w:before="252" w:after="0" w:line="336" w:lineRule="exact"/>
        <w:ind w:left="420" w:right="1440" w:hanging="420"/>
      </w:pPr>
      <w:r>
        <w:rPr>
          <w:i/>
          <w:iCs/>
        </w:rPr>
        <w:t xml:space="preserve">Bates</w:t>
      </w:r>
      <w:r>
        <w:rPr>
          <w:i/>
          <w:iCs/>
        </w:rPr>
        <w:t xml:space="preserve"> </w:t>
      </w:r>
      <w:r>
        <w:rPr>
          <w:i/>
          <w:iCs/>
        </w:rPr>
        <w:t xml:space="preserve">v.</w:t>
      </w:r>
      <w:r>
        <w:rPr>
          <w:i/>
          <w:iCs/>
        </w:rPr>
        <w:t xml:space="preserve"> </w:t>
      </w:r>
      <w:r>
        <w:rPr>
          <w:i/>
          <w:iCs/>
        </w:rPr>
        <w:t xml:space="preserve">Little</w:t>
      </w:r>
      <w:r>
        <w:rPr>
          <w:i/>
          <w:iCs/>
        </w:rPr>
        <w:t xml:space="preserve"> </w:t>
      </w:r>
      <w:r>
        <w:rPr>
          <w:i/>
          <w:iCs/>
        </w:rPr>
        <w:t xml:space="preserve">Rock</w:t>
      </w:r>
      <w:r>
        <w:t xml:space="preserve">,</w:t>
      </w:r>
      <w:r>
        <w:t xml:space="preserve"> </w:t>
      </w:r>
      <w:r>
        <w:t xml:space="preserve">361</w:t>
      </w:r>
      <w:r>
        <w:t xml:space="preserve"> </w:t>
      </w:r>
      <w:r>
        <w:t xml:space="preserve">U.S.</w:t>
      </w:r>
      <w:r>
        <w:t xml:space="preserve"> </w:t>
      </w:r>
      <w:r>
        <w:t xml:space="preserve">516</w:t>
      </w:r>
      <w:r>
        <w:t xml:space="preserve"> </w:t>
      </w:r>
      <w:r>
        <w:t xml:space="preserve">(1960)</w:t>
      </w:r>
      <w:r>
        <w:t xml:space="preserve">   </w:t>
      </w:r>
      <w:r>
        <w:tab/>
      </w:r>
      <w:r>
        <w:t xml:space="preserve">19</w:t>
      </w:r>
    </w:p>
    <w:p>
      <w:pPr>
        <w:keepLines/>
        <w:tabs>
          <w:tab w:val="right" w:leader="dot" w:pos="9360"/>
        </w:tabs>
        <w:spacing w:before="252" w:after="0" w:line="336" w:lineRule="exact"/>
        <w:ind w:left="420" w:right="1440" w:hanging="420"/>
      </w:pPr>
      <w:r>
        <w:rPr>
          <w:i/>
          <w:iCs/>
        </w:rPr>
        <w:t xml:space="preserve">Brooks</w:t>
      </w:r>
      <w:r>
        <w:rPr>
          <w:i/>
          <w:iCs/>
        </w:rPr>
        <w:t xml:space="preserve"> </w:t>
      </w:r>
      <w:r>
        <w:rPr>
          <w:i/>
          <w:iCs/>
        </w:rPr>
        <w:t xml:space="preserve">v.</w:t>
      </w:r>
      <w:r>
        <w:rPr>
          <w:i/>
          <w:iCs/>
        </w:rPr>
        <w:t xml:space="preserve"> </w:t>
      </w:r>
      <w:r>
        <w:rPr>
          <w:i/>
          <w:iCs/>
        </w:rPr>
        <w:t xml:space="preserve">State</w:t>
      </w:r>
      <w:r>
        <w:t xml:space="preserve">,</w:t>
      </w:r>
      <w:r>
        <w:t xml:space="preserve"> </w:t>
      </w:r>
      <w:r>
        <w:t xml:space="preserve">903</w:t>
      </w:r>
      <w:r>
        <w:t xml:space="preserve"> </w:t>
      </w:r>
      <w:r>
        <w:t xml:space="preserve">So.2d</w:t>
      </w:r>
      <w:r>
        <w:t xml:space="preserve"> </w:t>
      </w:r>
      <w:r>
        <w:t xml:space="preserve">691</w:t>
      </w:r>
      <w:r>
        <w:t xml:space="preserve"> </w:t>
      </w:r>
      <w:r>
        <w:t xml:space="preserve">(Miss.</w:t>
      </w:r>
      <w:r>
        <w:t xml:space="preserve"> </w:t>
      </w:r>
      <w:r>
        <w:t xml:space="preserve">2005)</w:t>
      </w:r>
      <w:r>
        <w:t xml:space="preserve">   </w:t>
      </w:r>
      <w:r>
        <w:tab/>
      </w:r>
      <w:r>
        <w:t xml:space="preserve">9</w:t>
      </w:r>
    </w:p>
    <w:p>
      <w:pPr>
        <w:keepLines/>
        <w:tabs>
          <w:tab w:val="right" w:leader="dot" w:pos="9360"/>
        </w:tabs>
        <w:spacing w:before="252" w:after="0" w:line="336" w:lineRule="exact"/>
        <w:ind w:left="420" w:right="1440" w:hanging="420"/>
      </w:pPr>
      <w:r>
        <w:rPr>
          <w:i/>
          <w:iCs/>
        </w:rPr>
        <w:t xml:space="preserve">Chaplinsky</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Hampshire</w:t>
      </w:r>
      <w:r>
        <w:t xml:space="preserve">,</w:t>
      </w:r>
      <w:r>
        <w:t xml:space="preserve"> </w:t>
      </w:r>
      <w:r>
        <w:t xml:space="preserve">315</w:t>
      </w:r>
      <w:r>
        <w:t xml:space="preserve"> </w:t>
      </w:r>
      <w:r>
        <w:t xml:space="preserve">U.S.</w:t>
      </w:r>
      <w:r>
        <w:t xml:space="preserve"> </w:t>
      </w:r>
      <w:r>
        <w:t xml:space="preserve">568</w:t>
      </w:r>
      <w:r>
        <w:t xml:space="preserve"> </w:t>
      </w:r>
      <w:r>
        <w:t xml:space="preserve">(1942)</w:t>
      </w:r>
      <w:r>
        <w:t xml:space="preserve">   </w:t>
      </w:r>
      <w:r>
        <w:tab/>
      </w:r>
      <w:r>
        <w:t xml:space="preserve">16</w:t>
      </w:r>
    </w:p>
    <w:p>
      <w:pPr>
        <w:keepLines/>
        <w:tabs>
          <w:tab w:val="right" w:leader="dot" w:pos="9360"/>
        </w:tabs>
        <w:spacing w:before="252" w:after="0" w:line="336" w:lineRule="exact"/>
        <w:ind w:left="420" w:right="1440" w:hanging="420"/>
      </w:pPr>
      <w:r>
        <w:rPr>
          <w:i/>
          <w:iCs/>
        </w:rPr>
        <w:t xml:space="preserve">Dawson</w:t>
      </w:r>
      <w:r>
        <w:rPr>
          <w:i/>
          <w:iCs/>
        </w:rPr>
        <w:t xml:space="preserve"> </w:t>
      </w:r>
      <w:r>
        <w:rPr>
          <w:i/>
          <w:iCs/>
        </w:rPr>
        <w:t xml:space="preserve">v.</w:t>
      </w:r>
      <w:r>
        <w:rPr>
          <w:i/>
          <w:iCs/>
        </w:rPr>
        <w:t xml:space="preserve"> </w:t>
      </w:r>
      <w:r>
        <w:rPr>
          <w:i/>
          <w:iCs/>
        </w:rPr>
        <w:t xml:space="preserve">Delaware</w:t>
      </w:r>
      <w:r>
        <w:t xml:space="preserve">,</w:t>
      </w:r>
      <w:r>
        <w:t xml:space="preserve"> </w:t>
      </w:r>
      <w:r>
        <w:t xml:space="preserve">503</w:t>
      </w:r>
      <w:r>
        <w:t xml:space="preserve"> </w:t>
      </w:r>
      <w:r>
        <w:t xml:space="preserve">U.S.</w:t>
      </w:r>
      <w:r>
        <w:t xml:space="preserve"> </w:t>
      </w:r>
      <w:r>
        <w:t xml:space="preserve">159</w:t>
      </w:r>
      <w:r>
        <w:t xml:space="preserve"> </w:t>
      </w:r>
      <w:r>
        <w:t xml:space="preserve">(1992)</w:t>
      </w:r>
      <w:r>
        <w:t xml:space="preserve">   </w:t>
      </w:r>
      <w:r>
        <w:tab/>
      </w:r>
      <w:r>
        <w:t xml:space="preserve">7, 11</w:t>
      </w:r>
    </w:p>
    <w:p>
      <w:pPr>
        <w:keepLines/>
        <w:tabs>
          <w:tab w:val="right" w:leader="dot" w:pos="9360"/>
        </w:tabs>
        <w:spacing w:before="252" w:after="0" w:line="336" w:lineRule="exact"/>
        <w:ind w:left="420" w:right="1440" w:hanging="420"/>
      </w:pPr>
      <w:r>
        <w:rPr>
          <w:i/>
          <w:iCs/>
        </w:rPr>
        <w:t xml:space="preserve">Elonis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575</w:t>
      </w:r>
      <w:r>
        <w:t xml:space="preserve"> </w:t>
      </w:r>
      <w:r>
        <w:t xml:space="preserve">U.S.</w:t>
      </w:r>
      <w:r>
        <w:t xml:space="preserve"> </w:t>
      </w:r>
      <w:r>
        <w:t xml:space="preserve">723</w:t>
      </w:r>
      <w:r>
        <w:t xml:space="preserve"> </w:t>
      </w:r>
      <w:r>
        <w:t xml:space="preserve">(2015)</w:t>
      </w:r>
      <w:r>
        <w:t xml:space="preserve">   </w:t>
      </w:r>
      <w:r>
        <w:tab/>
      </w:r>
      <w:r>
        <w:t xml:space="preserve">16</w:t>
      </w:r>
    </w:p>
    <w:p>
      <w:pPr>
        <w:keepLines/>
        <w:tabs>
          <w:tab w:val="right" w:leader="dot" w:pos="9360"/>
        </w:tabs>
        <w:spacing w:before="252" w:after="0" w:line="336" w:lineRule="exact"/>
        <w:ind w:left="420" w:right="1440" w:hanging="420"/>
      </w:pPr>
      <w:r>
        <w:rPr>
          <w:i/>
          <w:iCs/>
        </w:rPr>
        <w:t xml:space="preserve">Gibson</w:t>
      </w:r>
      <w:r>
        <w:rPr>
          <w:i/>
          <w:iCs/>
        </w:rPr>
        <w:t xml:space="preserve"> </w:t>
      </w:r>
      <w:r>
        <w:rPr>
          <w:i/>
          <w:iCs/>
        </w:rPr>
        <w:t xml:space="preserve">v.</w:t>
      </w:r>
      <w:r>
        <w:rPr>
          <w:i/>
          <w:iCs/>
        </w:rPr>
        <w:t xml:space="preserve"> </w:t>
      </w:r>
      <w:r>
        <w:rPr>
          <w:i/>
          <w:iCs/>
        </w:rPr>
        <w:t xml:space="preserve">Florida</w:t>
      </w:r>
      <w:r>
        <w:rPr>
          <w:i/>
          <w:iCs/>
        </w:rPr>
        <w:t xml:space="preserve"> </w:t>
      </w:r>
      <w:r>
        <w:rPr>
          <w:i/>
          <w:iCs/>
        </w:rPr>
        <w:t xml:space="preserve">Legis.</w:t>
      </w:r>
      <w:r>
        <w:rPr>
          <w:i/>
          <w:iCs/>
        </w:rPr>
        <w:t xml:space="preserve"> </w:t>
      </w:r>
      <w:r>
        <w:rPr>
          <w:i/>
          <w:iCs/>
        </w:rPr>
        <w:t xml:space="preserve">Investigation</w:t>
      </w:r>
      <w:r>
        <w:rPr>
          <w:i/>
          <w:iCs/>
        </w:rPr>
        <w:t xml:space="preserve"> </w:t>
      </w:r>
      <w:r>
        <w:rPr>
          <w:i/>
          <w:iCs/>
        </w:rPr>
        <w:t xml:space="preserve">Comm.</w:t>
      </w:r>
      <w:r>
        <w:t xml:space="preserve">,</w:t>
      </w:r>
      <w:r>
        <w:t xml:space="preserve"> </w:t>
      </w:r>
      <w:r>
        <w:t xml:space="preserve">372</w:t>
      </w:r>
      <w:r>
        <w:t xml:space="preserve"> </w:t>
      </w:r>
      <w:r>
        <w:t xml:space="preserve">U.S.</w:t>
      </w:r>
      <w:r>
        <w:t xml:space="preserve"> </w:t>
      </w:r>
      <w:r>
        <w:t xml:space="preserve">539</w:t>
      </w:r>
      <w:r>
        <w:t xml:space="preserve"> </w:t>
      </w:r>
      <w:r>
        <w:t xml:space="preserve">(1963)</w:t>
      </w:r>
      <w:r>
        <w:t xml:space="preserve">   </w:t>
      </w:r>
      <w:r>
        <w:tab/>
      </w:r>
      <w:r>
        <w:t xml:space="preserve">8</w:t>
      </w:r>
    </w:p>
    <w:p>
      <w:pPr>
        <w:keepLines/>
        <w:tabs>
          <w:tab w:val="right" w:leader="dot" w:pos="9360"/>
        </w:tabs>
        <w:spacing w:before="252" w:after="0" w:line="336" w:lineRule="exact"/>
        <w:ind w:left="420" w:right="1440" w:hanging="420"/>
      </w:pPr>
      <w:r>
        <w:rPr>
          <w:i/>
          <w:iCs/>
        </w:rPr>
        <w:t xml:space="preserve">Hannah</w:t>
      </w:r>
      <w:r>
        <w:rPr>
          <w:i/>
          <w:iCs/>
        </w:rPr>
        <w:t xml:space="preserve"> </w:t>
      </w:r>
      <w:r>
        <w:rPr>
          <w:i/>
          <w:iCs/>
        </w:rPr>
        <w:t xml:space="preserve">v.</w:t>
      </w:r>
      <w:r>
        <w:rPr>
          <w:i/>
          <w:iCs/>
        </w:rPr>
        <w:t xml:space="preserve"> </w:t>
      </w:r>
      <w:r>
        <w:rPr>
          <w:i/>
          <w:iCs/>
        </w:rPr>
        <w:t xml:space="preserve">State</w:t>
      </w:r>
      <w:r>
        <w:t xml:space="preserve">,</w:t>
      </w:r>
      <w:r>
        <w:t xml:space="preserve"> </w:t>
      </w:r>
      <w:r>
        <w:t xml:space="preserve">23</w:t>
      </w:r>
      <w:r>
        <w:t xml:space="preserve"> </w:t>
      </w:r>
      <w:r>
        <w:t xml:space="preserve">A.3d</w:t>
      </w:r>
      <w:r>
        <w:t xml:space="preserve"> </w:t>
      </w:r>
      <w:r>
        <w:t xml:space="preserve">192</w:t>
      </w:r>
      <w:r>
        <w:t xml:space="preserve"> </w:t>
      </w:r>
      <w:r>
        <w:t xml:space="preserve">(Md.</w:t>
      </w:r>
      <w:r>
        <w:t xml:space="preserve"> </w:t>
      </w:r>
      <w:r>
        <w:t xml:space="preserve">2011)</w:t>
      </w:r>
      <w:r>
        <w:t xml:space="preserve">   </w:t>
      </w:r>
      <w:r>
        <w:tab/>
      </w:r>
      <w:r>
        <w:t xml:space="preserve">9</w:t>
      </w:r>
    </w:p>
    <w:p>
      <w:pPr>
        <w:keepLines/>
        <w:tabs>
          <w:tab w:val="right" w:leader="dot" w:pos="9360"/>
        </w:tabs>
        <w:spacing w:before="252" w:after="0" w:line="336" w:lineRule="exact"/>
        <w:ind w:left="420" w:right="1440" w:hanging="420"/>
      </w:pPr>
      <w:r>
        <w:rPr>
          <w:i/>
          <w:iCs/>
        </w:rPr>
        <w:t xml:space="preserve">Healy</w:t>
      </w:r>
      <w:r>
        <w:rPr>
          <w:i/>
          <w:iCs/>
        </w:rPr>
        <w:t xml:space="preserve"> </w:t>
      </w:r>
      <w:r>
        <w:rPr>
          <w:i/>
          <w:iCs/>
        </w:rPr>
        <w:t xml:space="preserve">v.</w:t>
      </w:r>
      <w:r>
        <w:rPr>
          <w:i/>
          <w:iCs/>
        </w:rPr>
        <w:t xml:space="preserve"> </w:t>
      </w:r>
      <w:r>
        <w:rPr>
          <w:i/>
          <w:iCs/>
        </w:rPr>
        <w:t xml:space="preserve">James</w:t>
      </w:r>
      <w:r>
        <w:t xml:space="preserve">,</w:t>
      </w:r>
      <w:r>
        <w:t xml:space="preserve"> </w:t>
      </w:r>
      <w:r>
        <w:t xml:space="preserve">408</w:t>
      </w:r>
      <w:r>
        <w:t xml:space="preserve"> </w:t>
      </w:r>
      <w:r>
        <w:t xml:space="preserve">U.S.</w:t>
      </w:r>
      <w:r>
        <w:t xml:space="preserve"> </w:t>
      </w:r>
      <w:r>
        <w:t xml:space="preserve">169</w:t>
      </w:r>
      <w:r>
        <w:t xml:space="preserve"> </w:t>
      </w:r>
      <w:r>
        <w:t xml:space="preserve">(1972)</w:t>
      </w:r>
      <w:r>
        <w:t xml:space="preserve">   </w:t>
      </w:r>
      <w:r>
        <w:tab/>
      </w:r>
      <w:r>
        <w:t xml:space="preserve">18</w:t>
      </w:r>
    </w:p>
    <w:p>
      <w:pPr>
        <w:keepLines/>
        <w:tabs>
          <w:tab w:val="right" w:leader="dot" w:pos="9360"/>
        </w:tabs>
        <w:spacing w:before="252" w:after="0" w:line="336" w:lineRule="exact"/>
        <w:ind w:left="420" w:right="1440" w:hanging="420"/>
      </w:pPr>
      <w:r>
        <w:rPr>
          <w:i/>
          <w:iCs/>
        </w:rPr>
        <w:t xml:space="preserve">Hurley</w:t>
      </w:r>
      <w:r>
        <w:rPr>
          <w:i/>
          <w:iCs/>
        </w:rPr>
        <w:t xml:space="preserve"> </w:t>
      </w:r>
      <w:r>
        <w:rPr>
          <w:i/>
          <w:iCs/>
        </w:rPr>
        <w:t xml:space="preserve">v.</w:t>
      </w:r>
      <w:r>
        <w:rPr>
          <w:i/>
          <w:iCs/>
        </w:rPr>
        <w:t xml:space="preserve"> </w:t>
      </w:r>
      <w:r>
        <w:rPr>
          <w:i/>
          <w:iCs/>
        </w:rPr>
        <w:t xml:space="preserve">Irish-American</w:t>
      </w:r>
      <w:r>
        <w:rPr>
          <w:i/>
          <w:iCs/>
        </w:rPr>
        <w:t xml:space="preserve"> </w:t>
      </w:r>
      <w:r>
        <w:rPr>
          <w:i/>
          <w:iCs/>
        </w:rPr>
        <w:t xml:space="preserve">Gay,</w:t>
      </w:r>
      <w:r>
        <w:rPr>
          <w:i/>
          <w:iCs/>
        </w:rPr>
        <w:t xml:space="preserve"> </w:t>
      </w:r>
      <w:r>
        <w:rPr>
          <w:i/>
          <w:iCs/>
        </w:rPr>
        <w:t xml:space="preserve">Lesbian</w:t>
      </w:r>
      <w:r>
        <w:rPr>
          <w:i/>
          <w:iCs/>
        </w:rPr>
        <w:t xml:space="preserve"> </w:t>
      </w:r>
      <w:r>
        <w:rPr>
          <w:i/>
          <w:iCs/>
        </w:rPr>
        <w:t xml:space="preserve">and</w:t>
      </w:r>
      <w:r>
        <w:rPr>
          <w:i/>
          <w:iCs/>
        </w:rPr>
        <w:t xml:space="preserve"> </w:t>
      </w:r>
      <w:r>
        <w:rPr>
          <w:i/>
          <w:iCs/>
        </w:rPr>
        <w:t xml:space="preserve">Bisexual</w:t>
      </w:r>
      <w:r>
        <w:rPr>
          <w:i/>
          <w:iCs/>
        </w:rPr>
        <w:t xml:space="preserve"> </w:t>
      </w:r>
      <w:r>
        <w:rPr>
          <w:i/>
          <w:iCs/>
        </w:rPr>
        <w:t xml:space="preserve">Group</w:t>
      </w:r>
      <w:r>
        <w:rPr>
          <w:i/>
          <w:iCs/>
        </w:rPr>
        <w:t xml:space="preserve"> </w:t>
      </w:r>
      <w:r>
        <w:rPr>
          <w:i/>
          <w:iCs/>
        </w:rPr>
        <w:t xml:space="preserve">of</w:t>
      </w:r>
      <w:r>
        <w:rPr>
          <w:i/>
          <w:iCs/>
        </w:rPr>
        <w:t xml:space="preserve"> </w:t>
      </w:r>
      <w:r>
        <w:rPr>
          <w:i/>
          <w:iCs/>
        </w:rPr>
        <w:t xml:space="preserve">Bos.</w:t>
      </w:r>
      <w:r>
        <w:t xml:space="preserve">,</w:t>
      </w:r>
      <w:r>
        <w:t xml:space="preserve"> </w:t>
      </w:r>
      <w:r>
        <w:t xml:space="preserve">515</w:t>
      </w:r>
      <w:r>
        <w:t xml:space="preserve"> </w:t>
      </w:r>
      <w:r>
        <w:t xml:space="preserve">U.S.</w:t>
      </w:r>
      <w:r>
        <w:t xml:space="preserve"> </w:t>
      </w:r>
      <w:r>
        <w:t xml:space="preserve">557</w:t>
      </w:r>
      <w:r>
        <w:t xml:space="preserve"> </w:t>
      </w:r>
      <w:r>
        <w:t xml:space="preserve">(1995)</w:t>
      </w:r>
      <w:r>
        <w:t xml:space="preserve">   </w:t>
      </w:r>
      <w:r>
        <w:tab/>
      </w:r>
      <w:r>
        <w:t xml:space="preserve">8, 14</w:t>
      </w:r>
    </w:p>
    <w:p>
      <w:pPr>
        <w:keepLines/>
        <w:tabs>
          <w:tab w:val="right" w:leader="dot" w:pos="9360"/>
        </w:tabs>
        <w:spacing w:before="252" w:after="0" w:line="336" w:lineRule="exact"/>
        <w:ind w:left="420" w:right="1440" w:hanging="420"/>
      </w:pPr>
      <w:r>
        <w:rPr>
          <w:i/>
          <w:iCs/>
        </w:rPr>
        <w:t xml:space="preserve">Iancu</w:t>
      </w:r>
      <w:r>
        <w:rPr>
          <w:i/>
          <w:iCs/>
        </w:rPr>
        <w:t xml:space="preserve"> </w:t>
      </w:r>
      <w:r>
        <w:rPr>
          <w:i/>
          <w:iCs/>
        </w:rPr>
        <w:t xml:space="preserve">v.</w:t>
      </w:r>
      <w:r>
        <w:rPr>
          <w:i/>
          <w:iCs/>
        </w:rPr>
        <w:t xml:space="preserve"> </w:t>
      </w:r>
      <w:r>
        <w:rPr>
          <w:i/>
          <w:iCs/>
        </w:rPr>
        <w:t xml:space="preserve">Brunetti</w:t>
      </w:r>
      <w:r>
        <w:t xml:space="preserve">,</w:t>
      </w:r>
      <w:r>
        <w:t xml:space="preserve"> </w:t>
      </w:r>
      <w:r>
        <w:t xml:space="preserve">139</w:t>
      </w:r>
      <w:r>
        <w:t xml:space="preserve"> </w:t>
      </w:r>
      <w:r>
        <w:t xml:space="preserve">S.</w:t>
      </w:r>
      <w:r>
        <w:t xml:space="preserve"> </w:t>
      </w:r>
      <w:r>
        <w:t xml:space="preserve">Ct.</w:t>
      </w:r>
      <w:r>
        <w:t xml:space="preserve"> </w:t>
      </w:r>
      <w:r>
        <w:t xml:space="preserve">2294</w:t>
      </w:r>
      <w:r>
        <w:t xml:space="preserve"> </w:t>
      </w:r>
      <w:r>
        <w:t xml:space="preserve">(2019)</w:t>
      </w:r>
      <w:r>
        <w:t xml:space="preserve">   </w:t>
      </w:r>
      <w:r>
        <w:tab/>
      </w:r>
      <w:r>
        <w:t xml:space="preserve">16</w:t>
      </w:r>
    </w:p>
    <w:p>
      <w:pPr>
        <w:keepLines/>
        <w:tabs>
          <w:tab w:val="right" w:leader="dot" w:pos="9360"/>
        </w:tabs>
        <w:spacing w:before="252" w:after="0" w:line="336" w:lineRule="exact"/>
        <w:ind w:left="420" w:right="1440" w:hanging="420"/>
      </w:pPr>
      <w:r>
        <w:rPr>
          <w:i/>
          <w:iCs/>
        </w:rPr>
        <w:t xml:space="preserve">Leech</w:t>
      </w:r>
      <w:r>
        <w:rPr>
          <w:i/>
          <w:iCs/>
        </w:rPr>
        <w:t xml:space="preserve"> </w:t>
      </w:r>
      <w:r>
        <w:rPr>
          <w:i/>
          <w:iCs/>
        </w:rPr>
        <w:t xml:space="preserve">v.</w:t>
      </w:r>
      <w:r>
        <w:rPr>
          <w:i/>
          <w:iCs/>
        </w:rPr>
        <w:t xml:space="preserve"> </w:t>
      </w:r>
      <w:r>
        <w:rPr>
          <w:i/>
          <w:iCs/>
        </w:rPr>
        <w:t xml:space="preserve">American</w:t>
      </w:r>
      <w:r>
        <w:rPr>
          <w:i/>
          <w:iCs/>
        </w:rPr>
        <w:t xml:space="preserve"> </w:t>
      </w:r>
      <w:r>
        <w:rPr>
          <w:i/>
          <w:iCs/>
        </w:rPr>
        <w:t xml:space="preserve">Booksellers</w:t>
      </w:r>
      <w:r>
        <w:rPr>
          <w:i/>
          <w:iCs/>
        </w:rPr>
        <w:t xml:space="preserve"> </w:t>
      </w:r>
      <w:r>
        <w:rPr>
          <w:i/>
          <w:iCs/>
        </w:rPr>
        <w:t xml:space="preserve">Ass’n</w:t>
      </w:r>
      <w:r>
        <w:t xml:space="preserve">,</w:t>
      </w:r>
      <w:r>
        <w:t xml:space="preserve"> </w:t>
      </w:r>
      <w:r>
        <w:t xml:space="preserve">582</w:t>
      </w:r>
      <w:r>
        <w:t xml:space="preserve"> </w:t>
      </w:r>
      <w:r>
        <w:t xml:space="preserve">S.W.2d</w:t>
      </w:r>
      <w:r>
        <w:t xml:space="preserve"> </w:t>
      </w:r>
      <w:r>
        <w:t xml:space="preserve">738</w:t>
      </w:r>
      <w:r>
        <w:t xml:space="preserve"> </w:t>
      </w:r>
      <w:r>
        <w:t xml:space="preserve">(Tenn.</w:t>
      </w:r>
      <w:r>
        <w:t xml:space="preserve"> </w:t>
      </w:r>
      <w:r>
        <w:t xml:space="preserve">1979)</w:t>
      </w:r>
      <w:r>
        <w:t xml:space="preserve">   </w:t>
      </w:r>
      <w:r>
        <w:tab/>
      </w:r>
      <w:r>
        <w:t xml:space="preserve">7</w:t>
      </w:r>
    </w:p>
    <w:p>
      <w:pPr>
        <w:keepLines/>
        <w:tabs>
          <w:tab w:val="right" w:leader="dot" w:pos="9360"/>
        </w:tabs>
        <w:spacing w:before="252" w:after="0" w:line="336" w:lineRule="exact"/>
        <w:ind w:left="420" w:right="1440" w:hanging="420"/>
      </w:pPr>
      <w:r>
        <w:rPr>
          <w:i/>
          <w:iCs/>
        </w:rPr>
        <w:t xml:space="preserve">Luke</w:t>
      </w:r>
      <w:r>
        <w:rPr>
          <w:i/>
          <w:iCs/>
        </w:rPr>
        <w:t xml:space="preserve"> </w:t>
      </w:r>
      <w:r>
        <w:rPr>
          <w:i/>
          <w:iCs/>
        </w:rPr>
        <w:t xml:space="preserve">Records</w:t>
      </w:r>
      <w:r>
        <w:rPr>
          <w:i/>
          <w:iCs/>
        </w:rPr>
        <w:t xml:space="preserve"> </w:t>
      </w:r>
      <w:r>
        <w:rPr>
          <w:i/>
          <w:iCs/>
        </w:rPr>
        <w:t xml:space="preserve">v.</w:t>
      </w:r>
      <w:r>
        <w:rPr>
          <w:i/>
          <w:iCs/>
        </w:rPr>
        <w:t xml:space="preserve"> </w:t>
      </w:r>
      <w:r>
        <w:rPr>
          <w:i/>
          <w:iCs/>
        </w:rPr>
        <w:t xml:space="preserve">Navarro</w:t>
      </w:r>
      <w:r>
        <w:t xml:space="preserve">,</w:t>
      </w:r>
      <w:r>
        <w:t xml:space="preserve"> </w:t>
      </w:r>
      <w:r>
        <w:t xml:space="preserve">960</w:t>
      </w:r>
      <w:r>
        <w:t xml:space="preserve"> </w:t>
      </w:r>
      <w:r>
        <w:t xml:space="preserve">F.2d</w:t>
      </w:r>
      <w:r>
        <w:t xml:space="preserve"> </w:t>
      </w:r>
      <w:r>
        <w:t xml:space="preserve">134</w:t>
      </w:r>
      <w:r>
        <w:t xml:space="preserve"> </w:t>
      </w:r>
      <w:r>
        <w:t xml:space="preserve">(11th</w:t>
      </w:r>
      <w:r>
        <w:t xml:space="preserve"> </w:t>
      </w:r>
      <w:r>
        <w:t xml:space="preserve">Cir.</w:t>
      </w:r>
      <w:r>
        <w:t xml:space="preserve"> </w:t>
      </w:r>
      <w:r>
        <w:t xml:space="preserve">1992)</w:t>
      </w:r>
      <w:r>
        <w:t xml:space="preserve">   </w:t>
      </w:r>
      <w:r>
        <w:tab/>
      </w:r>
      <w:r>
        <w:t xml:space="preserve">16</w:t>
      </w:r>
    </w:p>
    <w:p>
      <w:pPr>
        <w:keepLines/>
        <w:tabs>
          <w:tab w:val="right" w:leader="dot" w:pos="9360"/>
        </w:tabs>
        <w:spacing w:before="252" w:after="0" w:line="336" w:lineRule="exact"/>
        <w:ind w:left="420" w:right="1440" w:hanging="420"/>
      </w:pPr>
      <w:r>
        <w:rPr>
          <w:i/>
          <w:iCs/>
        </w:rPr>
        <w:t xml:space="preserve">Matal</w:t>
      </w:r>
      <w:r>
        <w:rPr>
          <w:i/>
          <w:iCs/>
        </w:rPr>
        <w:t xml:space="preserve"> </w:t>
      </w:r>
      <w:r>
        <w:rPr>
          <w:i/>
          <w:iCs/>
        </w:rPr>
        <w:t xml:space="preserve">v.</w:t>
      </w:r>
      <w:r>
        <w:rPr>
          <w:i/>
          <w:iCs/>
        </w:rPr>
        <w:t xml:space="preserve"> </w:t>
      </w:r>
      <w:r>
        <w:rPr>
          <w:i/>
          <w:iCs/>
        </w:rPr>
        <w:t xml:space="preserve">Tam</w:t>
      </w:r>
      <w:r>
        <w:t xml:space="preserve">,</w:t>
      </w:r>
      <w:r>
        <w:t xml:space="preserve"> </w:t>
      </w:r>
      <w:r>
        <w:t xml:space="preserve">137</w:t>
      </w:r>
      <w:r>
        <w:t xml:space="preserve"> </w:t>
      </w:r>
      <w:r>
        <w:t xml:space="preserve">S.</w:t>
      </w:r>
      <w:r>
        <w:t xml:space="preserve"> </w:t>
      </w:r>
      <w:r>
        <w:t xml:space="preserve">Ct.</w:t>
      </w:r>
      <w:r>
        <w:t xml:space="preserve"> </w:t>
      </w:r>
      <w:r>
        <w:t xml:space="preserve">1744</w:t>
      </w:r>
      <w:r>
        <w:t xml:space="preserve"> </w:t>
      </w:r>
      <w:r>
        <w:t xml:space="preserve">(2017)</w:t>
      </w:r>
      <w:r>
        <w:t xml:space="preserve">   </w:t>
      </w:r>
      <w:r>
        <w:tab/>
      </w:r>
      <w:r>
        <w:t xml:space="preserve">6, 16</w:t>
      </w:r>
    </w:p>
    <w:p>
      <w:pPr>
        <w:keepLines/>
        <w:tabs>
          <w:tab w:val="right" w:leader="dot" w:pos="9360"/>
        </w:tabs>
        <w:spacing w:before="252" w:after="0" w:line="336" w:lineRule="exact"/>
        <w:ind w:left="420" w:right="1440" w:hanging="420"/>
      </w:pPr>
      <w:r>
        <w:rPr>
          <w:i/>
          <w:iCs/>
        </w:rPr>
        <w:t xml:space="preserve">NAACP</w:t>
      </w:r>
      <w:r>
        <w:rPr>
          <w:i/>
          <w:iCs/>
        </w:rPr>
        <w:t xml:space="preserve"> </w:t>
      </w:r>
      <w:r>
        <w:rPr>
          <w:i/>
          <w:iCs/>
        </w:rPr>
        <w:t xml:space="preserve">v.</w:t>
      </w:r>
      <w:r>
        <w:rPr>
          <w:i/>
          <w:iCs/>
        </w:rPr>
        <w:t xml:space="preserve"> </w:t>
      </w:r>
      <w:r>
        <w:rPr>
          <w:i/>
          <w:iCs/>
        </w:rPr>
        <w:t xml:space="preserve">Ala.</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Paterson</w:t>
      </w:r>
      <w:r>
        <w:t xml:space="preserve">,</w:t>
      </w:r>
      <w:r>
        <w:t xml:space="preserve"> </w:t>
      </w:r>
      <w:r>
        <w:t xml:space="preserve">357</w:t>
      </w:r>
      <w:r>
        <w:t xml:space="preserve"> </w:t>
      </w:r>
      <w:r>
        <w:t xml:space="preserve">U.S.</w:t>
      </w:r>
      <w:r>
        <w:t xml:space="preserve"> </w:t>
      </w:r>
      <w:r>
        <w:t xml:space="preserve">449</w:t>
      </w:r>
      <w:r>
        <w:t xml:space="preserve"> </w:t>
      </w:r>
      <w:r>
        <w:t xml:space="preserve">(1958)</w:t>
      </w:r>
      <w:r>
        <w:t xml:space="preserve">   </w:t>
      </w:r>
      <w:r>
        <w:tab/>
      </w:r>
      <w:r>
        <w:t xml:space="preserve">12</w:t>
      </w:r>
    </w:p>
    <w:p>
      <w:pPr>
        <w:keepLines/>
        <w:tabs>
          <w:tab w:val="right" w:leader="dot" w:pos="9360"/>
        </w:tabs>
        <w:spacing w:before="252" w:after="0" w:line="336" w:lineRule="exact"/>
        <w:ind w:left="420" w:right="1440" w:hanging="420"/>
      </w:pPr>
      <w:r>
        <w:rPr>
          <w:i/>
          <w:iCs/>
        </w:rPr>
        <w:t xml:space="preserve">NAACP</w:t>
      </w:r>
      <w:r>
        <w:rPr>
          <w:i/>
          <w:iCs/>
        </w:rPr>
        <w:t xml:space="preserve"> </w:t>
      </w:r>
      <w:r>
        <w:rPr>
          <w:i/>
          <w:iCs/>
        </w:rPr>
        <w:t xml:space="preserve">v.</w:t>
      </w:r>
      <w:r>
        <w:rPr>
          <w:i/>
          <w:iCs/>
        </w:rPr>
        <w:t xml:space="preserve"> </w:t>
      </w:r>
      <w:r>
        <w:rPr>
          <w:i/>
          <w:iCs/>
        </w:rPr>
        <w:t xml:space="preserve">Button</w:t>
      </w:r>
      <w:r>
        <w:t xml:space="preserve">,</w:t>
      </w:r>
      <w:r>
        <w:t xml:space="preserve"> </w:t>
      </w:r>
      <w:r>
        <w:t xml:space="preserve">371</w:t>
      </w:r>
      <w:r>
        <w:t xml:space="preserve"> </w:t>
      </w:r>
      <w:r>
        <w:t xml:space="preserve">U.S.</w:t>
      </w:r>
      <w:r>
        <w:t xml:space="preserve"> </w:t>
      </w:r>
      <w:r>
        <w:t xml:space="preserve">415</w:t>
      </w:r>
      <w:r>
        <w:t xml:space="preserve"> </w:t>
      </w:r>
      <w:r>
        <w:t xml:space="preserve">(1963)</w:t>
      </w:r>
      <w:r>
        <w:t xml:space="preserve">   </w:t>
      </w:r>
      <w:r>
        <w:tab/>
      </w:r>
      <w:r>
        <w:t xml:space="preserve">8</w:t>
      </w:r>
    </w:p>
    <w:p>
      <w:pPr>
        <w:keepLines/>
        <w:tabs>
          <w:tab w:val="right" w:leader="dot" w:pos="9360"/>
        </w:tabs>
        <w:spacing w:before="252" w:after="0" w:line="336" w:lineRule="exact"/>
        <w:ind w:left="420" w:right="1440" w:hanging="420"/>
      </w:pPr>
      <w:r>
        <w:rPr>
          <w:i/>
          <w:iCs/>
        </w:rPr>
        <w:t xml:space="preserve">Noto</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367</w:t>
      </w:r>
      <w:r>
        <w:t xml:space="preserve"> </w:t>
      </w:r>
      <w:r>
        <w:t xml:space="preserve">U.S.</w:t>
      </w:r>
      <w:r>
        <w:t xml:space="preserve"> </w:t>
      </w:r>
      <w:r>
        <w:t xml:space="preserve">290</w:t>
      </w:r>
      <w:r>
        <w:t xml:space="preserve"> </w:t>
      </w:r>
      <w:r>
        <w:t xml:space="preserve">(1961)</w:t>
      </w:r>
      <w:r>
        <w:t xml:space="preserve">   </w:t>
      </w:r>
      <w:r>
        <w:tab/>
      </w:r>
      <w:r>
        <w:t xml:space="preserve">16</w:t>
      </w:r>
    </w:p>
    <w:p>
      <w:pPr>
        <w:keepLines/>
        <w:tabs>
          <w:tab w:val="right" w:leader="dot" w:pos="9360"/>
        </w:tabs>
        <w:spacing w:before="252" w:after="0" w:line="336" w:lineRule="exact"/>
        <w:ind w:left="420" w:right="1440" w:hanging="420"/>
      </w:pPr>
      <w:r>
        <w:rPr>
          <w:i/>
          <w:iCs/>
        </w:rPr>
        <w:t xml:space="preserve">Reno</w:t>
      </w:r>
      <w:r>
        <w:rPr>
          <w:i/>
          <w:iCs/>
        </w:rPr>
        <w:t xml:space="preserve"> </w:t>
      </w:r>
      <w:r>
        <w:rPr>
          <w:i/>
          <w:iCs/>
        </w:rPr>
        <w:t xml:space="preserve">v.</w:t>
      </w:r>
      <w:r>
        <w:rPr>
          <w:i/>
          <w:iCs/>
        </w:rPr>
        <w:t xml:space="preserve"> </w:t>
      </w:r>
      <w:r>
        <w:rPr>
          <w:i/>
          <w:iCs/>
        </w:rPr>
        <w:t xml:space="preserve">ACLU</w:t>
      </w:r>
      <w:r>
        <w:t xml:space="preserve">,</w:t>
      </w:r>
      <w:r>
        <w:t xml:space="preserve"> </w:t>
      </w:r>
      <w:r>
        <w:t xml:space="preserve">521</w:t>
      </w:r>
      <w:r>
        <w:t xml:space="preserve"> </w:t>
      </w:r>
      <w:r>
        <w:t xml:space="preserve">U.S.</w:t>
      </w:r>
      <w:r>
        <w:t xml:space="preserve"> </w:t>
      </w:r>
      <w:r>
        <w:t xml:space="preserve">844</w:t>
      </w:r>
      <w:r>
        <w:t xml:space="preserve"> </w:t>
      </w:r>
      <w:r>
        <w:t xml:space="preserve">(1997)</w:t>
      </w:r>
      <w:r>
        <w:t xml:space="preserve">   </w:t>
      </w:r>
      <w:r>
        <w:tab/>
      </w:r>
      <w:r>
        <w:t xml:space="preserve">6</w:t>
      </w:r>
    </w:p>
    <w:p>
      <w:pPr>
        <w:keepLines/>
        <w:tabs>
          <w:tab w:val="right" w:leader="dot" w:pos="9360"/>
        </w:tabs>
        <w:spacing w:before="252" w:after="0" w:line="336" w:lineRule="exact"/>
        <w:ind w:left="420" w:right="1440" w:hanging="420"/>
      </w:pPr>
      <w:r>
        <w:rPr>
          <w:i/>
          <w:iCs/>
        </w:rPr>
        <w:t xml:space="preserve">Street</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York</w:t>
      </w:r>
      <w:r>
        <w:t xml:space="preserve">,</w:t>
      </w:r>
      <w:r>
        <w:t xml:space="preserve"> </w:t>
      </w:r>
      <w:r>
        <w:t xml:space="preserve">394</w:t>
      </w:r>
      <w:r>
        <w:t xml:space="preserve"> </w:t>
      </w:r>
      <w:r>
        <w:t xml:space="preserve">U.S.</w:t>
      </w:r>
      <w:r>
        <w:t xml:space="preserve"> </w:t>
      </w:r>
      <w:r>
        <w:t xml:space="preserve">576</w:t>
      </w:r>
      <w:r>
        <w:t xml:space="preserve"> </w:t>
      </w:r>
      <w:r>
        <w:t xml:space="preserve">(1969)</w:t>
      </w:r>
      <w:r>
        <w:t xml:space="preserve">   </w:t>
      </w:r>
      <w:r>
        <w:tab/>
      </w:r>
      <w:r>
        <w:t xml:space="preserve">9</w:t>
      </w:r>
    </w:p>
    <w:p>
      <w:pPr>
        <w:keepLines/>
        <w:tabs>
          <w:tab w:val="right" w:leader="dot" w:pos="9360"/>
        </w:tabs>
        <w:spacing w:before="252" w:after="0" w:line="336"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Cheeseboro</w:t>
      </w:r>
      <w:r>
        <w:t xml:space="preserve">,</w:t>
      </w:r>
      <w:r>
        <w:t xml:space="preserve"> </w:t>
      </w:r>
      <w:r>
        <w:t xml:space="preserve">552</w:t>
      </w:r>
      <w:r>
        <w:t xml:space="preserve"> </w:t>
      </w:r>
      <w:r>
        <w:t xml:space="preserve">S.E.2d</w:t>
      </w:r>
      <w:r>
        <w:t xml:space="preserve"> </w:t>
      </w:r>
      <w:r>
        <w:t xml:space="preserve">300</w:t>
      </w:r>
      <w:r>
        <w:t xml:space="preserve"> </w:t>
      </w:r>
      <w:r>
        <w:t xml:space="preserve">(S.C.</w:t>
      </w:r>
      <w:r>
        <w:t xml:space="preserve"> </w:t>
      </w:r>
      <w:r>
        <w:t xml:space="preserve">2001)</w:t>
      </w:r>
      <w:r>
        <w:t xml:space="preserve">   </w:t>
      </w:r>
      <w:r>
        <w:tab/>
      </w:r>
      <w:r>
        <w:t xml:space="preserve">9, 19</w:t>
      </w:r>
    </w:p>
    <w:p>
      <w:pPr>
        <w:keepLines/>
        <w:tabs>
          <w:tab w:val="right" w:leader="dot" w:pos="9360"/>
        </w:tabs>
        <w:spacing w:before="252" w:after="0" w:line="336"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McCary</w:t>
      </w:r>
      <w:r>
        <w:t xml:space="preserve">,</w:t>
      </w:r>
      <w:r>
        <w:t xml:space="preserve"> </w:t>
      </w:r>
      <w:r>
        <w:t xml:space="preserve">119</w:t>
      </w:r>
      <w:r>
        <w:t xml:space="preserve"> </w:t>
      </w:r>
      <w:r>
        <w:t xml:space="preserve">S.W.3d</w:t>
      </w:r>
      <w:r>
        <w:t xml:space="preserve"> </w:t>
      </w:r>
      <w:r>
        <w:t xml:space="preserve">226</w:t>
      </w:r>
      <w:r>
        <w:t xml:space="preserve"> </w:t>
      </w:r>
      <w:r>
        <w:t xml:space="preserve">(Tenn.</w:t>
      </w:r>
      <w:r>
        <w:t xml:space="preserve"> </w:t>
      </w:r>
      <w:r>
        <w:t xml:space="preserve">Crim.</w:t>
      </w:r>
      <w:r>
        <w:t xml:space="preserve"> </w:t>
      </w:r>
      <w:r>
        <w:t xml:space="preserve">App.</w:t>
      </w:r>
      <w:r>
        <w:t xml:space="preserve"> </w:t>
      </w:r>
      <w:r>
        <w:t xml:space="preserve">2003)</w:t>
      </w:r>
      <w:r>
        <w:t xml:space="preserve">   </w:t>
      </w:r>
      <w:r>
        <w:tab/>
      </w:r>
      <w:r>
        <w:t xml:space="preserve">10</w:t>
      </w:r>
    </w:p>
    <w:p>
      <w:pPr>
        <w:keepLines/>
        <w:tabs>
          <w:tab w:val="right" w:leader="dot" w:pos="9360"/>
        </w:tabs>
        <w:spacing w:before="252" w:after="0" w:line="336"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Perez</w:t>
      </w:r>
      <w:r>
        <w:t xml:space="preserve">,</w:t>
      </w:r>
      <w:r>
        <w:t xml:space="preserve"> </w:t>
      </w:r>
      <w:r>
        <w:t xml:space="preserve">641</w:t>
      </w:r>
      <w:r>
        <w:t xml:space="preserve"> </w:t>
      </w:r>
      <w:r>
        <w:t xml:space="preserve">S.E.2d</w:t>
      </w:r>
      <w:r>
        <w:t xml:space="preserve"> </w:t>
      </w:r>
      <w:r>
        <w:t xml:space="preserve">844</w:t>
      </w:r>
      <w:r>
        <w:t xml:space="preserve"> </w:t>
      </w:r>
      <w:r>
        <w:t xml:space="preserve">(N.C.</w:t>
      </w:r>
      <w:r>
        <w:t xml:space="preserve"> </w:t>
      </w:r>
      <w:r>
        <w:t xml:space="preserve">App.</w:t>
      </w:r>
      <w:r>
        <w:t xml:space="preserve"> </w:t>
      </w:r>
      <w:r>
        <w:t xml:space="preserve">2007)</w:t>
      </w:r>
      <w:r>
        <w:t xml:space="preserve">   </w:t>
      </w:r>
      <w:r>
        <w:tab/>
      </w:r>
      <w:r>
        <w:t xml:space="preserve">11</w:t>
      </w:r>
    </w:p>
    <w:p>
      <w:pPr>
        <w:keepLines/>
        <w:tabs>
          <w:tab w:val="right" w:leader="dot" w:pos="9360"/>
        </w:tabs>
        <w:spacing w:before="252" w:after="0" w:line="336"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Reynolds</w:t>
      </w:r>
      <w:r>
        <w:t xml:space="preserve">,</w:t>
      </w:r>
      <w:r>
        <w:t xml:space="preserve"> </w:t>
      </w:r>
      <w:r>
        <w:t xml:space="preserve">2020</w:t>
      </w:r>
      <w:r>
        <w:t xml:space="preserve"> </w:t>
      </w:r>
      <w:r>
        <w:t xml:space="preserve">WL</w:t>
      </w:r>
      <w:r>
        <w:t xml:space="preserve"> </w:t>
      </w:r>
      <w:r>
        <w:t xml:space="preserve">3412275</w:t>
      </w:r>
      <w:r>
        <w:t xml:space="preserve"> </w:t>
      </w:r>
      <w:r>
        <w:t xml:space="preserve">(Tenn.</w:t>
      </w:r>
      <w:r>
        <w:t xml:space="preserve"> </w:t>
      </w:r>
      <w:r>
        <w:t xml:space="preserve">Crim.</w:t>
      </w:r>
      <w:r>
        <w:t xml:space="preserve"> </w:t>
      </w:r>
      <w:r>
        <w:t xml:space="preserve">App.</w:t>
      </w:r>
      <w:r>
        <w:t xml:space="preserve"> </w:t>
      </w:r>
      <w:r>
        <w:t xml:space="preserve">June</w:t>
      </w:r>
      <w:r>
        <w:t xml:space="preserve"> </w:t>
      </w:r>
      <w:r>
        <w:t xml:space="preserve">22,</w:t>
      </w:r>
      <w:r>
        <w:t xml:space="preserve"> </w:t>
      </w:r>
      <w:r>
        <w:t xml:space="preserve">2020)</w:t>
      </w:r>
      <w:r>
        <w:t xml:space="preserve">   </w:t>
      </w:r>
      <w:r>
        <w:tab/>
      </w:r>
      <w:r>
        <w:t xml:space="preserve">18</w:t>
      </w:r>
    </w:p>
    <w:p>
      <w:pPr>
        <w:keepLines/>
        <w:tabs>
          <w:tab w:val="right" w:leader="dot" w:pos="9360"/>
        </w:tabs>
        <w:spacing w:before="252" w:after="0" w:line="336"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Skinner</w:t>
      </w:r>
      <w:r>
        <w:t xml:space="preserve">,</w:t>
      </w:r>
      <w:r>
        <w:t xml:space="preserve"> </w:t>
      </w:r>
      <w:r>
        <w:t xml:space="preserve">218</w:t>
      </w:r>
      <w:r>
        <w:t xml:space="preserve"> </w:t>
      </w:r>
      <w:r>
        <w:t xml:space="preserve">N.J.</w:t>
      </w:r>
      <w:r>
        <w:t xml:space="preserve"> </w:t>
      </w:r>
      <w:r>
        <w:t xml:space="preserve">496</w:t>
      </w:r>
      <w:r>
        <w:t xml:space="preserve"> </w:t>
      </w:r>
      <w:r>
        <w:t xml:space="preserve">(N.J.</w:t>
      </w:r>
      <w:r>
        <w:t xml:space="preserve"> </w:t>
      </w:r>
      <w:r>
        <w:t xml:space="preserve">2014)</w:t>
      </w:r>
      <w:r>
        <w:t xml:space="preserve">   </w:t>
      </w:r>
      <w:r>
        <w:tab/>
      </w:r>
      <w:r>
        <w:t xml:space="preserve">8, 19</w:t>
      </w:r>
    </w:p>
    <w:p>
      <w:pPr>
        <w:keepLines/>
        <w:tabs>
          <w:tab w:val="right" w:leader="dot" w:pos="9360"/>
        </w:tabs>
        <w:spacing w:before="252" w:after="0" w:line="336" w:lineRule="exact"/>
        <w:ind w:left="420" w:right="1440" w:hanging="420"/>
      </w:pPr>
      <w:r>
        <w:rPr>
          <w:i/>
          <w:iCs/>
        </w:rPr>
        <w:t xml:space="preserve">Texas</w:t>
      </w:r>
      <w:r>
        <w:rPr>
          <w:i/>
          <w:iCs/>
        </w:rPr>
        <w:t xml:space="preserve"> </w:t>
      </w:r>
      <w:r>
        <w:rPr>
          <w:i/>
          <w:iCs/>
        </w:rPr>
        <w:t xml:space="preserve">v.</w:t>
      </w:r>
      <w:r>
        <w:rPr>
          <w:i/>
          <w:iCs/>
        </w:rPr>
        <w:t xml:space="preserve"> </w:t>
      </w:r>
      <w:r>
        <w:rPr>
          <w:i/>
          <w:iCs/>
        </w:rPr>
        <w:t xml:space="preserve">Johnson</w:t>
      </w:r>
      <w:r>
        <w:t xml:space="preserve">,</w:t>
      </w:r>
      <w:r>
        <w:t xml:space="preserve"> </w:t>
      </w:r>
      <w:r>
        <w:t xml:space="preserve">491</w:t>
      </w:r>
      <w:r>
        <w:t xml:space="preserve"> </w:t>
      </w:r>
      <w:r>
        <w:t xml:space="preserve">U.S.</w:t>
      </w:r>
      <w:r>
        <w:t xml:space="preserve"> </w:t>
      </w:r>
      <w:r>
        <w:t xml:space="preserve">397</w:t>
      </w:r>
      <w:r>
        <w:t xml:space="preserve"> </w:t>
      </w:r>
      <w:r>
        <w:t xml:space="preserve">(1989)</w:t>
      </w:r>
      <w:r>
        <w:t xml:space="preserve">   </w:t>
      </w:r>
      <w:r>
        <w:tab/>
      </w:r>
      <w:r>
        <w:t xml:space="preserve">13</w:t>
      </w:r>
    </w:p>
    <w:p>
      <w:pPr>
        <w:keepLines/>
        <w:tabs>
          <w:tab w:val="right" w:leader="dot" w:pos="9360"/>
        </w:tabs>
        <w:spacing w:before="252" w:after="0" w:line="336" w:lineRule="exact"/>
        <w:ind w:left="420" w:right="144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Anderson</w:t>
      </w:r>
      <w:r>
        <w:t xml:space="preserve">,</w:t>
      </w:r>
      <w:r>
        <w:t xml:space="preserve"> </w:t>
      </w:r>
      <w:r>
        <w:t xml:space="preserve">333</w:t>
      </w:r>
      <w:r>
        <w:t xml:space="preserve"> </w:t>
      </w:r>
      <w:r>
        <w:t xml:space="preserve">Fed.</w:t>
      </w:r>
      <w:r>
        <w:t xml:space="preserve"> </w:t>
      </w:r>
      <w:r>
        <w:t xml:space="preserve">App’x</w:t>
      </w:r>
      <w:r>
        <w:t xml:space="preserve"> </w:t>
      </w:r>
      <w:r>
        <w:t xml:space="preserve">17</w:t>
      </w:r>
      <w:r>
        <w:t xml:space="preserve"> </w:t>
      </w:r>
      <w:r>
        <w:t xml:space="preserve">(6th</w:t>
      </w:r>
      <w:r>
        <w:t xml:space="preserve"> </w:t>
      </w:r>
      <w:r>
        <w:t xml:space="preserve">Cir.</w:t>
      </w:r>
      <w:r>
        <w:t xml:space="preserve"> </w:t>
      </w:r>
      <w:r>
        <w:t xml:space="preserve">2009)</w:t>
      </w:r>
      <w:r>
        <w:t xml:space="preserve">   </w:t>
      </w:r>
      <w:r>
        <w:tab/>
      </w:r>
      <w:r>
        <w:t xml:space="preserve">17</w:t>
      </w:r>
    </w:p>
    <w:p>
      <w:pPr>
        <w:keepLines/>
        <w:tabs>
          <w:tab w:val="right" w:leader="dot" w:pos="9360"/>
        </w:tabs>
        <w:spacing w:before="252" w:after="0" w:line="336" w:lineRule="exact"/>
        <w:ind w:left="420" w:right="144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Ford</w:t>
      </w:r>
      <w:r>
        <w:t xml:space="preserve">,</w:t>
      </w:r>
      <w:r>
        <w:t xml:space="preserve"> </w:t>
      </w:r>
      <w:r>
        <w:t xml:space="preserve">761</w:t>
      </w:r>
      <w:r>
        <w:t xml:space="preserve"> </w:t>
      </w:r>
      <w:r>
        <w:t xml:space="preserve">F.3d</w:t>
      </w:r>
      <w:r>
        <w:t xml:space="preserve"> </w:t>
      </w:r>
      <w:r>
        <w:t xml:space="preserve">641</w:t>
      </w:r>
      <w:r>
        <w:t xml:space="preserve"> </w:t>
      </w:r>
      <w:r>
        <w:t xml:space="preserve">(6th</w:t>
      </w:r>
      <w:r>
        <w:t xml:space="preserve"> </w:t>
      </w:r>
      <w:r>
        <w:t xml:space="preserve">Cir.</w:t>
      </w:r>
      <w:r>
        <w:t xml:space="preserve"> </w:t>
      </w:r>
      <w:r>
        <w:t xml:space="preserve">2014)</w:t>
      </w:r>
      <w:r>
        <w:t xml:space="preserve">   </w:t>
      </w:r>
      <w:r>
        <w:tab/>
      </w:r>
      <w:r>
        <w:t xml:space="preserve">17</w:t>
      </w:r>
    </w:p>
    <w:p>
      <w:pPr>
        <w:keepLines/>
        <w:tabs>
          <w:tab w:val="right" w:leader="dot" w:pos="9360"/>
        </w:tabs>
        <w:spacing w:before="252" w:after="0" w:line="336" w:lineRule="exact"/>
        <w:ind w:left="420" w:right="144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Newsom</w:t>
      </w:r>
      <w:r>
        <w:t xml:space="preserve">,</w:t>
      </w:r>
      <w:r>
        <w:t xml:space="preserve"> </w:t>
      </w:r>
      <w:r>
        <w:t xml:space="preserve">452</w:t>
      </w:r>
      <w:r>
        <w:t xml:space="preserve"> </w:t>
      </w:r>
      <w:r>
        <w:t xml:space="preserve">F.3d</w:t>
      </w:r>
      <w:r>
        <w:t xml:space="preserve"> </w:t>
      </w:r>
      <w:r>
        <w:t xml:space="preserve">593</w:t>
      </w:r>
      <w:r>
        <w:t xml:space="preserve"> </w:t>
      </w:r>
      <w:r>
        <w:t xml:space="preserve">(6th</w:t>
      </w:r>
      <w:r>
        <w:t xml:space="preserve"> </w:t>
      </w:r>
      <w:r>
        <w:t xml:space="preserve">Cir.</w:t>
      </w:r>
      <w:r>
        <w:t xml:space="preserve"> </w:t>
      </w:r>
      <w:r>
        <w:t xml:space="preserve">2006)</w:t>
      </w:r>
      <w:r>
        <w:t xml:space="preserve">   </w:t>
      </w:r>
      <w:r>
        <w:tab/>
      </w:r>
      <w:r>
        <w:t xml:space="preserve">17</w:t>
      </w:r>
    </w:p>
    <w:p>
      <w:pPr>
        <w:keepLines/>
        <w:tabs>
          <w:tab w:val="right" w:leader="dot" w:pos="9360"/>
        </w:tabs>
        <w:spacing w:before="252" w:after="0" w:line="336" w:lineRule="exact"/>
        <w:ind w:left="420" w:right="144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Robel</w:t>
      </w:r>
      <w:r>
        <w:t xml:space="preserve">,</w:t>
      </w:r>
      <w:r>
        <w:t xml:space="preserve"> </w:t>
      </w:r>
      <w:r>
        <w:t xml:space="preserve">389</w:t>
      </w:r>
      <w:r>
        <w:t xml:space="preserve"> </w:t>
      </w:r>
      <w:r>
        <w:t xml:space="preserve">U.S.</w:t>
      </w:r>
      <w:r>
        <w:t xml:space="preserve"> </w:t>
      </w:r>
      <w:r>
        <w:t xml:space="preserve">258</w:t>
      </w:r>
      <w:r>
        <w:t xml:space="preserve"> </w:t>
      </w:r>
      <w:r>
        <w:t xml:space="preserve">(1967)</w:t>
      </w:r>
      <w:r>
        <w:t xml:space="preserve">   </w:t>
      </w:r>
      <w:r>
        <w:tab/>
      </w:r>
      <w:r>
        <w:t xml:space="preserve">18</w:t>
      </w:r>
    </w:p>
    <w:p>
      <w:pPr>
        <w:keepLines/>
        <w:tabs>
          <w:tab w:val="right" w:leader="dot" w:pos="9360"/>
        </w:tabs>
        <w:spacing w:before="252" w:after="0" w:line="336" w:lineRule="exact"/>
        <w:ind w:left="420" w:right="144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Serrano-Ramirez</w:t>
      </w:r>
      <w:r>
        <w:t xml:space="preserve">,</w:t>
      </w:r>
      <w:r>
        <w:t xml:space="preserve"> </w:t>
      </w:r>
      <w:r>
        <w:t xml:space="preserve">319</w:t>
      </w:r>
      <w:r>
        <w:t xml:space="preserve"> </w:t>
      </w:r>
      <w:r>
        <w:t xml:space="preserve">F.</w:t>
      </w:r>
      <w:r>
        <w:t xml:space="preserve"> </w:t>
      </w:r>
      <w:r>
        <w:t xml:space="preserve">Supp.</w:t>
      </w:r>
      <w:r>
        <w:t xml:space="preserve"> </w:t>
      </w:r>
      <w:r>
        <w:t xml:space="preserve">3d</w:t>
      </w:r>
      <w:r>
        <w:t xml:space="preserve"> </w:t>
      </w:r>
      <w:r>
        <w:t xml:space="preserve">918</w:t>
      </w:r>
      <w:r>
        <w:t xml:space="preserve"> </w:t>
      </w:r>
      <w:r>
        <w:t xml:space="preserve">(M.D.</w:t>
      </w:r>
      <w:r>
        <w:t xml:space="preserve"> </w:t>
      </w:r>
      <w:r>
        <w:t xml:space="preserve">Tenn.</w:t>
      </w:r>
      <w:r>
        <w:t xml:space="preserve"> </w:t>
      </w:r>
      <w:r>
        <w:t xml:space="preserve">2018)</w:t>
      </w:r>
      <w:r>
        <w:t xml:space="preserve">   </w:t>
      </w:r>
      <w:r>
        <w:tab/>
      </w:r>
      <w:r>
        <w:t xml:space="preserve">17</w:t>
      </w:r>
    </w:p>
    <w:p>
      <w:pPr>
        <w:keepLines/>
        <w:tabs>
          <w:tab w:val="right" w:leader="dot" w:pos="9360"/>
        </w:tabs>
        <w:spacing w:before="252" w:after="0" w:line="336" w:lineRule="exact"/>
        <w:ind w:left="420" w:right="1440" w:hanging="420"/>
      </w:pPr>
      <w:r>
        <w:rPr>
          <w:i/>
          <w:iCs/>
        </w:rPr>
        <w:t xml:space="preserve">Uphaus</w:t>
      </w:r>
      <w:r>
        <w:rPr>
          <w:i/>
          <w:iCs/>
        </w:rPr>
        <w:t xml:space="preserve"> </w:t>
      </w:r>
      <w:r>
        <w:rPr>
          <w:i/>
          <w:iCs/>
        </w:rPr>
        <w:t xml:space="preserve">v.</w:t>
      </w:r>
      <w:r>
        <w:rPr>
          <w:i/>
          <w:iCs/>
        </w:rPr>
        <w:t xml:space="preserve"> </w:t>
      </w:r>
      <w:r>
        <w:rPr>
          <w:i/>
          <w:iCs/>
        </w:rPr>
        <w:t xml:space="preserve">Wyman</w:t>
      </w:r>
      <w:r>
        <w:t xml:space="preserve">,</w:t>
      </w:r>
      <w:r>
        <w:t xml:space="preserve"> </w:t>
      </w:r>
      <w:r>
        <w:t xml:space="preserve">360</w:t>
      </w:r>
      <w:r>
        <w:t xml:space="preserve"> </w:t>
      </w:r>
      <w:r>
        <w:t xml:space="preserve">U.S.</w:t>
      </w:r>
      <w:r>
        <w:t xml:space="preserve"> </w:t>
      </w:r>
      <w:r>
        <w:t xml:space="preserve">72</w:t>
      </w:r>
      <w:r>
        <w:t xml:space="preserve"> </w:t>
      </w:r>
      <w:r>
        <w:t xml:space="preserve">(1959)</w:t>
      </w:r>
      <w:r>
        <w:t xml:space="preserve">   </w:t>
      </w:r>
      <w:r>
        <w:tab/>
      </w:r>
      <w:r>
        <w:t xml:space="preserve">8</w:t>
      </w:r>
    </w:p>
    <w:p>
      <w:pPr>
        <w:keepLines/>
        <w:tabs>
          <w:tab w:val="right" w:leader="dot" w:pos="9360"/>
        </w:tabs>
        <w:spacing w:before="252" w:after="0" w:line="336" w:lineRule="exact"/>
        <w:ind w:left="420" w:right="1440" w:hanging="420"/>
      </w:pPr>
      <w:r>
        <w:rPr>
          <w:i/>
          <w:iCs/>
        </w:rPr>
        <w:t xml:space="preserve">Ward</w:t>
      </w:r>
      <w:r>
        <w:rPr>
          <w:i/>
          <w:iCs/>
        </w:rPr>
        <w:t xml:space="preserve"> </w:t>
      </w:r>
      <w:r>
        <w:rPr>
          <w:i/>
          <w:iCs/>
        </w:rPr>
        <w:t xml:space="preserve">v.</w:t>
      </w:r>
      <w:r>
        <w:rPr>
          <w:i/>
          <w:iCs/>
        </w:rPr>
        <w:t xml:space="preserve"> </w:t>
      </w:r>
      <w:r>
        <w:rPr>
          <w:i/>
          <w:iCs/>
        </w:rPr>
        <w:t xml:space="preserve">Rock</w:t>
      </w:r>
      <w:r>
        <w:rPr>
          <w:i/>
          <w:iCs/>
        </w:rPr>
        <w:t xml:space="preserve"> </w:t>
      </w:r>
      <w:r>
        <w:rPr>
          <w:i/>
          <w:iCs/>
        </w:rPr>
        <w:t xml:space="preserve">Against</w:t>
      </w:r>
      <w:r>
        <w:rPr>
          <w:i/>
          <w:iCs/>
        </w:rPr>
        <w:t xml:space="preserve"> </w:t>
      </w:r>
      <w:r>
        <w:rPr>
          <w:i/>
          <w:iCs/>
        </w:rPr>
        <w:t xml:space="preserve">Racism</w:t>
      </w:r>
      <w:r>
        <w:t xml:space="preserve">,</w:t>
      </w:r>
      <w:r>
        <w:t xml:space="preserve"> </w:t>
      </w:r>
      <w:r>
        <w:t xml:space="preserve">491</w:t>
      </w:r>
      <w:r>
        <w:t xml:space="preserve"> </w:t>
      </w:r>
      <w:r>
        <w:t xml:space="preserve">U.S.</w:t>
      </w:r>
      <w:r>
        <w:t xml:space="preserve"> </w:t>
      </w:r>
      <w:r>
        <w:t xml:space="preserve">781</w:t>
      </w:r>
      <w:r>
        <w:t xml:space="preserve"> </w:t>
      </w:r>
      <w:r>
        <w:t xml:space="preserve">(1989)</w:t>
      </w:r>
      <w:r>
        <w:t xml:space="preserve">   </w:t>
      </w:r>
      <w:r>
        <w:tab/>
      </w:r>
      <w:r>
        <w:t xml:space="preserve">8, 14</w:t>
      </w:r>
    </w:p>
    <w:p>
      <w:pPr>
        <w:keepLines/>
        <w:tabs>
          <w:tab w:val="right" w:leader="dot" w:pos="9360"/>
        </w:tabs>
        <w:spacing w:before="252" w:after="0" w:line="336" w:lineRule="exact"/>
        <w:ind w:left="420" w:right="1440" w:hanging="420"/>
      </w:pPr>
      <w:r>
        <w:rPr>
          <w:i/>
          <w:iCs/>
        </w:rPr>
        <w:t xml:space="preserve">Weidlich</w:t>
      </w:r>
      <w:r>
        <w:rPr>
          <w:i/>
          <w:iCs/>
        </w:rPr>
        <w:t xml:space="preserve"> </w:t>
      </w:r>
      <w:r>
        <w:rPr>
          <w:i/>
          <w:iCs/>
        </w:rPr>
        <w:t xml:space="preserve">v.</w:t>
      </w:r>
      <w:r>
        <w:rPr>
          <w:i/>
          <w:iCs/>
        </w:rPr>
        <w:t xml:space="preserve"> </w:t>
      </w:r>
      <w:r>
        <w:rPr>
          <w:i/>
          <w:iCs/>
        </w:rPr>
        <w:t xml:space="preserve">Rung</w:t>
      </w:r>
      <w:r>
        <w:t xml:space="preserve">,</w:t>
      </w:r>
      <w:r>
        <w:t xml:space="preserve"> </w:t>
      </w:r>
      <w:r>
        <w:t xml:space="preserve">2017</w:t>
      </w:r>
      <w:r>
        <w:t xml:space="preserve"> </w:t>
      </w:r>
      <w:r>
        <w:t xml:space="preserve">WL</w:t>
      </w:r>
      <w:r>
        <w:t xml:space="preserve"> </w:t>
      </w:r>
      <w:r>
        <w:t xml:space="preserve">4862068</w:t>
      </w:r>
      <w:r>
        <w:t xml:space="preserve"> </w:t>
      </w:r>
      <w:r>
        <w:t xml:space="preserve">(Tenn.</w:t>
      </w:r>
      <w:r>
        <w:t xml:space="preserve"> </w:t>
      </w:r>
      <w:r>
        <w:t xml:space="preserve">Ct.</w:t>
      </w:r>
      <w:r>
        <w:t xml:space="preserve"> </w:t>
      </w:r>
      <w:r>
        <w:t xml:space="preserve">App.</w:t>
      </w:r>
      <w:r>
        <w:t xml:space="preserve"> </w:t>
      </w:r>
      <w:r>
        <w:t xml:space="preserve">2017)</w:t>
      </w:r>
      <w:r>
        <w:t xml:space="preserve">   </w:t>
      </w:r>
      <w:r>
        <w:tab/>
      </w:r>
      <w:r>
        <w:t xml:space="preserve">6</w:t>
      </w:r>
    </w:p>
    <w:p>
      <w:pPr>
        <w:keepLines/>
        <w:tabs>
          <w:tab w:val="right" w:leader="dot" w:pos="9360"/>
        </w:tabs>
        <w:spacing w:before="252" w:after="0" w:line="336" w:lineRule="exact"/>
        <w:ind w:left="420" w:right="1440" w:hanging="420"/>
      </w:pPr>
      <w:r>
        <w:rPr>
          <w:i/>
          <w:iCs/>
        </w:rPr>
        <w:t xml:space="preserve">Young</w:t>
      </w:r>
      <w:r>
        <w:rPr>
          <w:i/>
          <w:iCs/>
        </w:rPr>
        <w:t xml:space="preserve"> </w:t>
      </w:r>
      <w:r>
        <w:rPr>
          <w:i/>
          <w:iCs/>
        </w:rPr>
        <w:t xml:space="preserve">v.</w:t>
      </w:r>
      <w:r>
        <w:rPr>
          <w:i/>
          <w:iCs/>
        </w:rPr>
        <w:t xml:space="preserve"> </w:t>
      </w:r>
      <w:r>
        <w:rPr>
          <w:i/>
          <w:iCs/>
        </w:rPr>
        <w:t xml:space="preserve">Giles</w:t>
      </w:r>
      <w:r>
        <w:rPr>
          <w:i/>
          <w:iCs/>
        </w:rPr>
        <w:t xml:space="preserve"> </w:t>
      </w:r>
      <w:r>
        <w:rPr>
          <w:i/>
          <w:iCs/>
        </w:rPr>
        <w:t xml:space="preserve">Cty.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t xml:space="preserve">,</w:t>
      </w:r>
      <w:r>
        <w:t xml:space="preserve"> </w:t>
      </w:r>
      <w:r>
        <w:t xml:space="preserve">181</w:t>
      </w:r>
      <w:r>
        <w:t xml:space="preserve"> </w:t>
      </w:r>
      <w:r>
        <w:t xml:space="preserve">F.</w:t>
      </w:r>
      <w:r>
        <w:t xml:space="preserve"> </w:t>
      </w:r>
      <w:r>
        <w:t xml:space="preserve">Supp.</w:t>
      </w:r>
      <w:r>
        <w:t xml:space="preserve"> </w:t>
      </w:r>
      <w:r>
        <w:t xml:space="preserve">3d</w:t>
      </w:r>
      <w:r>
        <w:t xml:space="preserve"> </w:t>
      </w:r>
      <w:r>
        <w:t xml:space="preserve">459</w:t>
      </w:r>
      <w:r>
        <w:t xml:space="preserve"> </w:t>
      </w:r>
      <w:r>
        <w:t xml:space="preserve">(M.D.</w:t>
      </w:r>
      <w:r>
        <w:t xml:space="preserve"> </w:t>
      </w:r>
      <w:r>
        <w:t xml:space="preserve">Tenn.</w:t>
      </w:r>
      <w:r>
        <w:t xml:space="preserve"> </w:t>
      </w:r>
      <w:r>
        <w:t xml:space="preserve">2015)</w:t>
      </w:r>
      <w:r>
        <w:t xml:space="preserve">   </w:t>
      </w:r>
      <w:r>
        <w:tab/>
      </w:r>
      <w:r>
        <w:t xml:space="preserve">6</w:t>
      </w:r>
    </w:p>
    <w:p>
      <w:pPr>
        <w:keepNext/>
        <w:keepLines/>
        <w:spacing w:before="336" w:after="112" w:line="336" w:lineRule="exact"/>
        <w:ind w:left="0" w:firstLine="0"/>
        <w:jc w:val="left"/>
      </w:pPr>
      <w:r>
        <w:rPr>
          <w:b/>
          <w:bCs/>
        </w:rPr>
        <w:t xml:space="preserve">Constitutions</w:t>
      </w:r>
    </w:p>
    <w:p>
      <w:pPr>
        <w:keepLines/>
        <w:tabs>
          <w:tab w:val="right" w:leader="dot" w:pos="9360"/>
        </w:tabs>
        <w:spacing w:before="252" w:after="0" w:line="336" w:lineRule="exact"/>
        <w:ind w:left="420" w:right="1440" w:hanging="420"/>
      </w:pPr>
      <w:r>
        <w:t xml:space="preserve">U.S.</w:t>
      </w:r>
      <w:r>
        <w:t xml:space="preserve"> </w:t>
      </w:r>
      <w:r>
        <w:t xml:space="preserve">Const.</w:t>
      </w:r>
      <w:r>
        <w:t xml:space="preserve"> </w:t>
      </w:r>
      <w:r>
        <w:t xml:space="preserve">amend.</w:t>
      </w:r>
      <w:r>
        <w:t xml:space="preserve"> </w:t>
      </w:r>
      <w:r>
        <w:t xml:space="preserve">I</w:t>
      </w:r>
      <w:r>
        <w:t xml:space="preserve">   </w:t>
      </w:r>
      <w:r>
        <w:tab/>
      </w:r>
      <w:r>
        <w:t xml:space="preserve">7</w:t>
      </w:r>
    </w:p>
    <w:p>
      <w:pPr>
        <w:keepLines/>
        <w:tabs>
          <w:tab w:val="right" w:leader="dot" w:pos="9360"/>
        </w:tabs>
        <w:spacing w:before="252" w:after="0" w:line="336" w:lineRule="exact"/>
        <w:ind w:left="420" w:right="1440" w:hanging="420"/>
      </w:pPr>
      <w:r>
        <w:t xml:space="preserve">Tenn.</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19</w:t>
      </w:r>
      <w:r>
        <w:t xml:space="preserve">   </w:t>
      </w:r>
      <w:r>
        <w:tab/>
      </w:r>
      <w:r>
        <w:t xml:space="preserve">7</w:t>
      </w:r>
    </w:p>
    <w:p>
      <w:pPr>
        <w:keepNext/>
        <w:keepLines/>
        <w:spacing w:before="336" w:after="112" w:line="336" w:lineRule="exact"/>
        <w:ind w:left="0" w:firstLine="0"/>
        <w:jc w:val="left"/>
      </w:pPr>
      <w:r>
        <w:rPr>
          <w:b/>
          <w:bCs/>
        </w:rPr>
        <w:t xml:space="preserve">Rules</w:t>
      </w:r>
    </w:p>
    <w:p>
      <w:pPr>
        <w:keepLines/>
        <w:tabs>
          <w:tab w:val="right" w:leader="dot" w:pos="9360"/>
        </w:tabs>
        <w:spacing w:before="252" w:after="0" w:line="336" w:lineRule="exact"/>
        <w:ind w:left="420" w:right="1440" w:hanging="420"/>
      </w:pPr>
      <w:r>
        <w:t xml:space="preserve">Tenn.</w:t>
      </w:r>
      <w:r>
        <w:t xml:space="preserve"> </w:t>
      </w:r>
      <w:r>
        <w:t xml:space="preserve">R.</w:t>
      </w:r>
      <w:r>
        <w:t xml:space="preserve"> </w:t>
      </w:r>
      <w:r>
        <w:t xml:space="preserve">Evid.</w:t>
      </w:r>
      <w:r>
        <w:t xml:space="preserve"> </w:t>
      </w:r>
      <w:r>
        <w:t xml:space="preserve">404(b)</w:t>
      </w:r>
      <w:r>
        <w:t xml:space="preserve">   </w:t>
      </w:r>
      <w:r>
        <w:tab/>
      </w:r>
      <w:r>
        <w:t xml:space="preserve">10</w:t>
      </w:r>
    </w:p>
    <w:p>
      <w:pPr>
        <w:keepNext/>
        <w:keepLines/>
        <w:spacing w:before="336" w:after="112" w:line="33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52" w:after="0" w:line="336" w:lineRule="exact"/>
        <w:ind w:left="420" w:right="1440" w:hanging="420"/>
      </w:pPr>
      <w:r>
        <w:t xml:space="preserve">Andrea</w:t>
      </w:r>
      <w:r>
        <w:t xml:space="preserve"> </w:t>
      </w:r>
      <w:r>
        <w:t xml:space="preserve">Dennis,</w:t>
      </w:r>
      <w:r>
        <w:t xml:space="preserve"> </w:t>
      </w:r>
      <w:r>
        <w:t xml:space="preserve">Poetic</w:t>
      </w:r>
      <w:r>
        <w:t xml:space="preserve"> </w:t>
      </w:r>
      <w:r>
        <w:t xml:space="preserve">(In)Justice?</w:t>
      </w:r>
      <w:r>
        <w:t xml:space="preserve"> </w:t>
      </w:r>
      <w:r>
        <w:t xml:space="preserve">Rap</w:t>
      </w:r>
      <w:r>
        <w:t xml:space="preserve"> </w:t>
      </w:r>
      <w:r>
        <w:t xml:space="preserve">Music</w:t>
      </w:r>
      <w:r>
        <w:t xml:space="preserve"> </w:t>
      </w:r>
      <w:r>
        <w:t xml:space="preserve">Lyrics</w:t>
      </w:r>
      <w:r>
        <w:t xml:space="preserve"> </w:t>
      </w:r>
      <w:r>
        <w:t xml:space="preserve">as</w:t>
      </w:r>
      <w:r>
        <w:t xml:space="preserve"> </w:t>
      </w:r>
      <w:r>
        <w:t xml:space="preserve">Art,</w:t>
      </w:r>
      <w:r>
        <w:t xml:space="preserve"> </w:t>
      </w:r>
      <w:r>
        <w:t xml:space="preserve">Life,</w:t>
      </w:r>
      <w:r>
        <w:t xml:space="preserve"> </w:t>
      </w:r>
      <w:r>
        <w:t xml:space="preserve">and</w:t>
      </w:r>
      <w:r>
        <w:t xml:space="preserve"> </w:t>
      </w:r>
      <w:r>
        <w:t xml:space="preserve">Criminal</w:t>
      </w:r>
      <w:r>
        <w:t xml:space="preserve"> </w:t>
      </w:r>
      <w:r>
        <w:t xml:space="preserve">Evidence,</w:t>
      </w:r>
      <w:r>
        <w:t xml:space="preserve"> </w:t>
      </w:r>
      <w:r>
        <w:t xml:space="preserve">31</w:t>
      </w:r>
      <w:r>
        <w:t xml:space="preserve"> </w:t>
      </w:r>
      <w:r>
        <w:t xml:space="preserve">Colum.</w:t>
      </w:r>
      <w:r>
        <w:t xml:space="preserve"> </w:t>
      </w:r>
      <w:r>
        <w:t xml:space="preserve">J.L.</w:t>
      </w:r>
      <w:r>
        <w:t xml:space="preserve"> </w:t>
      </w:r>
      <w:r>
        <w:t xml:space="preserve">&amp;</w:t>
      </w:r>
      <w:r>
        <w:t xml:space="preserve"> </w:t>
      </w:r>
      <w:r>
        <w:t xml:space="preserve">Arts</w:t>
      </w:r>
      <w:r>
        <w:t xml:space="preserve"> </w:t>
      </w:r>
      <w:r>
        <w:t xml:space="preserve">1</w:t>
      </w:r>
      <w:r>
        <w:t xml:space="preserve"> </w:t>
      </w:r>
      <w:r>
        <w:t xml:space="preserve">(2007)</w:t>
      </w:r>
      <w:r>
        <w:t xml:space="preserve">   </w:t>
      </w:r>
      <w:r>
        <w:tab/>
      </w:r>
      <w:r>
        <w:t xml:space="preserve">14</w:t>
      </w:r>
    </w:p>
    <w:p>
      <w:pPr>
        <w:keepLines/>
        <w:tabs>
          <w:tab w:val="right" w:leader="dot" w:pos="9360"/>
        </w:tabs>
        <w:spacing w:before="252" w:after="0" w:line="336" w:lineRule="exact"/>
        <w:ind w:left="420" w:right="1440" w:hanging="420"/>
      </w:pPr>
      <w:r>
        <w:t xml:space="preserve">Dolly</w:t>
      </w:r>
      <w:r>
        <w:t xml:space="preserve"> </w:t>
      </w:r>
      <w:r>
        <w:t xml:space="preserve">Parton,</w:t>
      </w:r>
      <w:r>
        <w:t xml:space="preserve"> </w:t>
      </w:r>
      <w:r>
        <w:t xml:space="preserve">Banks</w:t>
      </w:r>
      <w:r>
        <w:t xml:space="preserve"> </w:t>
      </w:r>
      <w:r>
        <w:t xml:space="preserve">of</w:t>
      </w:r>
      <w:r>
        <w:t xml:space="preserve"> </w:t>
      </w:r>
      <w:r>
        <w:t xml:space="preserve">the</w:t>
      </w:r>
      <w:r>
        <w:t xml:space="preserve"> </w:t>
      </w:r>
      <w:r>
        <w:t xml:space="preserve">Ohio</w:t>
      </w:r>
      <w:r>
        <w:t xml:space="preserve"> </w:t>
      </w:r>
      <w:r>
        <w:t xml:space="preserve">(Sony</w:t>
      </w:r>
      <w:r>
        <w:t xml:space="preserve"> </w:t>
      </w:r>
      <w:r>
        <w:t xml:space="preserve">Masterworks</w:t>
      </w:r>
      <w:r>
        <w:t xml:space="preserve"> </w:t>
      </w:r>
      <w:r>
        <w:t xml:space="preserve">2014)</w:t>
      </w:r>
      <w:r>
        <w:t xml:space="preserve">   </w:t>
      </w:r>
      <w:r>
        <w:tab/>
      </w:r>
      <w:r>
        <w:t xml:space="preserve">15</w:t>
      </w:r>
    </w:p>
    <w:p>
      <w:pPr>
        <w:keepLines/>
        <w:tabs>
          <w:tab w:val="right" w:leader="dot" w:pos="9360"/>
        </w:tabs>
        <w:spacing w:before="252" w:after="0" w:line="336" w:lineRule="exact"/>
        <w:ind w:left="420" w:right="1440" w:hanging="420"/>
      </w:pPr>
      <w:r>
        <w:t xml:space="preserve">Erik</w:t>
      </w:r>
      <w:r>
        <w:t xml:space="preserve"> </w:t>
      </w:r>
      <w:r>
        <w:t xml:space="preserve">Nielson</w:t>
      </w:r>
      <w:r>
        <w:t xml:space="preserve"> </w:t>
      </w:r>
      <w:r>
        <w:t xml:space="preserve">&amp;</w:t>
      </w:r>
      <w:r>
        <w:t xml:space="preserve"> </w:t>
      </w:r>
      <w:r>
        <w:t xml:space="preserve">Andrea</w:t>
      </w:r>
      <w:r>
        <w:t xml:space="preserve"> </w:t>
      </w:r>
      <w:r>
        <w:t xml:space="preserve">L.</w:t>
      </w:r>
      <w:r>
        <w:t xml:space="preserve"> </w:t>
      </w:r>
      <w:r>
        <w:t xml:space="preserve">Dennis,</w:t>
      </w:r>
      <w:r>
        <w:t xml:space="preserve"> </w:t>
      </w:r>
      <w:r>
        <w:t xml:space="preserve">Rap</w:t>
      </w:r>
      <w:r>
        <w:t xml:space="preserve"> </w:t>
      </w:r>
      <w:r>
        <w:t xml:space="preserve">on</w:t>
      </w:r>
      <w:r>
        <w:t xml:space="preserve"> </w:t>
      </w:r>
      <w:r>
        <w:t xml:space="preserve">Trial</w:t>
      </w:r>
      <w:r>
        <w:t xml:space="preserve"> </w:t>
      </w:r>
      <w:r>
        <w:t xml:space="preserve">(The</w:t>
      </w:r>
      <w:r>
        <w:t xml:space="preserve"> </w:t>
      </w:r>
      <w:r>
        <w:t xml:space="preserve">New</w:t>
      </w:r>
      <w:r>
        <w:t xml:space="preserve"> </w:t>
      </w:r>
      <w:r>
        <w:t xml:space="preserve">Press,</w:t>
      </w:r>
      <w:r>
        <w:t xml:space="preserve"> </w:t>
      </w:r>
      <w:r>
        <w:t xml:space="preserve">2019)</w:t>
      </w:r>
      <w:r>
        <w:t xml:space="preserve">   </w:t>
      </w:r>
      <w:r>
        <w:tab/>
      </w:r>
      <w:r>
        <w:t xml:space="preserve">8</w:t>
      </w:r>
    </w:p>
    <w:p>
      <w:pPr>
        <w:keepLines/>
        <w:tabs>
          <w:tab w:val="right" w:leader="dot" w:pos="9360"/>
        </w:tabs>
        <w:spacing w:before="252" w:after="0" w:line="336" w:lineRule="exact"/>
        <w:ind w:left="420" w:right="1440" w:hanging="420"/>
      </w:pPr>
      <w:r>
        <w:t xml:space="preserve">Johnny</w:t>
      </w:r>
      <w:r>
        <w:t xml:space="preserve"> </w:t>
      </w:r>
      <w:r>
        <w:t xml:space="preserve">Cash,</w:t>
      </w:r>
      <w:r>
        <w:t xml:space="preserve"> </w:t>
      </w:r>
      <w:r>
        <w:t xml:space="preserve">Folsom</w:t>
      </w:r>
      <w:r>
        <w:t xml:space="preserve"> </w:t>
      </w:r>
      <w:r>
        <w:t xml:space="preserve">Prison</w:t>
      </w:r>
      <w:r>
        <w:t xml:space="preserve"> </w:t>
      </w:r>
      <w:r>
        <w:t xml:space="preserve">Blues</w:t>
      </w:r>
      <w:r>
        <w:t xml:space="preserve"> </w:t>
      </w:r>
      <w:r>
        <w:t xml:space="preserve">(Columbia</w:t>
      </w:r>
      <w:r>
        <w:t xml:space="preserve"> </w:t>
      </w:r>
      <w:r>
        <w:t xml:space="preserve">Records</w:t>
      </w:r>
      <w:r>
        <w:t xml:space="preserve"> </w:t>
      </w:r>
      <w:r>
        <w:t xml:space="preserve">1969)</w:t>
      </w:r>
      <w:r>
        <w:t xml:space="preserve">   </w:t>
      </w:r>
      <w:r>
        <w:tab/>
      </w:r>
      <w:r>
        <w:t xml:space="preserve">15</w:t>
      </w:r>
    </w:p>
    <w:p>
      <w:pPr>
        <w:keepLines/>
        <w:tabs>
          <w:tab w:val="right" w:leader="dot" w:pos="9360"/>
        </w:tabs>
        <w:spacing w:before="252" w:after="0" w:line="336" w:lineRule="exact"/>
        <w:ind w:left="420" w:right="1440" w:hanging="420"/>
      </w:pPr>
      <w:r>
        <w:t xml:space="preserve">Prison</w:t>
      </w:r>
      <w:r>
        <w:t xml:space="preserve"> </w:t>
      </w:r>
      <w:r>
        <w:t xml:space="preserve">Policy</w:t>
      </w:r>
      <w:r>
        <w:t xml:space="preserve"> </w:t>
      </w:r>
      <w:r>
        <w:t xml:space="preserve">Institute,</w:t>
      </w:r>
      <w:r>
        <w:t xml:space="preserve"> </w:t>
      </w:r>
      <w:r>
        <w:t xml:space="preserve">Tennessee</w:t>
      </w:r>
      <w:r>
        <w:t xml:space="preserve"> </w:t>
      </w:r>
      <w:r>
        <w:t xml:space="preserve">Incarceration</w:t>
      </w:r>
      <w:r>
        <w:t xml:space="preserve"> </w:t>
      </w:r>
      <w:r>
        <w:t xml:space="preserve">Rates</w:t>
      </w:r>
      <w:r>
        <w:t xml:space="preserve"> </w:t>
      </w:r>
      <w:r>
        <w:t xml:space="preserve">by</w:t>
      </w:r>
      <w:r>
        <w:t xml:space="preserve"> </w:t>
      </w:r>
      <w:r>
        <w:t xml:space="preserve">Race/​Ethnicity</w:t>
      </w:r>
      <w:r>
        <w:t xml:space="preserve"> </w:t>
      </w:r>
      <w:r>
        <w:t xml:space="preserve">2010</w:t>
      </w:r>
      <w:r>
        <w:t xml:space="preserve"> </w:t>
      </w:r>
      <w:r>
        <w:t xml:space="preserve">(May</w:t>
      </w:r>
      <w:r>
        <w:t xml:space="preserve"> </w:t>
      </w:r>
      <w:r>
        <w:t xml:space="preserve">28,</w:t>
      </w:r>
      <w:r>
        <w:t xml:space="preserve"> </w:t>
      </w:r>
      <w:r>
        <w:t xml:space="preserve">2014)</w:t>
      </w:r>
      <w:r>
        <w:t xml:space="preserve">   </w:t>
      </w:r>
      <w:r>
        <w:tab/>
      </w:r>
      <w:r>
        <w:t xml:space="preserve">20</w:t>
      </w:r>
    </w:p>
    <w:p>
      <w:pPr>
        <w:pageBreakBefore/>
        <w:spacing w:before="0" w:after="0" w:line="1" w:lineRule="exact"/>
      </w:pPr>
    </w:p>
    <w:p>
      <w:pPr>
        <w:keepNext/>
        <w:keepLines/>
        <w:spacing w:before="0" w:after="336" w:line="33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INTEREST</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p>
    <w:p>
      <w:pPr>
        <w:pStyle w:val="BodyTextNote"/>
      </w:pPr>
      <w:r>
        <w:t xml:space="preserve">The American Civil Liberties Union of Tennessee (“ACLU-TN”) and the American Civil Liberties Union (“ACLU”) are membership organizations dedicated to the principles of liberty and equality embodied in the constitutions and laws of Tennessee and the United States. The rights they defend through direct representation and amicus briefs include the right to free speech.</w:t>
      </w:r>
      <w:r>
        <w:t xml:space="preserve"> </w:t>
      </w:r>
      <w:r>
        <w:rPr>
          <w:i/>
          <w:iCs/>
        </w:rPr>
        <w:t xml:space="preserve">See, e.g.,</w:t>
      </w:r>
      <w:r>
        <w:t xml:space="preserve"> </w:t>
      </w:r>
      <w:r>
        <w:rPr>
          <w:i/>
          <w:iCs/>
        </w:rPr>
        <w:t xml:space="preserve">Weidlich v. Rung</w:t>
      </w:r>
      <w:r>
        <w:t xml:space="preserve">, 2017 WL 4862068</w:t>
      </w:r>
      <w:r>
        <w:t xml:space="preserve"> </w:t>
      </w:r>
      <w:r>
        <w:t xml:space="preserve">(Tenn. Ct. App. 2017) (direct representation);</w:t>
      </w:r>
      <w:r>
        <w:t xml:space="preserve"> </w:t>
      </w:r>
      <w:r>
        <w:rPr>
          <w:i/>
          <w:iCs/>
        </w:rPr>
        <w:t xml:space="preserve">Young v. Giles Cty. Bd. of Educ.</w:t>
      </w:r>
      <w:r>
        <w:t xml:space="preserve">, 181 F. Supp. 3d 459</w:t>
      </w:r>
      <w:r>
        <w:t xml:space="preserve"> </w:t>
      </w:r>
      <w:r>
        <w:t xml:space="preserve">(M.D. Tenn. 2015) (direct representation);</w:t>
      </w:r>
      <w:r>
        <w:t xml:space="preserve"> </w:t>
      </w:r>
      <w:r>
        <w:rPr>
          <w:i/>
          <w:iCs/>
        </w:rPr>
        <w:t xml:space="preserve">Reno v. ACLU</w:t>
      </w:r>
      <w:r>
        <w:t xml:space="preserve">, 521 U.S. 844</w:t>
      </w:r>
      <w:r>
        <w:t xml:space="preserve"> </w:t>
      </w:r>
      <w:r>
        <w:t xml:space="preserve">(1997) (direct representation);</w:t>
      </w:r>
      <w:r>
        <w:t xml:space="preserve"> </w:t>
      </w:r>
      <w:r>
        <w:rPr>
          <w:i/>
          <w:iCs/>
        </w:rPr>
        <w:t xml:space="preserve">Matal v. Tam</w:t>
      </w:r>
      <w:r>
        <w:t xml:space="preserve">, 137 S. Ct. 1744</w:t>
      </w:r>
      <w:r>
        <w:t xml:space="preserve"> </w:t>
      </w:r>
      <w:r>
        <w:t xml:space="preserve">(2017) (amicus). This case has profound ramifications that reach far beyond the evidentiary ruling at issue, and that threaten the right to freedom of artistic expression and association.</w:t>
      </w:r>
      <w:r>
        <w:rPr>
          <w:rStyle w:val="FootnoteReference"/>
        </w:rPr>
        <w:footnoteReference w:id="9"/>
      </w:r>
    </w:p>
    <w:p>
      <w:pPr>
        <w:keepNext/>
        <w:keepLines/>
        <w:spacing w:before="448" w:after="336" w:line="336" w:lineRule="exact"/>
        <w:ind w:left="0" w:firstLine="0"/>
        <w:jc w:val="center"/>
      </w:pPr>
      <w:r>
        <w:rPr>
          <w:b/>
          <w:bCs/>
        </w:rPr>
        <w:t xml:space="preserve">ISSUE</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BodyText"/>
      </w:pPr>
      <w:r>
        <w:t xml:space="preserve">Whether admitting a rap music video into evidence at trial where that evidence had no relevance to any issue being decided by the court was a violation of the defendant’s free speech and free association rights under the First Amendment of the United States Constitution and Article I, Section 19 of the Constitution of the State of Tennessee.</w:t>
      </w:r>
    </w:p>
    <w:p>
      <w:pPr>
        <w:keepNext/>
        <w:keepLines/>
        <w:spacing w:before="448" w:after="336" w:line="33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Note"/>
      </w:pPr>
      <w:r>
        <w:t xml:space="preserve">At trial, the court below admitted a music video showing Mr. Bassett, the accused individual in this case, singing and rapping with other young Black men. Both his membership in the music group and the video’s imagery and lyrics are protected by the First Amendment, and neither bore any nexus to the alleged crime. Yet the court admitted the evidence and, in doing so, violated Mr. Bassett’s right to freedom of speech, expression, and association under the First Amendment of the United States Constitution</w:t>
      </w:r>
      <w:r>
        <w:rPr>
          <w:rStyle w:val="FootnoteReference"/>
        </w:rPr>
        <w:footnoteReference w:id="10"/>
      </w:r>
      <w:r>
        <w:t xml:space="preserve"> </w:t>
      </w:r>
      <w:r>
        <w:t xml:space="preserve">and the equally protective Tennessee State Constitution.</w:t>
      </w:r>
      <w:r>
        <w:rPr>
          <w:rStyle w:val="FootnoteReference"/>
        </w:rPr>
        <w:footnoteReference w:id="11"/>
      </w:r>
      <w:r>
        <w:t xml:space="preserve">,</w:t>
      </w:r>
    </w:p>
    <w:p>
      <w:pPr>
        <w:pStyle w:val="BodyText"/>
      </w:pPr>
      <w:r>
        <w:t xml:space="preserve">The Supreme Court established the constitutional rule that governs this case in</w:t>
      </w:r>
      <w:r>
        <w:t xml:space="preserve"> </w:t>
      </w:r>
      <w:r>
        <w:rPr>
          <w:i/>
          <w:iCs/>
        </w:rPr>
        <w:t xml:space="preserve">Dawson v. Delaware</w:t>
      </w:r>
      <w:r>
        <w:t xml:space="preserve">, holding that evidence that is protected by the First Amendment is inadmissible if it is not relevant to any issue before the court. 503 U.S. 159</w:t>
      </w:r>
      <w:r>
        <w:t xml:space="preserve"> </w:t>
      </w:r>
      <w:r>
        <w:t xml:space="preserve">(1992). This heightened evidentiary standard reflects the understanding that “guilt by association remains a thoroughly discredited doctrine,”</w:t>
      </w:r>
      <w:r>
        <w:t xml:space="preserve"> </w:t>
      </w:r>
      <w:r>
        <w:rPr>
          <w:i/>
          <w:iCs/>
        </w:rPr>
        <w:t xml:space="preserve">Uphaus v. Wyman</w:t>
      </w:r>
      <w:r>
        <w:t xml:space="preserve">, 360 U.S. 72,</w:t>
      </w:r>
      <w:r>
        <w:t xml:space="preserve"> </w:t>
      </w:r>
      <w:r>
        <w:t xml:space="preserve">79 (1959), and freedom of expression needs “breathing space to survive,”</w:t>
      </w:r>
      <w:r>
        <w:t xml:space="preserve"> </w:t>
      </w:r>
      <w:r>
        <w:rPr>
          <w:i/>
          <w:iCs/>
        </w:rPr>
        <w:t xml:space="preserve">NAACP v. Button</w:t>
      </w:r>
      <w:r>
        <w:t xml:space="preserve">, 371 U.S. 415,</w:t>
      </w:r>
      <w:r>
        <w:t xml:space="preserve"> </w:t>
      </w:r>
      <w:r>
        <w:t xml:space="preserve">433 (1963), so as to prevent a “chilling effect” on free expression.</w:t>
      </w:r>
      <w:r>
        <w:t xml:space="preserve"> </w:t>
      </w:r>
      <w:r>
        <w:rPr>
          <w:i/>
          <w:iCs/>
        </w:rPr>
        <w:t xml:space="preserve">Gibson v. Florida Legis. Investigation Comm.</w:t>
      </w:r>
      <w:r>
        <w:t xml:space="preserve">, 372 U.S. 539</w:t>
      </w:r>
      <w:r>
        <w:t xml:space="preserve"> </w:t>
      </w:r>
      <w:r>
        <w:t xml:space="preserve">(1963).</w:t>
      </w:r>
    </w:p>
    <w:p>
      <w:pPr>
        <w:pStyle w:val="BodyText"/>
      </w:pPr>
      <w:r>
        <w:t xml:space="preserve">Music and other forms of artistic expression “unquestionably” fall within this protection.</w:t>
      </w:r>
      <w:r>
        <w:t xml:space="preserve"> </w:t>
      </w:r>
      <w:r>
        <w:rPr>
          <w:i/>
          <w:iCs/>
        </w:rPr>
        <w:t xml:space="preserve">Hurley v. Irish-American Gay, Lesbian and Bisexual Group of Bos.</w:t>
      </w:r>
      <w:r>
        <w:t xml:space="preserve">, 515 U.S. 557,</w:t>
      </w:r>
      <w:r>
        <w:t xml:space="preserve"> </w:t>
      </w:r>
      <w:r>
        <w:t xml:space="preserve">569 (1995);</w:t>
      </w:r>
      <w:r>
        <w:t xml:space="preserve"> </w:t>
      </w:r>
      <w:r>
        <w:rPr>
          <w:i/>
          <w:iCs/>
        </w:rPr>
        <w:t xml:space="preserve">see also</w:t>
      </w:r>
      <w:r>
        <w:t xml:space="preserve">,</w:t>
      </w:r>
      <w:r>
        <w:t xml:space="preserve"> </w:t>
      </w:r>
      <w:r>
        <w:rPr>
          <w:i/>
          <w:iCs/>
        </w:rPr>
        <w:t xml:space="preserve">Ward v. Rock Against Racism</w:t>
      </w:r>
      <w:r>
        <w:t xml:space="preserve">, 491 U.S. 781,</w:t>
      </w:r>
      <w:r>
        <w:t xml:space="preserve"> </w:t>
      </w:r>
      <w:r>
        <w:t xml:space="preserve">790 (1989). The music video at issue displays “drill,” a type of rap that emerged in Chicago and typically focuses on themes of gun violence, the maintenance of neighborhood boundaries, and the tragedy of lives lost or taken. Notwithstanding the conventions of the genre, drill-style rap enjoys the same constitutional protection as other forms of artistic expression.</w:t>
      </w:r>
    </w:p>
    <w:p>
      <w:pPr>
        <w:pStyle w:val="BodyText"/>
      </w:pPr>
      <w:r>
        <w:t xml:space="preserve">The trial court in this case treated rap music as inherently more incriminating than other artistic and musical forms. While some courts have similarly misjudged artistic expression in the form of rap music as self-incriminating evidence,</w:t>
      </w:r>
      <w:r>
        <w:t xml:space="preserve"> </w:t>
      </w:r>
      <w:r>
        <w:rPr>
          <w:i/>
          <w:iCs/>
        </w:rPr>
        <w:t xml:space="preserve">see</w:t>
      </w:r>
      <w:r>
        <w:t xml:space="preserve"> </w:t>
      </w:r>
      <w:r>
        <w:t xml:space="preserve">Erik Nielson &amp; Andrea L. Dennis, Rap on Trial</w:t>
      </w:r>
      <w:r>
        <w:t xml:space="preserve"> </w:t>
      </w:r>
      <w:r>
        <w:t xml:space="preserve">20–21 (The New Press, 2019), this is not justified under the Constitution—particularly as nearly all of the defendants who have had music lyrics used against them at trial have been African-American and Latino artists.</w:t>
      </w:r>
      <w:r>
        <w:t xml:space="preserve"> </w:t>
      </w:r>
      <w:r>
        <w:rPr>
          <w:i/>
          <w:iCs/>
        </w:rPr>
        <w:t xml:space="preserve">Id.</w:t>
      </w:r>
      <w:r>
        <w:t xml:space="preserve"> </w:t>
      </w:r>
      <w:r>
        <w:t xml:space="preserve">at 21. Other courts have properly held that music lyrics, including rap lyrics, are inadmissible under evidentiary rules where the specific crime is not mentioned in the lyrics.</w:t>
      </w:r>
      <w:r>
        <w:t xml:space="preserve"> </w:t>
      </w:r>
      <w:r>
        <w:rPr>
          <w:i/>
          <w:iCs/>
        </w:rPr>
        <w:t xml:space="preserve">See</w:t>
      </w:r>
      <w:r>
        <w:t xml:space="preserve"> </w:t>
      </w:r>
      <w:r>
        <w:rPr>
          <w:i/>
          <w:iCs/>
        </w:rPr>
        <w:t xml:space="preserve">State v. Skinner</w:t>
      </w:r>
      <w:r>
        <w:t xml:space="preserve">, 218 N.J. 496,</w:t>
      </w:r>
      <w:r>
        <w:t xml:space="preserve"> </w:t>
      </w:r>
      <w:r>
        <w:t xml:space="preserve">525 (N.J. 2014) (holding that “rap lyrics . . . may not be used as evidence of motive and intent except when such material has a direct connection to the specifics of the offense for which it is offered in evidence and the evidence’s probative value is not outweighed by its apparent prejudice.”);</w:t>
      </w:r>
      <w:r>
        <w:t xml:space="preserve"> </w:t>
      </w:r>
      <w:r>
        <w:rPr>
          <w:i/>
          <w:iCs/>
        </w:rPr>
        <w:t xml:space="preserve">see also</w:t>
      </w:r>
      <w:r>
        <w:t xml:space="preserve"> </w:t>
      </w:r>
      <w:r>
        <w:rPr>
          <w:i/>
          <w:iCs/>
        </w:rPr>
        <w:t xml:space="preserve">Hannah v. State</w:t>
      </w:r>
      <w:r>
        <w:t xml:space="preserve">, 23 A.3d 192</w:t>
      </w:r>
      <w:r>
        <w:t xml:space="preserve"> </w:t>
      </w:r>
      <w:r>
        <w:t xml:space="preserve">(Md. 2011);</w:t>
      </w:r>
      <w:r>
        <w:t xml:space="preserve"> </w:t>
      </w:r>
      <w:r>
        <w:rPr>
          <w:i/>
          <w:iCs/>
        </w:rPr>
        <w:t xml:space="preserve">Brooks v. State</w:t>
      </w:r>
      <w:r>
        <w:t xml:space="preserve">, 903 So.2d 691,700</w:t>
      </w:r>
      <w:r>
        <w:t xml:space="preserve"> </w:t>
      </w:r>
      <w:r>
        <w:t xml:space="preserve">(Miss. 2005);</w:t>
      </w:r>
      <w:r>
        <w:t xml:space="preserve"> </w:t>
      </w:r>
      <w:r>
        <w:rPr>
          <w:i/>
          <w:iCs/>
        </w:rPr>
        <w:t xml:space="preserve">State v. Cheeseboro</w:t>
      </w:r>
      <w:r>
        <w:t xml:space="preserve">, 552 S.E.2d 300</w:t>
      </w:r>
      <w:r>
        <w:t xml:space="preserve"> </w:t>
      </w:r>
      <w:r>
        <w:t xml:space="preserve">(S.C. 2001).</w:t>
      </w:r>
    </w:p>
    <w:p>
      <w:pPr>
        <w:pStyle w:val="BodyText"/>
      </w:pPr>
      <w:r>
        <w:t xml:space="preserve">This court should reverse the admission of the rap video at trial not only because it violated evidentiary rules, but also because core constitutional principles are at stake.</w:t>
      </w:r>
      <w:r>
        <w:t xml:space="preserve"> </w:t>
      </w:r>
      <w:r>
        <w:rPr>
          <w:i/>
          <w:iCs/>
        </w:rPr>
        <w:t xml:space="preserve">See</w:t>
      </w:r>
      <w:r>
        <w:t xml:space="preserve"> </w:t>
      </w:r>
      <w:r>
        <w:rPr>
          <w:i/>
          <w:iCs/>
        </w:rPr>
        <w:t xml:space="preserve">Street v. New York</w:t>
      </w:r>
      <w:r>
        <w:t xml:space="preserve">, 394 U.S. 576,</w:t>
      </w:r>
      <w:r>
        <w:t xml:space="preserve"> </w:t>
      </w:r>
      <w:r>
        <w:t xml:space="preserve">594 (1969). Amici respectfully urge this Court to correct the constitutional error below by applying</w:t>
      </w:r>
      <w:r>
        <w:t xml:space="preserve"> </w:t>
      </w:r>
      <w:r>
        <w:rPr>
          <w:i/>
          <w:iCs/>
        </w:rPr>
        <w:t xml:space="preserve">Dawson</w:t>
      </w:r>
      <w:r>
        <w:t xml:space="preserve"> </w:t>
      </w:r>
      <w:r>
        <w:t xml:space="preserve">to the music video evidence and ruling it inadmissible on First Amendment grounds.</w:t>
      </w:r>
    </w:p>
    <w:p>
      <w:pPr>
        <w:keepNext/>
        <w:keepLines/>
        <w:spacing w:before="448" w:after="336" w:line="336" w:lineRule="exact"/>
        <w:ind w:left="0" w:firstLine="0"/>
        <w:jc w:val="center"/>
      </w:pPr>
      <w:r>
        <w:rPr>
          <w:b/>
          <w:bCs/>
        </w:rPr>
        <w:t xml:space="preserve">FACTUAL</w:t>
      </w:r>
      <w:r>
        <w:rPr>
          <w:b/>
          <w:bCs/>
        </w:rPr>
        <w:t xml:space="preserve"> </w:t>
      </w:r>
      <w:r>
        <w:rPr>
          <w:b/>
          <w:bCs/>
        </w:rPr>
        <w:t xml:space="preserve">BACKGROUND</w:t>
      </w:r>
    </w:p>
    <w:p>
      <w:pPr>
        <w:pStyle w:val="BodyTextNote"/>
      </w:pPr>
      <w:r>
        <w:t xml:space="preserve">“Double O,” the music video viewed at trial, Ex. 591,</w:t>
      </w:r>
      <w:r>
        <w:rPr>
          <w:rStyle w:val="FootnoteReference"/>
        </w:rPr>
        <w:footnoteReference w:id="12"/>
      </w:r>
      <w:r>
        <w:t xml:space="preserve"> </w:t>
      </w:r>
      <w:r>
        <w:t xml:space="preserve">features Mr. Bassett and six other young Black men singing and rapping. The video was posted on YouTube on May 12, 2015. The State introduced it on the basis of two separate but overlapping arguments. First, the State said the young men depicted in the video—a music group—and their use of gang imagery supported the State’s theory that the murder of Zaevion Dobson on December 17, 2015 was somehow gang-related. (</w:t>
      </w:r>
      <w:r>
        <w:rPr>
          <w:i/>
          <w:iCs/>
        </w:rPr>
        <w:t xml:space="preserve">See</w:t>
      </w:r>
      <w:r>
        <w:t xml:space="preserve"> </w:t>
      </w:r>
      <w:r>
        <w:t xml:space="preserve">T. R. Vol. 12, pp. 1116–7, 1144–1230). According to that theory, the victim was killed in retaliation for another murder committed earlier on the same evening as part of a gang war. The State argued that because Mr. Bassett rapped about gang violence, he must be in a gang, providing the motive to commit the alleged crime. As the State’s own expert indicated, however, Mr. Bassett is not a gang member according to the Knox County Sheriff’s Office Gang Intelligence Unit, (T. R. Vol. 12, p. 1179), and he was not charged with any gang-related offenses or sentencing enhancements.</w:t>
      </w:r>
    </w:p>
    <w:p>
      <w:pPr>
        <w:pStyle w:val="BodyTextNote"/>
      </w:pPr>
      <w:r>
        <w:t xml:space="preserve">Second, the State used the lyrics in “Double O” “to try to understand the mindset of these guys,” concluding that they are inclined toward retaliation and violence. (T. R. Vol. 18, pp. 1762–4). The video, however, was posted online months before the crime in question, did not mention the victim, and in no way illuminated the state of mind of the accused on the night of the murder. Nevertheless, the court below allowed the State to introduce this evidence at trial.</w:t>
      </w:r>
      <w:r>
        <w:rPr>
          <w:rStyle w:val="FootnoteReference"/>
        </w:rPr>
        <w:footnoteReference w:id="13"/>
      </w:r>
    </w:p>
    <w:p>
      <w:pPr>
        <w:keepNext/>
        <w:keepLines/>
        <w:spacing w:before="448" w:after="336" w:line="336" w:lineRule="exact"/>
        <w:ind w:left="0" w:firstLine="0"/>
        <w:jc w:val="center"/>
      </w:pPr>
      <w:r>
        <w:rPr>
          <w:b/>
          <w:bCs/>
        </w:rPr>
        <w:t xml:space="preserve">ARGUMENT</w:t>
      </w:r>
    </w:p>
    <w:p>
      <w:pPr>
        <w:keepNext/>
        <w:keepLines/>
        <w:spacing w:before="336" w:after="224" w:line="336" w:lineRule="exact"/>
        <w:ind w:left="720" w:hanging="720"/>
        <w:jc w:val="left"/>
      </w:pPr>
      <w:r>
        <w:rPr>
          <w:b/>
          <w:bCs/>
        </w:rPr>
        <w:t xml:space="preserve">I.</w:t>
      </w:r>
      <w:r>
        <w:rPr>
          <w:b/>
          <w:bCs/>
        </w:rPr>
        <w:tab/>
      </w:r>
      <w:r>
        <w:rPr>
          <w:b/>
          <w:bCs/>
        </w:rPr>
        <w:t xml:space="preserve">Evidence</w:t>
      </w:r>
      <w:r>
        <w:rPr>
          <w:b/>
          <w:bCs/>
        </w:rPr>
        <w:t xml:space="preserve"> </w:t>
      </w:r>
      <w:r>
        <w:rPr>
          <w:b/>
          <w:bCs/>
        </w:rPr>
        <w:t xml:space="preserve">That</w:t>
      </w:r>
      <w:r>
        <w:rPr>
          <w:b/>
          <w:bCs/>
        </w:rPr>
        <w:t xml:space="preserve"> </w:t>
      </w:r>
      <w:r>
        <w:rPr>
          <w:b/>
          <w:bCs/>
        </w:rPr>
        <w:t xml:space="preserve">Is</w:t>
      </w:r>
      <w:r>
        <w:rPr>
          <w:b/>
          <w:bCs/>
        </w:rPr>
        <w:t xml:space="preserve"> </w:t>
      </w:r>
      <w:r>
        <w:rPr>
          <w:b/>
          <w:bCs/>
        </w:rPr>
        <w:t xml:space="preserve">Protected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Amendment</w:t>
      </w:r>
      <w:r>
        <w:rPr>
          <w:b/>
          <w:bCs/>
        </w:rPr>
        <w:t xml:space="preserve"> </w:t>
      </w:r>
      <w:r>
        <w:rPr>
          <w:b/>
          <w:bCs/>
        </w:rPr>
        <w:t xml:space="preserve">and</w:t>
      </w:r>
      <w:r>
        <w:rPr>
          <w:b/>
          <w:bCs/>
        </w:rPr>
        <w:t xml:space="preserve"> </w:t>
      </w:r>
      <w:r>
        <w:rPr>
          <w:b/>
          <w:bCs/>
        </w:rPr>
        <w:t xml:space="preserve">Irrelevant</w:t>
      </w:r>
      <w:r>
        <w:rPr>
          <w:b/>
          <w:bCs/>
        </w:rPr>
        <w:t xml:space="preserve"> </w:t>
      </w:r>
      <w:r>
        <w:rPr>
          <w:b/>
          <w:bCs/>
        </w:rPr>
        <w:t xml:space="preserve">to</w:t>
      </w:r>
      <w:r>
        <w:rPr>
          <w:b/>
          <w:bCs/>
        </w:rPr>
        <w:t xml:space="preserve"> </w:t>
      </w:r>
      <w:r>
        <w:rPr>
          <w:b/>
          <w:bCs/>
        </w:rPr>
        <w:t xml:space="preserve">Any</w:t>
      </w:r>
      <w:r>
        <w:rPr>
          <w:b/>
          <w:bCs/>
        </w:rPr>
        <w:t xml:space="preserve"> </w:t>
      </w:r>
      <w:r>
        <w:rPr>
          <w:b/>
          <w:bCs/>
        </w:rPr>
        <w:t xml:space="preserve">Issue</w:t>
      </w:r>
      <w:r>
        <w:rPr>
          <w:b/>
          <w:bCs/>
        </w:rPr>
        <w:t xml:space="preserve"> </w:t>
      </w:r>
      <w:r>
        <w:rPr>
          <w:b/>
          <w:bCs/>
        </w:rPr>
        <w:t xml:space="preserve">Before</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Is</w:t>
      </w:r>
      <w:r>
        <w:rPr>
          <w:b/>
          <w:bCs/>
        </w:rPr>
        <w:t xml:space="preserve"> </w:t>
      </w:r>
      <w:r>
        <w:rPr>
          <w:b/>
          <w:bCs/>
        </w:rPr>
        <w:t xml:space="preserve">Inadmissible</w:t>
      </w:r>
      <w:r>
        <w:rPr>
          <w:b/>
          <w:bCs/>
        </w:rPr>
        <w:t xml:space="preserve"> </w:t>
      </w:r>
      <w:r>
        <w:rPr>
          <w:b/>
          <w:bCs/>
        </w:rPr>
        <w:t xml:space="preserve">on</w:t>
      </w:r>
      <w:r>
        <w:rPr>
          <w:b/>
          <w:bCs/>
        </w:rPr>
        <w:t xml:space="preserve"> </w:t>
      </w:r>
      <w:r>
        <w:rPr>
          <w:b/>
          <w:bCs/>
        </w:rPr>
        <w:t xml:space="preserve">Constitutional</w:t>
      </w:r>
      <w:r>
        <w:rPr>
          <w:b/>
          <w:bCs/>
        </w:rPr>
        <w:t xml:space="preserve"> </w:t>
      </w:r>
      <w:r>
        <w:rPr>
          <w:b/>
          <w:bCs/>
        </w:rPr>
        <w:t xml:space="preserve">Grounds</w:t>
      </w:r>
    </w:p>
    <w:p>
      <w:pPr>
        <w:pStyle w:val="BodyTextNote"/>
      </w:pPr>
      <w:r>
        <w:t xml:space="preserve">Admitting evidence that is protected by the First Amendment and irrelevant to any issue before a court violates not only evidentiary rules, but also a defendant’s constitutional rights. The Supreme Court established this heightened evidentiary standard in</w:t>
      </w:r>
      <w:r>
        <w:t xml:space="preserve"> </w:t>
      </w:r>
      <w:r>
        <w:rPr>
          <w:i/>
          <w:iCs/>
        </w:rPr>
        <w:t xml:space="preserve">Dawson v. Delaware</w:t>
      </w:r>
      <w:r>
        <w:t xml:space="preserve">, in which the Court considered “whether the First and Fourteenth Amendments prohibit the introduction . . . of the fact that the defendant was a member of an organization called the Aryan Brotherhood, where the evidence has no relevance to the issues being decided in the proceeding.” 503 U.S. 159,</w:t>
      </w:r>
      <w:r>
        <w:t xml:space="preserve"> </w:t>
      </w:r>
      <w:r>
        <w:t xml:space="preserve">160 (1992).</w:t>
      </w:r>
      <w:r>
        <w:rPr>
          <w:rStyle w:val="FootnoteReference"/>
        </w:rPr>
        <w:footnoteReference w:id="14"/>
      </w:r>
      <w:r>
        <w:t xml:space="preserve"> </w:t>
      </w:r>
      <w:r>
        <w:t xml:space="preserve">The Court held that</w:t>
      </w:r>
      <w:r>
        <w:t xml:space="preserve"> </w:t>
      </w:r>
      <w:r>
        <w:rPr>
          <w:i/>
          <w:iCs/>
        </w:rPr>
        <w:t xml:space="preserve">Dawson’s</w:t>
      </w:r>
      <w:r>
        <w:t xml:space="preserve"> </w:t>
      </w:r>
      <w:r>
        <w:t xml:space="preserve">membership in the Aryan Brotherhood was protected by the First Amendment and that introducing evidence related to the organization and his membership violated his First Amendment right to free association and the Fourteenth Amendment’s Due Process Clause.</w:t>
      </w:r>
      <w:r>
        <w:t xml:space="preserve"> </w:t>
      </w:r>
      <w:r>
        <w:rPr>
          <w:i/>
          <w:iCs/>
        </w:rPr>
        <w:t xml:space="preserve">Id.</w:t>
      </w:r>
    </w:p>
    <w:p>
      <w:pPr>
        <w:pStyle w:val="BodyTextNote"/>
      </w:pPr>
      <w:r>
        <w:rPr>
          <w:i/>
          <w:iCs/>
        </w:rPr>
        <w:t xml:space="preserve">Dawson</w:t>
      </w:r>
      <w:r>
        <w:t xml:space="preserve"> </w:t>
      </w:r>
      <w:r>
        <w:t xml:space="preserve">was an inmate in a Delaware state prison when he and several others escaped and committed a string of crimes. In little more than 24 hours,</w:t>
      </w:r>
      <w:r>
        <w:t xml:space="preserve"> </w:t>
      </w:r>
      <w:r>
        <w:rPr>
          <w:i/>
          <w:iCs/>
        </w:rPr>
        <w:t xml:space="preserve">Dawson</w:t>
      </w:r>
      <w:r>
        <w:t xml:space="preserve"> </w:t>
      </w:r>
      <w:r>
        <w:t xml:space="preserve">allegedly stole several vehicles, burglarized two houses, and killed an inhabitant of one of the houses. He was convicted on multiple counts, including first degree murder. At sentencing, the state sought to introduce evidence of</w:t>
      </w:r>
      <w:r>
        <w:t xml:space="preserve"> </w:t>
      </w:r>
      <w:r>
        <w:rPr>
          <w:i/>
          <w:iCs/>
        </w:rPr>
        <w:t xml:space="preserve">Dawson’s</w:t>
      </w:r>
      <w:r>
        <w:t xml:space="preserve"> </w:t>
      </w:r>
      <w:r>
        <w:t xml:space="preserve">membership in the Aryan Brotherhood, a white racist prison gang. To avoid having the jury hear detailed testimony from an expert witness about the group’s ideology and activities, the parties agreed to a brief stipulation regarding the Aryan Brotherhood.</w:t>
      </w:r>
      <w:r>
        <w:rPr>
          <w:rStyle w:val="FootnoteReference"/>
        </w:rPr>
        <w:footnoteReference w:id="15"/>
      </w:r>
      <w:r>
        <w:t xml:space="preserve"> </w:t>
      </w:r>
      <w:r>
        <w:t xml:space="preserve">During the sentencing hearing, the State read the stipulation and introduced evidence that</w:t>
      </w:r>
      <w:r>
        <w:t xml:space="preserve"> </w:t>
      </w:r>
      <w:r>
        <w:rPr>
          <w:i/>
          <w:iCs/>
        </w:rPr>
        <w:t xml:space="preserve">Dawson</w:t>
      </w:r>
      <w:r>
        <w:t xml:space="preserve"> </w:t>
      </w:r>
      <w:r>
        <w:t xml:space="preserve">had the words “Aryan Brotherhood” tattooed on his hands, and went by the gang nickname “Abbadon,” which means servant of Satan. The jury sentenced him to death.</w:t>
      </w:r>
    </w:p>
    <w:p>
      <w:pPr>
        <w:pStyle w:val="BodyText"/>
      </w:pPr>
      <w:r>
        <w:t xml:space="preserve">In reviewing the case, the Supreme Court established the rule that if evidence is protected by the First Amendment and is irrelevant to any issue properly before the court, it is unconstitutional to admit that evidence.</w:t>
      </w:r>
      <w:r>
        <w:t xml:space="preserve"> </w:t>
      </w:r>
      <w:r>
        <w:rPr>
          <w:i/>
          <w:iCs/>
        </w:rPr>
        <w:t xml:space="preserve">Id.</w:t>
      </w:r>
      <w:r>
        <w:t xml:space="preserve"> </w:t>
      </w:r>
      <w:r>
        <w:t xml:space="preserve">at 159. According to the</w:t>
      </w:r>
      <w:r>
        <w:t xml:space="preserve"> </w:t>
      </w:r>
      <w:r>
        <w:rPr>
          <w:i/>
          <w:iCs/>
        </w:rPr>
        <w:t xml:space="preserve">Dawson</w:t>
      </w:r>
      <w:r>
        <w:t xml:space="preserve"> </w:t>
      </w:r>
      <w:r>
        <w:t xml:space="preserve">test, courts must consider: (1) whether the evidence is protected by the First Amendment, and if so, (2) its relevance to an issue before the court. Courts are required to apply this heightened evidentiary standard to constitutionally protected evidence and prohibit the introduction of evidence that is both protected and irrelevant.</w:t>
      </w:r>
      <w:r>
        <w:t xml:space="preserve"> </w:t>
      </w:r>
      <w:r>
        <w:rPr>
          <w:i/>
          <w:iCs/>
        </w:rPr>
        <w:t xml:space="preserve">Id.</w:t>
      </w:r>
    </w:p>
    <w:p>
      <w:pPr>
        <w:pStyle w:val="BodyText"/>
      </w:pPr>
      <w:r>
        <w:t xml:space="preserve">Applying that test in</w:t>
      </w:r>
      <w:r>
        <w:t xml:space="preserve"> </w:t>
      </w:r>
      <w:r>
        <w:rPr>
          <w:i/>
          <w:iCs/>
        </w:rPr>
        <w:t xml:space="preserve">Dawson</w:t>
      </w:r>
      <w:r>
        <w:t xml:space="preserve"> </w:t>
      </w:r>
      <w:r>
        <w:t xml:space="preserve">itself, the Court first held that</w:t>
      </w:r>
      <w:r>
        <w:t xml:space="preserve"> </w:t>
      </w:r>
      <w:r>
        <w:rPr>
          <w:i/>
          <w:iCs/>
        </w:rPr>
        <w:t xml:space="preserve">Dawson’s</w:t>
      </w:r>
      <w:r>
        <w:t xml:space="preserve"> </w:t>
      </w:r>
      <w:r>
        <w:t xml:space="preserve">membership in the Aryan Brotherhood was constitutionally protected, because “the First Amendment protects an individual’s right to join groups and associate with others holding similar beliefs.”</w:t>
      </w:r>
      <w:r>
        <w:t xml:space="preserve"> </w:t>
      </w:r>
      <w:r>
        <w:rPr>
          <w:i/>
          <w:iCs/>
        </w:rPr>
        <w:t xml:space="preserve">Id.</w:t>
      </w:r>
      <w:r>
        <w:t xml:space="preserve"> </w:t>
      </w:r>
      <w:r>
        <w:t xml:space="preserve">at 163 (citing</w:t>
      </w:r>
      <w:r>
        <w:t xml:space="preserve"> </w:t>
      </w:r>
      <w:r>
        <w:rPr>
          <w:i/>
          <w:iCs/>
        </w:rPr>
        <w:t xml:space="preserve">Aptheker v. Sec’y of State</w:t>
      </w:r>
      <w:r>
        <w:t xml:space="preserve">, 378 U.S. 500,</w:t>
      </w:r>
      <w:r>
        <w:t xml:space="preserve"> </w:t>
      </w:r>
      <w:r>
        <w:t xml:space="preserve">507 (1964) and</w:t>
      </w:r>
      <w:r>
        <w:t xml:space="preserve"> </w:t>
      </w:r>
      <w:r>
        <w:rPr>
          <w:i/>
          <w:iCs/>
        </w:rPr>
        <w:t xml:space="preserve">NAACP v. Ala. ex rel. Paterson</w:t>
      </w:r>
      <w:r>
        <w:t xml:space="preserve">, 357 U.S. 449,</w:t>
      </w:r>
      <w:r>
        <w:t xml:space="preserve"> </w:t>
      </w:r>
      <w:r>
        <w:t xml:space="preserve">460 (1958)). The Court also noted that “the government may not prohibit the expression of an idea simply because society finds the idea itself offensive or disagreeable.”</w:t>
      </w:r>
      <w:r>
        <w:t xml:space="preserve"> </w:t>
      </w:r>
      <w:r>
        <w:rPr>
          <w:i/>
          <w:iCs/>
        </w:rPr>
        <w:t xml:space="preserve">Dawson</w:t>
      </w:r>
      <w:r>
        <w:t xml:space="preserve">, 503 U.S. at 167 (citing</w:t>
      </w:r>
      <w:r>
        <w:t xml:space="preserve"> </w:t>
      </w:r>
      <w:r>
        <w:rPr>
          <w:i/>
          <w:iCs/>
        </w:rPr>
        <w:t xml:space="preserve">Texas v. Johnson</w:t>
      </w:r>
      <w:r>
        <w:t xml:space="preserve">, 491 U.S. 397,</w:t>
      </w:r>
      <w:r>
        <w:t xml:space="preserve"> </w:t>
      </w:r>
      <w:r>
        <w:t xml:space="preserve">414 (1989)).</w:t>
      </w:r>
    </w:p>
    <w:p>
      <w:pPr>
        <w:pStyle w:val="BodyText"/>
      </w:pPr>
      <w:r>
        <w:t xml:space="preserve">While recognizing that “the Constitution does not erect a per se barrier to the admission of evidence concerning one’s beliefs and associations at sentencing simply because those beliefs and associations are protected by the First Amendment,” 503 U.S. at 165, the Court held that “</w:t>
      </w:r>
      <w:r>
        <w:rPr>
          <w:i/>
          <w:iCs/>
        </w:rPr>
        <w:t xml:space="preserve">Dawson’s</w:t>
      </w:r>
      <w:r>
        <w:t xml:space="preserve"> </w:t>
      </w:r>
      <w:r>
        <w:t xml:space="preserve">First Amendment Rights were violated by the admission of the Aryan Brotherhood evidence,” because it “proved nothing more than</w:t>
      </w:r>
      <w:r>
        <w:t xml:space="preserve"> </w:t>
      </w:r>
      <w:r>
        <w:rPr>
          <w:i/>
          <w:iCs/>
        </w:rPr>
        <w:t xml:space="preserve">Dawson’s</w:t>
      </w:r>
      <w:r>
        <w:t xml:space="preserve"> </w:t>
      </w:r>
      <w:r>
        <w:t xml:space="preserve">abstract beliefs . . . when those beliefs have no bearing on the issue being tried.”</w:t>
      </w:r>
      <w:r>
        <w:t xml:space="preserve"> </w:t>
      </w:r>
      <w:r>
        <w:rPr>
          <w:i/>
          <w:iCs/>
        </w:rPr>
        <w:t xml:space="preserve">Id.</w:t>
      </w:r>
      <w:r>
        <w:t xml:space="preserve"> </w:t>
      </w:r>
      <w:r>
        <w:t xml:space="preserve">at 167, 168. The court noted that the Aryan Brotherhood’s “white racist” ideology was “not tied in any way to the murder” because the “victim was white, as is</w:t>
      </w:r>
      <w:r>
        <w:t xml:space="preserve"> </w:t>
      </w:r>
      <w:r>
        <w:rPr>
          <w:i/>
          <w:iCs/>
        </w:rPr>
        <w:t xml:space="preserve">Dawson</w:t>
      </w:r>
      <w:r>
        <w:t xml:space="preserve">; elements of racial hatred were therefore not involved in the killing.”</w:t>
      </w:r>
      <w:r>
        <w:t xml:space="preserve"> </w:t>
      </w:r>
      <w:r>
        <w:rPr>
          <w:i/>
          <w:iCs/>
        </w:rPr>
        <w:t xml:space="preserve">Id.</w:t>
      </w:r>
      <w:r>
        <w:t xml:space="preserve"> </w:t>
      </w:r>
      <w:r>
        <w:t xml:space="preserve">at 166. Further, “the prosecution did not prove that the Aryan Brotherhood had committed any unlawful or violent acts, or had even endorsed such acts.”</w:t>
      </w:r>
      <w:r>
        <w:t xml:space="preserve"> </w:t>
      </w:r>
      <w:r>
        <w:rPr>
          <w:i/>
          <w:iCs/>
        </w:rPr>
        <w:t xml:space="preserve">Id.</w:t>
      </w:r>
      <w:r>
        <w:t xml:space="preserve"> </w:t>
      </w:r>
      <w:r>
        <w:t xml:space="preserve">The same result, though applied to a different alleged ideology and association, is necessary here. Indeed, because the rap video was introduced in the guilt phase of Mr. Bassett’s trial, rather than at sentencing (where evidentiary standards are more relaxed), the violation of his rights was even more egregious.</w:t>
      </w:r>
    </w:p>
    <w:p>
      <w:pPr>
        <w:keepNext/>
        <w:keepLines/>
        <w:spacing w:before="336" w:after="224" w:line="336" w:lineRule="exact"/>
        <w:ind w:left="720" w:hanging="720"/>
        <w:jc w:val="left"/>
      </w:pPr>
      <w:r>
        <w:rPr>
          <w:b/>
          <w:bCs/>
        </w:rPr>
        <w:t xml:space="preserve">II.</w:t>
      </w:r>
      <w:r>
        <w:rPr>
          <w:b/>
          <w:bCs/>
        </w:rPr>
        <w:tab/>
      </w:r>
      <w:r>
        <w:rPr>
          <w:b/>
          <w:bCs/>
        </w:rPr>
        <w:t xml:space="preserve">The</w:t>
      </w:r>
      <w:r>
        <w:rPr>
          <w:b/>
          <w:bCs/>
        </w:rPr>
        <w:t xml:space="preserve"> </w:t>
      </w:r>
      <w:r>
        <w:rPr>
          <w:b/>
          <w:bCs/>
        </w:rPr>
        <w:t xml:space="preserve">Evidence</w:t>
      </w:r>
      <w:r>
        <w:rPr>
          <w:b/>
          <w:bCs/>
        </w:rPr>
        <w:t xml:space="preserve"> </w:t>
      </w:r>
      <w:r>
        <w:rPr>
          <w:b/>
          <w:bCs/>
        </w:rPr>
        <w:t xml:space="preserve">at</w:t>
      </w:r>
      <w:r>
        <w:rPr>
          <w:b/>
          <w:bCs/>
        </w:rPr>
        <w:t xml:space="preserve"> </w:t>
      </w:r>
      <w:r>
        <w:rPr>
          <w:b/>
          <w:bCs/>
        </w:rPr>
        <w:t xml:space="preserve">Issue—Defendant’s</w:t>
      </w:r>
      <w:r>
        <w:rPr>
          <w:b/>
          <w:bCs/>
        </w:rPr>
        <w:t xml:space="preserve"> </w:t>
      </w:r>
      <w:r>
        <w:rPr>
          <w:b/>
          <w:bCs/>
        </w:rPr>
        <w:t xml:space="preserve">Music</w:t>
      </w:r>
      <w:r>
        <w:rPr>
          <w:b/>
          <w:bCs/>
        </w:rPr>
        <w:t xml:space="preserve"> </w:t>
      </w:r>
      <w:r>
        <w:rPr>
          <w:b/>
          <w:bCs/>
        </w:rPr>
        <w:t xml:space="preserve">Video—Is</w:t>
      </w:r>
      <w:r>
        <w:rPr>
          <w:b/>
          <w:bCs/>
        </w:rPr>
        <w:t xml:space="preserve"> </w:t>
      </w:r>
      <w:r>
        <w:rPr>
          <w:b/>
          <w:bCs/>
        </w:rPr>
        <w:t xml:space="preserve">Protected</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Amendment</w:t>
      </w:r>
    </w:p>
    <w:p>
      <w:pPr>
        <w:pStyle w:val="BodyText"/>
      </w:pPr>
      <w:r>
        <w:t xml:space="preserve">The Federal and State Constitutions “unquestionably” protect artistic expression such as painting, music, and poetry.</w:t>
      </w:r>
      <w:r>
        <w:t xml:space="preserve"> </w:t>
      </w:r>
      <w:r>
        <w:rPr>
          <w:i/>
          <w:iCs/>
        </w:rPr>
        <w:t xml:space="preserve">Hurley v. Irish-American Gay, Lesbian and Bisexual Group of Bos.</w:t>
      </w:r>
      <w:r>
        <w:t xml:space="preserve">, 515 U.S. 557,</w:t>
      </w:r>
      <w:r>
        <w:t xml:space="preserve"> </w:t>
      </w:r>
      <w:r>
        <w:t xml:space="preserve">569 (1995). In</w:t>
      </w:r>
      <w:r>
        <w:t xml:space="preserve"> </w:t>
      </w:r>
      <w:r>
        <w:rPr>
          <w:i/>
          <w:iCs/>
        </w:rPr>
        <w:t xml:space="preserve">Ward v. Rock Against Racism</w:t>
      </w:r>
      <w:r>
        <w:t xml:space="preserve">, the Supreme Court stated unequivocally that “[m]usic, as a form of expression and communication, is protected under the First Amendment.” 491 U.S. 781,</w:t>
      </w:r>
      <w:r>
        <w:t xml:space="preserve"> </w:t>
      </w:r>
      <w:r>
        <w:t xml:space="preserve">790 (1989). And in</w:t>
      </w:r>
      <w:r>
        <w:t xml:space="preserve"> </w:t>
      </w:r>
      <w:r>
        <w:rPr>
          <w:i/>
          <w:iCs/>
        </w:rPr>
        <w:t xml:space="preserve">Hurley</w:t>
      </w:r>
      <w:r>
        <w:t xml:space="preserve">, the Court clarified that artistic expression is protected even if its message is not overt. The Court held that a “narrow, succinctly articulable message is not a condition of constitutional protection, which if confined to expressions conveying a ‘particularized message,’ would never reach the unquestionably shielded painting of Jackson Pollock, music of Arnold Schöenberg, or Jabberwocky verse of Lewis Carroll.” 515 U.S. at 569 (internal citation omitted). This protection must extend to rap music. Musical expression is protected irrespective of the genre. As Justice Marshall wrote in his dissent in</w:t>
      </w:r>
      <w:r>
        <w:t xml:space="preserve"> </w:t>
      </w:r>
      <w:r>
        <w:rPr>
          <w:i/>
          <w:iCs/>
        </w:rPr>
        <w:t xml:space="preserve">Ward</w:t>
      </w:r>
      <w:r>
        <w:t xml:space="preserve">, “[n]ew music always sounds loud to old ears.” 491 U.S. at 810 n.7 (Marshall, J., dissenting).</w:t>
      </w:r>
    </w:p>
    <w:p>
      <w:pPr>
        <w:pStyle w:val="BodyText"/>
      </w:pPr>
      <w:r>
        <w:t xml:space="preserve">Regrettably, courts sometimes “do not acknowledge that defendants authoring rap music lyric are engaging in an artistic process.” Andrea Dennis, Poetic (In)Justice? Rap Music Lyrics as Art, Life, and Criminal Evidence, 31 Colum. J.L. &amp; Arts 1,</w:t>
      </w:r>
      <w:r>
        <w:t xml:space="preserve"> </w:t>
      </w:r>
      <w:r>
        <w:t xml:space="preserve">13 (2007). Yet the fictional and highly stylized nature of rap music has been well documented. One commentator has explained that “[t]he intention of the narrator of the [rap music] Yarn is to tell outrageous stories that stretch and shatter credibility, overblown accounts about characters expressed in superlatives . . . . We listen incredulously, not believing a single word . . . one outrageous lie after another.”</w:t>
      </w:r>
      <w:r>
        <w:t xml:space="preserve"> </w:t>
      </w:r>
      <w:r>
        <w:rPr>
          <w:i/>
          <w:iCs/>
        </w:rPr>
        <w:t xml:space="preserve">Id.</w:t>
      </w:r>
      <w:r>
        <w:t xml:space="preserve"> </w:t>
      </w:r>
      <w:r>
        <w:t xml:space="preserve">at 23 (citation omitted).</w:t>
      </w:r>
    </w:p>
    <w:p>
      <w:pPr>
        <w:pStyle w:val="BodyTextNote"/>
      </w:pPr>
      <w:r>
        <w:t xml:space="preserve">The lyrics in “Double O” exemplify the features of this art form: they are by turns menacing, boastful, and vulnerable, but in all cases the rap is creative and expressive. For example, in “Double O,” Mr. Bassett raps that “We all gon’ blow/​Till we all ten toes/​To the Sky/​And I know/​Some n*ggas gon’ ride,” creating a complex meter and rhyming pattern to describe with vivid imagery his own death.</w:t>
      </w:r>
      <w:r>
        <w:rPr>
          <w:rStyle w:val="FootnoteReference"/>
        </w:rPr>
        <w:footnoteReference w:id="16"/>
      </w:r>
      <w:r>
        <w:t xml:space="preserve"> </w:t>
      </w:r>
      <w:r>
        <w:t xml:space="preserve">Notably, what is missing from the lyrics is anything about the murder for which Mr. Bassett stood trial.</w:t>
      </w:r>
    </w:p>
    <w:p>
      <w:pPr>
        <w:pStyle w:val="BodyTextNote"/>
      </w:pPr>
      <w:r>
        <w:t xml:space="preserve">The extent to which “Double O” includes violent, vengeful, or gang imagery</w:t>
      </w:r>
      <w:r>
        <w:rPr>
          <w:rStyle w:val="FootnoteReference"/>
        </w:rPr>
        <w:footnoteReference w:id="17"/>
      </w:r>
      <w:r>
        <w:t xml:space="preserve"> </w:t>
      </w:r>
      <w:r>
        <w:t xml:space="preserve">must be understood in the context of its genre, drill rap, where such imagery is part of the idiom. Similar to Nashville’s famous “outlaw country” music and even Appalachian “murder ballads,” drill rap has tropes and conventions centering on a protagonist engaged in criminal activity. Johnny Cash’s murderous vagabond persona who “shot a man in Reno just to watch him die,”</w:t>
      </w:r>
      <w:r>
        <w:rPr>
          <w:rStyle w:val="FootnoteReference"/>
        </w:rPr>
        <w:footnoteReference w:id="18"/>
      </w:r>
      <w:r>
        <w:t xml:space="preserve"> </w:t>
      </w:r>
      <w:r>
        <w:t xml:space="preserve">and Dolly Parton’s jilted lover who stabs a victim in the heart “by the banks of the Ohio,”</w:t>
      </w:r>
      <w:r>
        <w:rPr>
          <w:rStyle w:val="FootnoteReference"/>
        </w:rPr>
        <w:footnoteReference w:id="19"/>
      </w:r>
      <w:r>
        <w:t xml:space="preserve"> </w:t>
      </w:r>
      <w:r>
        <w:t xml:space="preserve">are of a piece with the stylized gangster hero in “Double O,” who is not afraid to “let slugs go.”</w:t>
      </w:r>
    </w:p>
    <w:p>
      <w:pPr>
        <w:pStyle w:val="BodyTextNote"/>
      </w:pPr>
      <w:r>
        <w:t xml:space="preserve">While rap music—like many art forms—often involves profanity and language that might offend some listeners, those elements do not render songs like “Double O” unprotected by the First Amendment. In</w:t>
      </w:r>
      <w:r>
        <w:t xml:space="preserve"> </w:t>
      </w:r>
      <w:r>
        <w:rPr>
          <w:i/>
          <w:iCs/>
        </w:rPr>
        <w:t xml:space="preserve">Matal v. Tam</w:t>
      </w:r>
      <w:r>
        <w:t xml:space="preserve">, 137 S. Ct. 1744</w:t>
      </w:r>
      <w:r>
        <w:t xml:space="preserve"> </w:t>
      </w:r>
      <w:r>
        <w:t xml:space="preserve">(2017), the Supreme Court ruled that a music group’s name “The Slants,” which can also be a racial slur, was protected by the First Amendment, because “[g]iving offense is a viewpoint” and the government is prohibited from discriminating on the basis of viewpoint.</w:t>
      </w:r>
      <w:r>
        <w:t xml:space="preserve"> </w:t>
      </w:r>
      <w:r>
        <w:rPr>
          <w:i/>
          <w:iCs/>
        </w:rPr>
        <w:t xml:space="preserve">Id.</w:t>
      </w:r>
      <w:r>
        <w:t xml:space="preserve"> </w:t>
      </w:r>
      <w:r>
        <w:t xml:space="preserve">at 1749.</w:t>
      </w:r>
      <w:r>
        <w:t xml:space="preserve"> </w:t>
      </w:r>
      <w:r>
        <w:rPr>
          <w:i/>
          <w:iCs/>
        </w:rPr>
        <w:t xml:space="preserve">See also</w:t>
      </w:r>
      <w:r>
        <w:t xml:space="preserve"> </w:t>
      </w:r>
      <w:r>
        <w:rPr>
          <w:i/>
          <w:iCs/>
        </w:rPr>
        <w:t xml:space="preserve">Iancu v. Brunetti</w:t>
      </w:r>
      <w:r>
        <w:t xml:space="preserve">, 139 S. Ct. 2294</w:t>
      </w:r>
      <w:r>
        <w:t xml:space="preserve"> </w:t>
      </w:r>
      <w:r>
        <w:t xml:space="preserve">(2019) (extending</w:t>
      </w:r>
      <w:r>
        <w:t xml:space="preserve"> </w:t>
      </w:r>
      <w:r>
        <w:rPr>
          <w:i/>
          <w:iCs/>
        </w:rPr>
        <w:t xml:space="preserve">Tam</w:t>
      </w:r>
      <w:r>
        <w:t xml:space="preserve"> </w:t>
      </w:r>
      <w:r>
        <w:t xml:space="preserve">to protect a fashion label whose name, FUCT, is pronounced like a common profanity).</w:t>
      </w:r>
      <w:r>
        <w:rPr>
          <w:rStyle w:val="FootnoteReference"/>
        </w:rPr>
        <w:footnoteReference w:id="20"/>
      </w:r>
    </w:p>
    <w:p>
      <w:pPr>
        <w:pStyle w:val="BodyText"/>
      </w:pPr>
      <w:r>
        <w:t xml:space="preserve">The doctrine of strictissimi juris provides further constitutional justification for rejecting the music video as evidence. According to that doctrine, crimes involving membership in a group engaged in illegal activities require individualized evidence that the defendant specifically intended to participate in the crime at issue—association with people who committed crimes is not enough.</w:t>
      </w:r>
      <w:r>
        <w:t xml:space="preserve"> </w:t>
      </w:r>
      <w:r>
        <w:rPr>
          <w:i/>
          <w:iCs/>
        </w:rPr>
        <w:t xml:space="preserve">See</w:t>
      </w:r>
      <w:r>
        <w:t xml:space="preserve"> </w:t>
      </w:r>
      <w:r>
        <w:rPr>
          <w:i/>
          <w:iCs/>
        </w:rPr>
        <w:t xml:space="preserve">Noto v. United States</w:t>
      </w:r>
      <w:r>
        <w:t xml:space="preserve">, 367 U.S. 290,</w:t>
      </w:r>
      <w:r>
        <w:t xml:space="preserve"> </w:t>
      </w:r>
      <w:r>
        <w:t xml:space="preserve">299 (1961). Therefore, even if, unlike here, Mr. Bassett was found to be a member of a gang, and even if he was charged with a crime related to his membership, the doctrine of strictissimi juris would still require especially heightened scrutiny of evidence that implicates his First Amendment associational rights.</w:t>
      </w:r>
    </w:p>
    <w:p>
      <w:pPr>
        <w:keepNext/>
        <w:keepLines/>
        <w:spacing w:before="336" w:after="224" w:line="336" w:lineRule="exact"/>
        <w:ind w:left="720" w:hanging="720"/>
        <w:jc w:val="left"/>
      </w:pPr>
      <w:r>
        <w:rPr>
          <w:b/>
          <w:bCs/>
        </w:rPr>
        <w:t xml:space="preserve">III.</w:t>
      </w:r>
      <w:r>
        <w:rPr>
          <w:b/>
          <w:bCs/>
        </w:rPr>
        <w:tab/>
      </w:r>
      <w:r>
        <w:rPr>
          <w:b/>
          <w:bCs/>
        </w:rPr>
        <w:t xml:space="preserve">Admitting</w:t>
      </w:r>
      <w:r>
        <w:rPr>
          <w:b/>
          <w:bCs/>
        </w:rPr>
        <w:t xml:space="preserve"> </w:t>
      </w:r>
      <w:r>
        <w:rPr>
          <w:b/>
          <w:bCs/>
        </w:rPr>
        <w:t xml:space="preserve">the</w:t>
      </w:r>
      <w:r>
        <w:rPr>
          <w:b/>
          <w:bCs/>
        </w:rPr>
        <w:t xml:space="preserve"> </w:t>
      </w:r>
      <w:r>
        <w:rPr>
          <w:b/>
          <w:bCs/>
        </w:rPr>
        <w:t xml:space="preserve">Music</w:t>
      </w:r>
      <w:r>
        <w:rPr>
          <w:b/>
          <w:bCs/>
        </w:rPr>
        <w:t xml:space="preserve"> </w:t>
      </w:r>
      <w:r>
        <w:rPr>
          <w:b/>
          <w:bCs/>
        </w:rPr>
        <w:t xml:space="preserve">Video</w:t>
      </w:r>
      <w:r>
        <w:rPr>
          <w:b/>
          <w:bCs/>
        </w:rPr>
        <w:t xml:space="preserve"> </w:t>
      </w:r>
      <w:r>
        <w:rPr>
          <w:b/>
          <w:bCs/>
        </w:rPr>
        <w:t xml:space="preserve">Violated</w:t>
      </w:r>
      <w:r>
        <w:rPr>
          <w:b/>
          <w:bCs/>
        </w:rPr>
        <w:t xml:space="preserve"> </w:t>
      </w:r>
      <w:r>
        <w:rPr>
          <w:b/>
          <w:bCs/>
        </w:rPr>
        <w:t xml:space="preserve">Defendant’s</w:t>
      </w:r>
      <w:r>
        <w:rPr>
          <w:b/>
          <w:bCs/>
        </w:rPr>
        <w:t xml:space="preserve"> </w:t>
      </w:r>
      <w:r>
        <w:rPr>
          <w:b/>
          <w:bCs/>
        </w:rPr>
        <w:t xml:space="preserve">First</w:t>
      </w:r>
      <w:r>
        <w:rPr>
          <w:b/>
          <w:bCs/>
        </w:rPr>
        <w:t xml:space="preserve"> </w:t>
      </w:r>
      <w:r>
        <w:rPr>
          <w:b/>
          <w:bCs/>
        </w:rPr>
        <w:t xml:space="preserve">Amendment</w:t>
      </w:r>
      <w:r>
        <w:rPr>
          <w:b/>
          <w:bCs/>
        </w:rPr>
        <w:t xml:space="preserve"> </w:t>
      </w:r>
      <w:r>
        <w:rPr>
          <w:b/>
          <w:bCs/>
        </w:rPr>
        <w:t xml:space="preserve">Rights</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Video</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Relevant</w:t>
      </w:r>
      <w:r>
        <w:rPr>
          <w:b/>
          <w:bCs/>
        </w:rPr>
        <w:t xml:space="preserve"> </w:t>
      </w:r>
      <w:r>
        <w:rPr>
          <w:b/>
          <w:bCs/>
        </w:rPr>
        <w:t xml:space="preserve">to</w:t>
      </w:r>
      <w:r>
        <w:rPr>
          <w:b/>
          <w:bCs/>
        </w:rPr>
        <w:t xml:space="preserve"> </w:t>
      </w:r>
      <w:r>
        <w:rPr>
          <w:b/>
          <w:bCs/>
        </w:rPr>
        <w:t xml:space="preserve">Any</w:t>
      </w:r>
      <w:r>
        <w:rPr>
          <w:b/>
          <w:bCs/>
        </w:rPr>
        <w:t xml:space="preserve"> </w:t>
      </w:r>
      <w:r>
        <w:rPr>
          <w:b/>
          <w:bCs/>
        </w:rPr>
        <w:t xml:space="preserve">Issue</w:t>
      </w:r>
      <w:r>
        <w:rPr>
          <w:b/>
          <w:bCs/>
        </w:rPr>
        <w:t xml:space="preserve"> </w:t>
      </w:r>
      <w:r>
        <w:rPr>
          <w:b/>
          <w:bCs/>
        </w:rPr>
        <w:t xml:space="preserve">Before</w:t>
      </w:r>
      <w:r>
        <w:rPr>
          <w:b/>
          <w:bCs/>
        </w:rPr>
        <w:t xml:space="preserve"> </w:t>
      </w:r>
      <w:r>
        <w:rPr>
          <w:b/>
          <w:bCs/>
        </w:rPr>
        <w:t xml:space="preserve">the</w:t>
      </w:r>
      <w:r>
        <w:rPr>
          <w:b/>
          <w:bCs/>
        </w:rPr>
        <w:t xml:space="preserve"> </w:t>
      </w:r>
      <w:r>
        <w:rPr>
          <w:b/>
          <w:bCs/>
        </w:rPr>
        <w:t xml:space="preserve">Court</w:t>
      </w:r>
    </w:p>
    <w:p>
      <w:pPr>
        <w:pStyle w:val="BodyText"/>
      </w:pPr>
      <w:r>
        <w:t xml:space="preserve">The music video was irrelevant to any issue before the court for essentially the same reasons present in</w:t>
      </w:r>
      <w:r>
        <w:t xml:space="preserve"> </w:t>
      </w:r>
      <w:r>
        <w:rPr>
          <w:i/>
          <w:iCs/>
        </w:rPr>
        <w:t xml:space="preserve">Dawson</w:t>
      </w:r>
      <w:r>
        <w:t xml:space="preserve">. First, much like the Supreme Court’s determination in</w:t>
      </w:r>
      <w:r>
        <w:t xml:space="preserve"> </w:t>
      </w:r>
      <w:r>
        <w:rPr>
          <w:i/>
          <w:iCs/>
        </w:rPr>
        <w:t xml:space="preserve">Dawson</w:t>
      </w:r>
      <w:r>
        <w:t xml:space="preserve"> </w:t>
      </w:r>
      <w:r>
        <w:t xml:space="preserve">that a defendant’s white supremacist ideology was not relevant to a murder where both the accused and the victim were white, 503 U.S. at 166, the State’s purported evidence of Mr. Bassett’s affiliation with a gang cannot be relevant where the State concedes neither he nor the victim were confirmed to be in a gang. (T. R. Vol. 12, p. 1179). The question of relevance is even clearer in this case than in</w:t>
      </w:r>
      <w:r>
        <w:t xml:space="preserve"> </w:t>
      </w:r>
      <w:r>
        <w:rPr>
          <w:i/>
          <w:iCs/>
        </w:rPr>
        <w:t xml:space="preserve">Dawson</w:t>
      </w:r>
      <w:r>
        <w:t xml:space="preserve">, because</w:t>
      </w:r>
      <w:r>
        <w:t xml:space="preserve"> </w:t>
      </w:r>
      <w:r>
        <w:rPr>
          <w:i/>
          <w:iCs/>
        </w:rPr>
        <w:t xml:space="preserve">Dawson’s</w:t>
      </w:r>
      <w:r>
        <w:t xml:space="preserve"> </w:t>
      </w:r>
      <w:r>
        <w:t xml:space="preserve">gang affiliation was not contested, while Mr. Bassett’s was not proven.</w:t>
      </w:r>
      <w:r>
        <w:t xml:space="preserve"> </w:t>
      </w:r>
      <w:r>
        <w:rPr>
          <w:i/>
          <w:iCs/>
        </w:rPr>
        <w:t xml:space="preserve">United States v. Serrano-Ramirez</w:t>
      </w:r>
      <w:r>
        <w:t xml:space="preserve">, 319 F. Supp. 3d 918,</w:t>
      </w:r>
      <w:r>
        <w:t xml:space="preserve"> </w:t>
      </w:r>
      <w:r>
        <w:t xml:space="preserve">920–21 (M.D. Tenn. 2018) (“Evidence of gang affiliation is inadmissible if, standing alone, there is no connection between it and the charged offense.”) (citing</w:t>
      </w:r>
      <w:r>
        <w:t xml:space="preserve"> </w:t>
      </w:r>
      <w:r>
        <w:rPr>
          <w:i/>
          <w:iCs/>
        </w:rPr>
        <w:t xml:space="preserve">United States v. Ford</w:t>
      </w:r>
      <w:r>
        <w:t xml:space="preserve">, 761 F.3d 641,</w:t>
      </w:r>
      <w:r>
        <w:t xml:space="preserve"> </w:t>
      </w:r>
      <w:r>
        <w:t xml:space="preserve">649–50 (6th Cir. 2014));</w:t>
      </w:r>
      <w:r>
        <w:t xml:space="preserve"> </w:t>
      </w:r>
      <w:r>
        <w:rPr>
          <w:i/>
          <w:iCs/>
        </w:rPr>
        <w:t xml:space="preserve">see also</w:t>
      </w:r>
      <w:r>
        <w:t xml:space="preserve"> </w:t>
      </w:r>
      <w:r>
        <w:rPr>
          <w:i/>
          <w:iCs/>
        </w:rPr>
        <w:t xml:space="preserve">United States v. Anderson</w:t>
      </w:r>
      <w:r>
        <w:t xml:space="preserve">, 333 Fed. App’x 17,</w:t>
      </w:r>
      <w:r>
        <w:t xml:space="preserve"> </w:t>
      </w:r>
      <w:r>
        <w:t xml:space="preserve">24 (6th Cir. 2009) (“This Court has held that evidence of gang affiliation is admissible to establish the defendant’s opportunity to commit a crime, or where the interrelationship between people is a central issue in the case, but is inadmissible if there is no connection between the gang evidence and the charged offense.”);</w:t>
      </w:r>
      <w:r>
        <w:t xml:space="preserve"> </w:t>
      </w:r>
      <w:r>
        <w:rPr>
          <w:i/>
          <w:iCs/>
        </w:rPr>
        <w:t xml:space="preserve">United States v. Newsom</w:t>
      </w:r>
      <w:r>
        <w:t xml:space="preserve">, 452 F.3d 593,</w:t>
      </w:r>
      <w:r>
        <w:t xml:space="preserve"> </w:t>
      </w:r>
      <w:r>
        <w:t xml:space="preserve">602–04 (6th Cir. 2006). This court has similarly ruled that gang evidence is inadmissible unless it is “relevant” for a “non-propensity purpose.”</w:t>
      </w:r>
      <w:r>
        <w:t xml:space="preserve"> </w:t>
      </w:r>
      <w:r>
        <w:rPr>
          <w:i/>
          <w:iCs/>
        </w:rPr>
        <w:t xml:space="preserve">State v. Reynolds</w:t>
      </w:r>
      <w:r>
        <w:t xml:space="preserve">, 2020 WL 3412275,</w:t>
      </w:r>
      <w:r>
        <w:t xml:space="preserve"> </w:t>
      </w:r>
      <w:r>
        <w:t xml:space="preserve">at *25 (Tenn. Crim. App. June 22, 2020).</w:t>
      </w:r>
    </w:p>
    <w:p>
      <w:pPr>
        <w:pStyle w:val="BodyText"/>
      </w:pPr>
      <w:r>
        <w:t xml:space="preserve">Second, as in</w:t>
      </w:r>
      <w:r>
        <w:t xml:space="preserve"> </w:t>
      </w:r>
      <w:r>
        <w:rPr>
          <w:i/>
          <w:iCs/>
        </w:rPr>
        <w:t xml:space="preserve">Dawson</w:t>
      </w:r>
      <w:r>
        <w:t xml:space="preserve">, there was no accusation here that the gang of which the defendant was allegedly a member had anything to do with the murder. Neither Mr. Bassett nor any of his co-defendants were charged with any gang-related offenses or sentencing enhancements, and the State never even attempted to prove that their purported gang “committed any unlawful or violent acts.” 530 U.S. at 166. As a result, advancing evidence of Mr. Bassett’s alleged membership in a gang did nothing more than attempt to hold him guilty by association.</w:t>
      </w:r>
      <w:r>
        <w:t xml:space="preserve"> </w:t>
      </w:r>
      <w:r>
        <w:rPr>
          <w:i/>
          <w:iCs/>
        </w:rPr>
        <w:t xml:space="preserve">See</w:t>
      </w:r>
      <w:r>
        <w:t xml:space="preserve"> </w:t>
      </w:r>
      <w:r>
        <w:rPr>
          <w:i/>
          <w:iCs/>
        </w:rPr>
        <w:t xml:space="preserve">Healy v. James</w:t>
      </w:r>
      <w:r>
        <w:t xml:space="preserve">, 408 U.S. 169,</w:t>
      </w:r>
      <w:r>
        <w:t xml:space="preserve"> </w:t>
      </w:r>
      <w:r>
        <w:t xml:space="preserve">186 (1972) (holding that “it has been established that ‘guilt by association alone, without (establishing) that an individual’s association poses the threat feared by the Government,’ is an impermissible basis upon which to deny First Amendment rights” (quoting</w:t>
      </w:r>
      <w:r>
        <w:t xml:space="preserve"> </w:t>
      </w:r>
      <w:r>
        <w:rPr>
          <w:i/>
          <w:iCs/>
        </w:rPr>
        <w:t xml:space="preserve">United States v. Robel</w:t>
      </w:r>
      <w:r>
        <w:t xml:space="preserve">, 389 U.S. 258,</w:t>
      </w:r>
      <w:r>
        <w:t xml:space="preserve"> </w:t>
      </w:r>
      <w:r>
        <w:t xml:space="preserve">265 (1967)).</w:t>
      </w:r>
    </w:p>
    <w:p>
      <w:pPr>
        <w:pStyle w:val="BodyText"/>
      </w:pPr>
      <w:r>
        <w:t xml:space="preserve">Further, as in</w:t>
      </w:r>
      <w:r>
        <w:t xml:space="preserve"> </w:t>
      </w:r>
      <w:r>
        <w:rPr>
          <w:i/>
          <w:iCs/>
        </w:rPr>
        <w:t xml:space="preserve">Skinner</w:t>
      </w:r>
      <w:r>
        <w:t xml:space="preserve">, where a young Black man’s notebooks of rap lyrics composed over several years were improperly introduced as evidence of “motive and intent” to commit an alleged attempted murder, the defendant’s songs were written months before the crime in question, did not mention the victim, and in no way illuminated the state of mind of the accused on the night of the murder. The State Supreme Court in that case found that Mr. Skinner’s “violent, profane, and disturbing rap lyrics […] bore little or no probative value as to any motive or intent behind the […] offense with which he was charged,” 218 N.J. 496,</w:t>
      </w:r>
      <w:r>
        <w:t xml:space="preserve"> </w:t>
      </w:r>
      <w:r>
        <w:t xml:space="preserve">500, and the same is true of Mr. Bassett. Similarly, in</w:t>
      </w:r>
      <w:r>
        <w:t xml:space="preserve"> </w:t>
      </w:r>
      <w:r>
        <w:rPr>
          <w:i/>
          <w:iCs/>
        </w:rPr>
        <w:t xml:space="preserve">Cheeseboro</w:t>
      </w:r>
      <w:r>
        <w:t xml:space="preserve">, the South Carolina Supreme Court held that the defendant’s rap lyrics, which did not refer to the crimes at issue, were “too vague in context to support the admission of this evidence. The minimal probative value of this document is far outweighed by its unfair prejudicial impact as evidence of appellant’s bad character, i.e., his propensity for violence in general . . . . [T]hese lyrics contain only general references glorifying violence.” 552 S.E.2d 300,</w:t>
      </w:r>
      <w:r>
        <w:t xml:space="preserve"> </w:t>
      </w:r>
      <w:r>
        <w:t xml:space="preserve">313 (S.C. 2001). And in</w:t>
      </w:r>
      <w:r>
        <w:t xml:space="preserve"> </w:t>
      </w:r>
      <w:r>
        <w:rPr>
          <w:i/>
          <w:iCs/>
        </w:rPr>
        <w:t xml:space="preserve">Hannah</w:t>
      </w:r>
      <w:r>
        <w:t xml:space="preserve">, the Maryland Court of Appeals found that the defendant’s rap lyrics “were probative of no issue other than the issue of whether he has a propensity for violence.” 23 A.3d at 201. Character evidence is inadmissible under basic rules of evidence, and therefore Mr. Bassett’s alleged propensity for retaliation and violence was not an issue properly before the court according to</w:t>
      </w:r>
      <w:r>
        <w:t xml:space="preserve"> </w:t>
      </w:r>
      <w:r>
        <w:rPr>
          <w:i/>
          <w:iCs/>
        </w:rPr>
        <w:t xml:space="preserve">Dawson</w:t>
      </w:r>
      <w:r>
        <w:t xml:space="preserve">.</w:t>
      </w:r>
    </w:p>
    <w:p>
      <w:pPr>
        <w:pStyle w:val="BodyTextNote"/>
      </w:pPr>
      <w:r>
        <w:t xml:space="preserve">Thus, because the rap video was irrelevant to any issue before the court, it should not have been admitted. Commentators have noted that the increasing use of rap music as evidence during criminal trials is having a chilling effect on artists. Rapper and activist Killer Mike writes that the use of rap lyrics as criminal evidence “scares the sh*t out of me” and advises young artists to be aware of the risk that their lyrics might be used against them “while still pushing the line on speech.” Nielson &amp; Dennis,</w:t>
      </w:r>
      <w:r>
        <w:t xml:space="preserve"> </w:t>
      </w:r>
      <w:r>
        <w:rPr>
          <w:i/>
          <w:iCs/>
        </w:rPr>
        <w:t xml:space="preserve">supra</w:t>
      </w:r>
      <w:r>
        <w:t xml:space="preserve">, at xi–x. The First Amendment protects against this kind of “subtle government interference” with free speech.</w:t>
      </w:r>
      <w:r>
        <w:t xml:space="preserve"> </w:t>
      </w:r>
      <w:r>
        <w:rPr>
          <w:i/>
          <w:iCs/>
        </w:rPr>
        <w:t xml:space="preserve">Bates v. Little Rock</w:t>
      </w:r>
      <w:r>
        <w:t xml:space="preserve">, 361 U.S. 516,</w:t>
      </w:r>
      <w:r>
        <w:t xml:space="preserve"> </w:t>
      </w:r>
      <w:r>
        <w:t xml:space="preserve">523 (1960). If courts withhold protection from rap music—a genre that is most often produced by African Americans—and allow it to be used as evidence at criminal trials, the effect will be to further exacerbate the current racial disparities in incarceration.</w:t>
      </w:r>
      <w:r>
        <w:rPr>
          <w:rStyle w:val="FootnoteReference"/>
        </w:rPr>
        <w:footnoteReference w:id="21"/>
      </w:r>
    </w:p>
    <w:p>
      <w:pPr>
        <w:keepNext/>
        <w:keepLines/>
        <w:spacing w:before="448" w:after="336" w:line="336" w:lineRule="exact"/>
        <w:ind w:left="0" w:firstLine="0"/>
        <w:jc w:val="center"/>
      </w:pPr>
      <w:r>
        <w:rPr>
          <w:b/>
          <w:bCs/>
        </w:rPr>
        <w:t xml:space="preserve">CONCLUSION</w:t>
      </w:r>
    </w:p>
    <w:p>
      <w:pPr>
        <w:pStyle w:val="BodyText"/>
      </w:pPr>
      <w:r>
        <w:t xml:space="preserve">For the reasons set forth above, amici respectfully urge this Court to hold that the music video “Double O” should not have been admitted into evidence and to remand for further proceedings consistent with that determination.</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36" w:lineRule="exact"/>
              <w:ind w:left="0" w:firstLine="0"/>
              <w:jc w:val="left"/>
            </w:pPr>
            <w:r>
              <w:t xml:space="preserve">Dated:</w:t>
            </w:r>
            <w:r>
              <w:t xml:space="preserve"> </w:t>
            </w:r>
            <w:r>
              <w:t xml:space="preserve">November</w:t>
            </w:r>
            <w:r>
              <w:t xml:space="preserve"> </w:t>
            </w:r>
            <w:r>
              <w:t xml:space="preserve">5th,</w:t>
            </w:r>
            <w:r>
              <w:t xml:space="preserve"> </w:t>
            </w:r>
            <w:r>
              <w:t xml:space="preserve">2020</w:t>
            </w:r>
          </w:p>
          <w:p>
            <w:pPr>
              <w:spacing w:before="112" w:after="0" w:line="336" w:lineRule="exact"/>
              <w:ind w:left="4608" w:firstLine="0"/>
              <w:jc w:val="left"/>
            </w:pPr>
            <w:r>
              <w:t xml:space="preserve">Respectfully</w:t>
            </w:r>
            <w:r>
              <w:t xml:space="preserve"> </w:t>
            </w:r>
            <w:r>
              <w:t xml:space="preserve">submitted,</w:t>
            </w:r>
          </w:p>
          <w:p>
            <w:pPr>
              <w:spacing w:before="112" w:after="0" w:line="336" w:lineRule="exact"/>
              <w:ind w:left="4608" w:firstLine="0"/>
              <w:jc w:val="left"/>
            </w:pPr>
            <w:r>
              <w:t xml:space="preserve">/s/</w:t>
            </w:r>
            <w:r>
              <w:t xml:space="preserve"> </w:t>
            </w:r>
            <w:r>
              <w:t xml:space="preserve">Thomas</w:t>
            </w:r>
            <w:r>
              <w:t xml:space="preserve"> </w:t>
            </w:r>
            <w:r>
              <w:t xml:space="preserve">H.</w:t>
            </w:r>
            <w:r>
              <w:t xml:space="preserve"> </w:t>
            </w:r>
            <w:r>
              <w:t xml:space="preserve">Castelli</w:t>
            </w:r>
          </w:p>
          <w:p>
            <w:pPr>
              <w:spacing w:before="0" w:after="0" w:line="336" w:lineRule="exact"/>
              <w:ind w:left="4608" w:firstLine="0"/>
              <w:jc w:val="left"/>
            </w:pPr>
            <w:r>
              <w:t xml:space="preserve">Thomas</w:t>
            </w:r>
            <w:r>
              <w:t xml:space="preserve"> </w:t>
            </w:r>
            <w:r>
              <w:t xml:space="preserve">H.</w:t>
            </w:r>
            <w:r>
              <w:t xml:space="preserve"> </w:t>
            </w:r>
            <w:r>
              <w:t xml:space="preserve">Castelli</w:t>
            </w:r>
          </w:p>
          <w:p>
            <w:pPr>
              <w:spacing w:before="0" w:after="0" w:line="336" w:lineRule="exact"/>
              <w:ind w:left="4608" w:firstLine="0"/>
              <w:jc w:val="left"/>
            </w:pPr>
            <w:r>
              <w:t xml:space="preserve">BPR</w:t>
            </w:r>
            <w:r>
              <w:t xml:space="preserve"> </w:t>
            </w:r>
            <w:r>
              <w:t xml:space="preserve">No.</w:t>
            </w:r>
            <w:r>
              <w:t xml:space="preserve"> </w:t>
            </w:r>
            <w:r>
              <w:t xml:space="preserve">24849</w:t>
            </w:r>
          </w:p>
        </w:tc>
      </w:tr>
    </w:tbl>
    <w:p>
      <w:pPr>
        <w:pageBreakBefore/>
        <w:spacing w:before="0" w:after="0" w:line="1" w:lineRule="exact"/>
      </w:pPr>
    </w:p>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50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limit</w:t>
      </w:r>
      <w:r>
        <w:t xml:space="preserve"> </w:t>
      </w:r>
      <w:r>
        <w:t xml:space="preserve">of</w:t>
      </w:r>
      <w:r>
        <w:t xml:space="preserve"> </w:t>
      </w:r>
      <w:r>
        <w:t xml:space="preserve">Tenn.</w:t>
      </w:r>
      <w:r>
        <w:t xml:space="preserve"> </w:t>
      </w:r>
      <w:r>
        <w:t xml:space="preserve">R.</w:t>
      </w:r>
      <w:r>
        <w:t xml:space="preserve"> </w:t>
      </w:r>
      <w:r>
        <w:t xml:space="preserve">App.</w:t>
      </w:r>
      <w:r>
        <w:t xml:space="preserve"> </w:t>
      </w:r>
      <w:r>
        <w:t xml:space="preserve">P.</w:t>
      </w:r>
      <w:r>
        <w:t xml:space="preserve"> </w:t>
      </w:r>
      <w:r>
        <w:t xml:space="preserve">30(e)</w:t>
      </w:r>
      <w:r>
        <w:t xml:space="preserve"> </w:t>
      </w:r>
      <w:r>
        <w:t xml:space="preserve">and</w:t>
      </w:r>
      <w:r>
        <w:t xml:space="preserve"> </w:t>
      </w:r>
      <w:r>
        <w:t xml:space="preserve">contains</w:t>
      </w:r>
      <w:r>
        <w:t xml:space="preserve"> </w:t>
      </w:r>
      <w:r>
        <w:t xml:space="preserve">3,782</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brief</w:t>
      </w:r>
      <w:r>
        <w:t xml:space="preserve"> </w:t>
      </w:r>
      <w:r>
        <w:t xml:space="preserve">exempt</w:t>
      </w:r>
      <w:r>
        <w:t xml:space="preserve"> </w:t>
      </w:r>
      <w:r>
        <w:t xml:space="preserve">under</w:t>
      </w:r>
      <w:r>
        <w:t xml:space="preserve"> </w:t>
      </w:r>
      <w:r>
        <w:t xml:space="preserve">that</w:t>
      </w:r>
      <w:r>
        <w:t xml:space="preserve"> </w:t>
      </w:r>
      <w:r>
        <w:t xml:space="preserve">rule.</w:t>
      </w:r>
      <w:r>
        <w:t xml:space="preserve"> </w:t>
      </w:r>
      <w:r>
        <w:t xml:space="preserve">The</w:t>
      </w:r>
      <w:r>
        <w:t xml:space="preserve"> </w:t>
      </w:r>
      <w:r>
        <w:t xml:space="preserve">count</w:t>
      </w:r>
      <w:r>
        <w:t xml:space="preserve"> </w:t>
      </w:r>
      <w:r>
        <w:t xml:space="preserve">was</w:t>
      </w:r>
      <w:r>
        <w:t xml:space="preserve"> </w:t>
      </w:r>
      <w:r>
        <w:t xml:space="preserve">made</w:t>
      </w:r>
      <w:r>
        <w:t xml:space="preserve"> </w:t>
      </w:r>
      <w:r>
        <w:t xml:space="preserve">from</w:t>
      </w:r>
      <w:r>
        <w:t xml:space="preserve"> </w:t>
      </w:r>
      <w:r>
        <w:t xml:space="preserve">the</w:t>
      </w:r>
      <w:r>
        <w:t xml:space="preserve"> </w:t>
      </w:r>
      <w:r>
        <w:t xml:space="preserve">text</w:t>
      </w:r>
      <w:r>
        <w:t xml:space="preserve"> </w:t>
      </w:r>
      <w:r>
        <w:t xml:space="preserve">of</w:t>
      </w:r>
      <w:r>
        <w:t xml:space="preserve"> </w:t>
      </w:r>
      <w:r>
        <w:t xml:space="preserve">the</w:t>
      </w:r>
      <w:r>
        <w:t xml:space="preserve"> </w:t>
      </w:r>
      <w:r>
        <w:t xml:space="preserve">brief</w:t>
      </w:r>
      <w:r>
        <w:t xml:space="preserve"> </w:t>
      </w:r>
      <w:r>
        <w:t xml:space="preserve">as</w:t>
      </w:r>
      <w:r>
        <w:t xml:space="preserve"> </w:t>
      </w:r>
      <w:r>
        <w:t xml:space="preserve">filed.</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36" w:lineRule="exact"/>
              <w:ind w:left="4608" w:firstLine="0"/>
              <w:jc w:val="left"/>
            </w:pPr>
            <w:r>
              <w:t xml:space="preserve">/s/</w:t>
            </w:r>
            <w:r>
              <w:t xml:space="preserve"> </w:t>
            </w:r>
            <w:r>
              <w:t xml:space="preserve">Thomas</w:t>
            </w:r>
            <w:r>
              <w:t xml:space="preserve"> </w:t>
            </w:r>
            <w:r>
              <w:t xml:space="preserve">H.</w:t>
            </w:r>
            <w:r>
              <w:t xml:space="preserve"> </w:t>
            </w:r>
            <w:r>
              <w:t xml:space="preserve">Castelli</w:t>
            </w:r>
          </w:p>
          <w:p>
            <w:pPr>
              <w:spacing w:before="0" w:after="0" w:line="336" w:lineRule="exact"/>
              <w:ind w:left="4608" w:firstLine="0"/>
              <w:jc w:val="left"/>
            </w:pPr>
            <w:r>
              <w:t xml:space="preserve">Thomas</w:t>
            </w:r>
            <w:r>
              <w:t xml:space="preserve"> </w:t>
            </w:r>
            <w:r>
              <w:t xml:space="preserve">H.</w:t>
            </w:r>
            <w:r>
              <w:t xml:space="preserve"> </w:t>
            </w:r>
            <w:r>
              <w:t xml:space="preserve">Castelli</w:t>
            </w:r>
          </w:p>
          <w:p>
            <w:pPr>
              <w:spacing w:before="0" w:after="0" w:line="336" w:lineRule="exact"/>
              <w:ind w:left="4608" w:firstLine="0"/>
              <w:jc w:val="left"/>
            </w:pPr>
            <w:r>
              <w:t xml:space="preserve">BPR</w:t>
            </w:r>
            <w:r>
              <w:t xml:space="preserve"> </w:t>
            </w:r>
            <w:r>
              <w:t xml:space="preserve">No.</w:t>
            </w:r>
            <w:r>
              <w:t xml:space="preserve"> </w:t>
            </w:r>
            <w:r>
              <w:t xml:space="preserve">24849</w:t>
            </w:r>
          </w:p>
        </w:tc>
      </w:tr>
    </w:tbl>
    <w:p>
      <w:pPr>
        <w:pageBreakBefore/>
        <w:spacing w:before="0" w:after="0" w:line="1" w:lineRule="exact"/>
      </w:pPr>
    </w:p>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0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November</w:t>
      </w:r>
      <w:r>
        <w:t xml:space="preserve"> </w:t>
      </w:r>
      <w:r>
        <w:t xml:space="preserve">5th,</w:t>
      </w:r>
      <w:r>
        <w:t xml:space="preserve"> </w:t>
      </w:r>
      <w:r>
        <w:t xml:space="preserve">2020,</w:t>
      </w:r>
      <w:r>
        <w:t xml:space="preserve"> </w:t>
      </w:r>
      <w:r>
        <w:t xml:space="preserve">I</w:t>
      </w:r>
      <w:r>
        <w:t xml:space="preserve"> </w:t>
      </w:r>
      <w:r>
        <w:t xml:space="preserve">served</w:t>
      </w:r>
      <w:r>
        <w:t xml:space="preserve"> </w:t>
      </w:r>
      <w:r>
        <w:t xml:space="preserve">a</w:t>
      </w:r>
      <w:r>
        <w:t xml:space="preserve"> </w:t>
      </w:r>
      <w:r>
        <w:t xml:space="preserve">true</w:t>
      </w:r>
      <w:r>
        <w:t xml:space="preserve"> </w:t>
      </w:r>
      <w:r>
        <w:t xml:space="preserve">and</w:t>
      </w:r>
      <w:r>
        <w:t xml:space="preserve"> </w:t>
      </w:r>
      <w:r>
        <w:t xml:space="preserve">exact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via</w:t>
      </w:r>
      <w:r>
        <w:t xml:space="preserve"> </w:t>
      </w:r>
      <w:r>
        <w:t xml:space="preserve">the</w:t>
      </w:r>
      <w:r>
        <w:t xml:space="preserve"> </w:t>
      </w:r>
      <w:r>
        <w:t xml:space="preserve">Court’s</w:t>
      </w:r>
      <w:r>
        <w:t xml:space="preserve"> </w:t>
      </w:r>
      <w:r>
        <w:t xml:space="preserve">e-file</w:t>
      </w:r>
      <w:r>
        <w:t xml:space="preserve"> </w:t>
      </w:r>
      <w:r>
        <w:t xml:space="preserve">system</w:t>
      </w:r>
      <w:r>
        <w:t xml:space="preserve"> </w:t>
      </w:r>
      <w:r>
        <w:t xml:space="preserve">upon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p>
    <w:p>
      <w:pPr>
        <w:spacing w:before="0" w:after="0" w:line="504" w:lineRule="exact"/>
        <w:ind w:left="0" w:firstLine="720"/>
        <w:jc w:val="left"/>
      </w:pPr>
      <w:r>
        <w:t xml:space="preserve">Attorneys</w:t>
      </w:r>
      <w:r>
        <w:t xml:space="preserve"> </w:t>
      </w:r>
      <w:r>
        <w:t xml:space="preserve">for</w:t>
      </w:r>
      <w:r>
        <w:t xml:space="preserve"> </w:t>
      </w:r>
      <w:r>
        <w:t xml:space="preserve">Defendant:</w:t>
      </w:r>
    </w:p>
    <w:p>
      <w:pPr>
        <w:spacing w:before="0" w:after="0" w:line="504" w:lineRule="exact"/>
        <w:ind w:left="0" w:firstLine="720"/>
        <w:jc w:val="left"/>
      </w:pPr>
      <w:r>
        <w:t xml:space="preserve">T.</w:t>
      </w:r>
      <w:r>
        <w:t xml:space="preserve"> </w:t>
      </w:r>
      <w:r>
        <w:t xml:space="preserve">Scott</w:t>
      </w:r>
      <w:r>
        <w:t xml:space="preserve"> </w:t>
      </w:r>
      <w:r>
        <w:t xml:space="preserve">Jones</w:t>
      </w:r>
      <w:r>
        <w:t xml:space="preserve"> </w:t>
      </w:r>
      <w:r>
        <w:t xml:space="preserve">Gena</w:t>
      </w:r>
      <w:r>
        <w:t xml:space="preserve"> </w:t>
      </w:r>
      <w:r>
        <w:t xml:space="preserve">Lewis</w:t>
      </w:r>
      <w:r>
        <w:t xml:space="preserve"> </w:t>
      </w:r>
      <w:r>
        <w:t xml:space="preserve">BANKS</w:t>
      </w:r>
      <w:r>
        <w:t xml:space="preserve"> </w:t>
      </w:r>
      <w:r>
        <w:t xml:space="preserve">AND</w:t>
      </w:r>
      <w:r>
        <w:t xml:space="preserve"> </w:t>
      </w:r>
      <w:r>
        <w:t xml:space="preserve">JONES</w:t>
      </w:r>
      <w:r>
        <w:t xml:space="preserve"> </w:t>
      </w:r>
      <w:r>
        <w:t xml:space="preserve">2125</w:t>
      </w:r>
      <w:r>
        <w:t xml:space="preserve"> </w:t>
      </w:r>
      <w:r>
        <w:t xml:space="preserve">Middlebrook</w:t>
      </w:r>
      <w:r>
        <w:t xml:space="preserve"> </w:t>
      </w:r>
      <w:r>
        <w:t xml:space="preserve">Pike</w:t>
      </w:r>
      <w:r>
        <w:t xml:space="preserve"> </w:t>
      </w:r>
      <w:r>
        <w:t xml:space="preserve">Knoxville,</w:t>
      </w:r>
      <w:r>
        <w:t xml:space="preserve"> </w:t>
      </w:r>
      <w:r>
        <w:t xml:space="preserve">TN</w:t>
      </w:r>
      <w:r>
        <w:t xml:space="preserve"> </w:t>
      </w:r>
      <w:r>
        <w:t xml:space="preserve">37921</w:t>
      </w:r>
    </w:p>
    <w:p>
      <w:pPr>
        <w:spacing w:before="0" w:after="0" w:line="504" w:lineRule="exact"/>
        <w:ind w:left="0" w:firstLine="720"/>
        <w:jc w:val="left"/>
      </w:pPr>
      <w:r>
        <w:t xml:space="preserve">Attorney</w:t>
      </w:r>
      <w:r>
        <w:t xml:space="preserve"> </w:t>
      </w:r>
      <w:r>
        <w:t xml:space="preserve">for</w:t>
      </w:r>
      <w:r>
        <w:t xml:space="preserve"> </w:t>
      </w:r>
      <w:r>
        <w:t xml:space="preserve">State:</w:t>
      </w:r>
    </w:p>
    <w:p>
      <w:pPr>
        <w:spacing w:before="0" w:after="0" w:line="504" w:lineRule="exact"/>
        <w:ind w:left="0" w:firstLine="720"/>
        <w:jc w:val="left"/>
      </w:pPr>
      <w:r>
        <w:t xml:space="preserve">Nicholas</w:t>
      </w:r>
      <w:r>
        <w:t xml:space="preserve"> </w:t>
      </w:r>
      <w:r>
        <w:t xml:space="preserve">Spangler</w:t>
      </w:r>
      <w:r>
        <w:t xml:space="preserve"> </w:t>
      </w: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P.O.</w:t>
      </w:r>
      <w:r>
        <w:t xml:space="preserve"> </w:t>
      </w:r>
      <w:r>
        <w:t xml:space="preserve">Box</w:t>
      </w:r>
      <w:r>
        <w:t xml:space="preserve"> </w:t>
      </w:r>
      <w:r>
        <w:t xml:space="preserve">20207</w:t>
      </w:r>
      <w:r>
        <w:t xml:space="preserve"> </w:t>
      </w:r>
      <w:r>
        <w:t xml:space="preserve">Nashville,</w:t>
      </w:r>
      <w:r>
        <w:t xml:space="preserve"> </w:t>
      </w:r>
      <w:r>
        <w:t xml:space="preserve">TN</w:t>
      </w:r>
      <w:r>
        <w:t xml:space="preserve"> </w:t>
      </w:r>
      <w:r>
        <w:t xml:space="preserve">37202</w:t>
      </w:r>
    </w:p>
    <w:p>
      <w:pPr>
        <w:spacing w:before="0" w:after="0" w:line="504" w:lineRule="exact"/>
        <w:ind w:left="0" w:firstLine="720"/>
        <w:jc w:val="left"/>
      </w:pPr>
      <w:r>
        <w:t xml:space="preserve">Knox</w:t>
      </w:r>
      <w:r>
        <w:t xml:space="preserve"> </w:t>
      </w:r>
      <w:r>
        <w:t xml:space="preserve">County</w:t>
      </w:r>
      <w:r>
        <w:t xml:space="preserve"> </w:t>
      </w:r>
      <w:r>
        <w:t xml:space="preserve">District</w:t>
      </w:r>
      <w:r>
        <w:t xml:space="preserve"> </w:t>
      </w:r>
      <w:r>
        <w:t xml:space="preserve">Attorney</w:t>
      </w:r>
      <w:r>
        <w:t xml:space="preserve"> </w:t>
      </w:r>
      <w:r>
        <w:t xml:space="preserve">General’s</w:t>
      </w:r>
      <w:r>
        <w:t xml:space="preserve"> </w:t>
      </w:r>
      <w:r>
        <w:t xml:space="preserve">Office</w:t>
      </w:r>
      <w:r>
        <w:t xml:space="preserve"> </w:t>
      </w:r>
      <w:r>
        <w:t xml:space="preserve">400</w:t>
      </w:r>
      <w:r>
        <w:t xml:space="preserve"> </w:t>
      </w:r>
      <w:r>
        <w:t xml:space="preserve">W.</w:t>
      </w:r>
      <w:r>
        <w:t xml:space="preserve"> </w:t>
      </w:r>
      <w:r>
        <w:t xml:space="preserve">Main</w:t>
      </w:r>
      <w:r>
        <w:t xml:space="preserve"> </w:t>
      </w:r>
      <w:r>
        <w:t xml:space="preserve">Ave.</w:t>
      </w:r>
      <w:r>
        <w:t xml:space="preserve"> </w:t>
      </w:r>
      <w:r>
        <w:t xml:space="preserve">Knoxville,</w:t>
      </w:r>
      <w:r>
        <w:t xml:space="preserve"> </w:t>
      </w:r>
      <w:r>
        <w:t xml:space="preserve">TN</w:t>
      </w:r>
      <w:r>
        <w:t xml:space="preserve"> </w:t>
      </w:r>
      <w:r>
        <w:t xml:space="preserve">37901</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36" w:lineRule="exact"/>
              <w:ind w:left="4608" w:firstLine="0"/>
              <w:jc w:val="left"/>
            </w:pPr>
            <w:r>
              <w:t xml:space="preserve">November</w:t>
            </w:r>
            <w:r>
              <w:t xml:space="preserve"> </w:t>
            </w:r>
            <w:r>
              <w:t xml:space="preserve">5th,</w:t>
            </w:r>
            <w:r>
              <w:t xml:space="preserve"> </w:t>
            </w:r>
            <w:r>
              <w:t xml:space="preserve">2020</w:t>
            </w:r>
          </w:p>
          <w:p>
            <w:pPr>
              <w:spacing w:before="112" w:after="0" w:line="336" w:lineRule="exact"/>
              <w:ind w:left="4608" w:firstLine="0"/>
              <w:jc w:val="left"/>
            </w:pPr>
            <w:r>
              <w:t xml:space="preserve">/s/</w:t>
            </w:r>
            <w:r>
              <w:t xml:space="preserve"> </w:t>
            </w:r>
            <w:r>
              <w:t xml:space="preserve">Thomas</w:t>
            </w:r>
            <w:r>
              <w:t xml:space="preserve"> </w:t>
            </w:r>
            <w:r>
              <w:t xml:space="preserve">H.</w:t>
            </w:r>
            <w:r>
              <w:t xml:space="preserve"> </w:t>
            </w:r>
            <w:r>
              <w:t xml:space="preserve">Castelli</w:t>
            </w:r>
          </w:p>
          <w:p>
            <w:pPr>
              <w:spacing w:before="0" w:after="0" w:line="336" w:lineRule="exact"/>
              <w:ind w:left="4608" w:firstLine="0"/>
              <w:jc w:val="left"/>
            </w:pPr>
            <w:r>
              <w:t xml:space="preserve">Thomas</w:t>
            </w:r>
            <w:r>
              <w:t xml:space="preserve"> </w:t>
            </w:r>
            <w:r>
              <w:t xml:space="preserve">H.</w:t>
            </w:r>
            <w:r>
              <w:t xml:space="preserve"> </w:t>
            </w:r>
            <w:r>
              <w:t xml:space="preserve">Castelli</w:t>
            </w:r>
          </w:p>
        </w:tc>
      </w:tr>
    </w:tbl>
    <w:sectPr>
      <w:footerReference w:type="default" r:id="rIdXdPage"/>
      <w:pgSz w:w="12240" w:h="15840"/>
      <w:pgMar w:top="1440" w:right="1440" w:bottom="1440" w:left="1440" w:header="720" w:footer="67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No other person or entity paid for or authored this Brief.</w:t>
      </w:r>
    </w:p>
  </w:footnote>
  <w:footnote w:id="10">
    <w:p>
      <w:pPr>
        <w:pStyle w:val="FootnoteText"/>
      </w:pPr>
      <w:r>
        <w:rPr>
          <w:rStyle w:val="FootnoteReference"/>
        </w:rPr>
        <w:footnoteRef/>
      </w:r>
      <w:r>
        <w:t xml:space="preserve"> </w:t>
      </w:r>
      <w: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 U.S. Const. amend. I.</w:t>
      </w:r>
    </w:p>
  </w:footnote>
  <w:footnote w:id="11">
    <w:p>
      <w:pPr>
        <w:pStyle w:val="FootnoteText"/>
      </w:pPr>
      <w:r>
        <w:rPr>
          <w:rStyle w:val="FootnoteReference"/>
        </w:rPr>
        <w:footnoteRef/>
      </w:r>
      <w:r>
        <w:t xml:space="preserve"> </w:t>
      </w:r>
      <w:r>
        <w:t xml:space="preserve">“The free communication of thoughts and opinions, is one of the invaluable rights of man and every citizen may freely speak, write, and print on any subject, being responsible for the abuse of that liberty.” Tenn. Const. art. I, § 19;</w:t>
      </w:r>
      <w:r>
        <w:t xml:space="preserve"> </w:t>
      </w:r>
      <w:r>
        <w:rPr>
          <w:i/>
          <w:iCs/>
        </w:rPr>
        <w:t xml:space="preserve">see also</w:t>
      </w:r>
      <w:r>
        <w:t xml:space="preserve"> </w:t>
      </w:r>
      <w:r>
        <w:rPr>
          <w:i/>
          <w:iCs/>
        </w:rPr>
        <w:t xml:space="preserve">Leech v. American Booksellers Ass’n</w:t>
      </w:r>
      <w:r>
        <w:t xml:space="preserve">, 582 S.W.2d 738,</w:t>
      </w:r>
      <w:r>
        <w:t xml:space="preserve"> </w:t>
      </w:r>
      <w:r>
        <w:t xml:space="preserve">745 (Tenn. 1979) (holding that “the Tennessee constitutional provision assuring protection of speech and press, Tenn. Const. art. I, § 19,</w:t>
      </w:r>
      <w:r>
        <w:t xml:space="preserve"> </w:t>
      </w:r>
      <w:r>
        <w:t xml:space="preserve">should be construed to have a scope at least as broad as that afforded those freedoms by the first amendment of the United States Constitution.”).</w:t>
      </w:r>
    </w:p>
  </w:footnote>
  <w:footnote w:id="12">
    <w:p>
      <w:pPr>
        <w:pStyle w:val="FootnoteText"/>
      </w:pPr>
      <w:r>
        <w:rPr>
          <w:rStyle w:val="FootnoteReference"/>
        </w:rPr>
        <w:footnoteRef/>
      </w:r>
      <w:r>
        <w:t xml:space="preserve"> </w:t>
      </w:r>
      <w:r>
        <w:t xml:space="preserve">Another music video, “Like Jordan,” was also admitted into evidence as Ex. 557, but it was not shown to the jury. “Like Jordan” was uploaded to YouTube on May 5, 2015 and is available at https://​www.​youtube.​com/​watch?​v=rua1GScZE8g.</w:t>
      </w:r>
    </w:p>
  </w:footnote>
  <w:footnote w:id="13">
    <w:p>
      <w:pPr>
        <w:pStyle w:val="FootnoteText"/>
      </w:pPr>
      <w:r>
        <w:rPr>
          <w:rStyle w:val="FootnoteReference"/>
        </w:rPr>
        <w:footnoteRef/>
      </w:r>
      <w:r>
        <w:t xml:space="preserve"> </w:t>
      </w:r>
      <w:r>
        <w:t xml:space="preserve">Admission of the video was also a violation of Tennessee Rule of Evidence 404(b)</w:t>
      </w:r>
      <w:r>
        <w:t xml:space="preserve"> </w:t>
      </w:r>
      <w:r>
        <w:t xml:space="preserve">which prohibits character evidence.</w:t>
      </w:r>
      <w:r>
        <w:t xml:space="preserve"> </w:t>
      </w:r>
      <w:r>
        <w:rPr>
          <w:i/>
          <w:iCs/>
        </w:rPr>
        <w:t xml:space="preserve">See</w:t>
      </w:r>
      <w:r>
        <w:t xml:space="preserve"> </w:t>
      </w:r>
      <w:r>
        <w:rPr>
          <w:i/>
          <w:iCs/>
        </w:rPr>
        <w:t xml:space="preserve">State v. McCary</w:t>
      </w:r>
      <w:r>
        <w:t xml:space="preserve">, 119 S.W.3d 226,</w:t>
      </w:r>
      <w:r>
        <w:t xml:space="preserve"> </w:t>
      </w:r>
      <w:r>
        <w:t xml:space="preserve">243 (Tenn. Crim. App. 2003) (“[C]haracter evidence cannot be used to prove that person has a propensity to commit a crime.”).</w:t>
      </w:r>
    </w:p>
  </w:footnote>
  <w:footnote w:id="14">
    <w:p>
      <w:pPr>
        <w:pStyle w:val="FootnoteText"/>
      </w:pPr>
      <w:r>
        <w:rPr>
          <w:rStyle w:val="FootnoteReference"/>
        </w:rPr>
        <w:footnoteRef/>
      </w:r>
      <w:r>
        <w:t xml:space="preserve"> </w:t>
      </w:r>
      <w:r>
        <w:rPr>
          <w:i/>
          <w:iCs/>
        </w:rPr>
        <w:t xml:space="preserve">Dawson</w:t>
      </w:r>
      <w:r>
        <w:t xml:space="preserve"> </w:t>
      </w:r>
      <w:r>
        <w:t xml:space="preserve">considered admissibility at the sentencing stage, but its logic is perfectly applicable at trial where the rules of admissibility are even more strict.</w:t>
      </w:r>
      <w:r>
        <w:t xml:space="preserve"> </w:t>
      </w:r>
      <w:r>
        <w:rPr>
          <w:i/>
          <w:iCs/>
        </w:rPr>
        <w:t xml:space="preserve">See, e.g.,</w:t>
      </w:r>
      <w:r>
        <w:t xml:space="preserve"> </w:t>
      </w:r>
      <w:r>
        <w:rPr>
          <w:i/>
          <w:iCs/>
        </w:rPr>
        <w:t xml:space="preserve">State v. Perez</w:t>
      </w:r>
      <w:r>
        <w:t xml:space="preserve">, 641 S.E.2d 844,</w:t>
      </w:r>
      <w:r>
        <w:t xml:space="preserve"> </w:t>
      </w:r>
      <w:r>
        <w:t xml:space="preserve">847–48 (N.C. App. 2007).</w:t>
      </w:r>
    </w:p>
  </w:footnote>
  <w:footnote w:id="15">
    <w:p>
      <w:pPr>
        <w:pStyle w:val="FootnoteText"/>
      </w:pPr>
      <w:r>
        <w:rPr>
          <w:rStyle w:val="FootnoteReference"/>
        </w:rPr>
        <w:footnoteRef/>
      </w:r>
      <w:r>
        <w:t xml:space="preserve"> </w:t>
      </w:r>
      <w:r>
        <w:t xml:space="preserve">The stipulation read: “The Aryan Brotherhood refers to a white racist prison gang that began in the 1960’s in California in response to other gangs of racial minorities. Separate gangs calling themselves the Aryan Brotherhood now exist in many state prisons including Delaware.” 503 U.S. at 162.</w:t>
      </w:r>
    </w:p>
  </w:footnote>
  <w:footnote w:id="16">
    <w:p>
      <w:pPr>
        <w:pStyle w:val="FootnoteText"/>
      </w:pPr>
      <w:r>
        <w:rPr>
          <w:rStyle w:val="FootnoteReference"/>
        </w:rPr>
        <w:footnoteRef/>
      </w:r>
      <w:r>
        <w:t xml:space="preserve"> </w:t>
      </w:r>
      <w:r>
        <w:t xml:space="preserve">The music video at issue is available at https://​www.​youtube.​com/​watch?​v=-​k3kXTLzYg8.</w:t>
      </w:r>
    </w:p>
  </w:footnote>
  <w:footnote w:id="17">
    <w:p>
      <w:pPr>
        <w:pStyle w:val="FootnoteText"/>
      </w:pPr>
      <w:r>
        <w:rPr>
          <w:rStyle w:val="FootnoteReference"/>
        </w:rPr>
        <w:footnoteRef/>
      </w:r>
      <w:r>
        <w:t xml:space="preserve"> </w:t>
      </w:r>
      <w:r>
        <w:t xml:space="preserve">Not all of the lyrics to “Double O” are violent, as the chorus includes the lines, “It’s all love” and “It’s just me and my bros.”</w:t>
      </w:r>
      <w:r>
        <w:t xml:space="preserve"> </w:t>
      </w:r>
      <w:r>
        <w:rPr>
          <w:i/>
          <w:iCs/>
        </w:rPr>
        <w:t xml:space="preserve">See, e.g.,</w:t>
      </w:r>
      <w:r>
        <w:t xml:space="preserve"> </w:t>
      </w:r>
      <w:r>
        <w:t xml:space="preserve">video,</w:t>
      </w:r>
      <w:r>
        <w:t xml:space="preserve"> </w:t>
      </w:r>
      <w:r>
        <w:rPr>
          <w:i/>
          <w:iCs/>
        </w:rPr>
        <w:t xml:space="preserve">supra</w:t>
      </w:r>
      <w:r>
        <w:t xml:space="preserve"> </w:t>
      </w:r>
      <w:r>
        <w:t xml:space="preserve">note 7 at 00:39–00:51.</w:t>
      </w:r>
    </w:p>
  </w:footnote>
  <w:footnote w:id="18">
    <w:p>
      <w:pPr>
        <w:pStyle w:val="FootnoteText"/>
      </w:pPr>
      <w:r>
        <w:rPr>
          <w:rStyle w:val="FootnoteReference"/>
        </w:rPr>
        <w:footnoteRef/>
      </w:r>
      <w:r>
        <w:t xml:space="preserve"> </w:t>
      </w:r>
      <w:r>
        <w:rPr>
          <w:i/>
          <w:iCs/>
        </w:rPr>
        <w:t xml:space="preserve">See</w:t>
      </w:r>
      <w:r>
        <w:t xml:space="preserve"> </w:t>
      </w:r>
      <w:r>
        <w:t xml:space="preserve">Johnny Cash, Folsom Prison Blues</w:t>
      </w:r>
      <w:r>
        <w:t xml:space="preserve"> </w:t>
      </w:r>
      <w:r>
        <w:t xml:space="preserve">(Columbia Records 1969).</w:t>
      </w:r>
    </w:p>
  </w:footnote>
  <w:footnote w:id="19">
    <w:p>
      <w:pPr>
        <w:pStyle w:val="FootnoteText"/>
      </w:pPr>
      <w:r>
        <w:rPr>
          <w:rStyle w:val="FootnoteReference"/>
        </w:rPr>
        <w:footnoteRef/>
      </w:r>
      <w:r>
        <w:t xml:space="preserve"> </w:t>
      </w:r>
      <w:r>
        <w:rPr>
          <w:i/>
          <w:iCs/>
        </w:rPr>
        <w:t xml:space="preserve">See</w:t>
      </w:r>
      <w:r>
        <w:t xml:space="preserve"> </w:t>
      </w:r>
      <w:r>
        <w:t xml:space="preserve">Dolly Parton, Banks of the Ohio</w:t>
      </w:r>
      <w:r>
        <w:t xml:space="preserve"> </w:t>
      </w:r>
      <w:r>
        <w:t xml:space="preserve">(Sony Masterworks 2014).</w:t>
      </w:r>
    </w:p>
  </w:footnote>
  <w:footnote w:id="20">
    <w:p>
      <w:pPr>
        <w:pStyle w:val="FootnoteText"/>
      </w:pPr>
      <w:r>
        <w:rPr>
          <w:rStyle w:val="FootnoteReference"/>
        </w:rPr>
        <w:footnoteRef/>
      </w:r>
      <w:r>
        <w:t xml:space="preserve"> </w:t>
      </w:r>
      <w:r>
        <w:t xml:space="preserve">There is no allegation that the music video is unprotected for any other reason, such as obscenity,</w:t>
      </w:r>
      <w:r>
        <w:t xml:space="preserve"> </w:t>
      </w:r>
      <w:r>
        <w:rPr>
          <w:i/>
          <w:iCs/>
        </w:rPr>
        <w:t xml:space="preserve">see</w:t>
      </w:r>
      <w:r>
        <w:t xml:space="preserve"> </w:t>
      </w:r>
      <w:r>
        <w:rPr>
          <w:i/>
          <w:iCs/>
        </w:rPr>
        <w:t xml:space="preserve">Luke Records v. Navarro</w:t>
      </w:r>
      <w:r>
        <w:t xml:space="preserve">, 960 F.2d 134</w:t>
      </w:r>
      <w:r>
        <w:t xml:space="preserve"> </w:t>
      </w:r>
      <w:r>
        <w:t xml:space="preserve">(11th Cir. 1992) (holding that defendant’s sexually explicit and profane rap lyrics were not obscene and had “artistic value”) or true threats.</w:t>
      </w:r>
      <w:r>
        <w:t xml:space="preserve"> </w:t>
      </w:r>
      <w:r>
        <w:rPr>
          <w:i/>
          <w:iCs/>
        </w:rPr>
        <w:t xml:space="preserve">See</w:t>
      </w:r>
      <w:r>
        <w:t xml:space="preserve"> </w:t>
      </w:r>
      <w:r>
        <w:rPr>
          <w:i/>
          <w:iCs/>
        </w:rPr>
        <w:t xml:space="preserve">Elonis v. United States</w:t>
      </w:r>
      <w:r>
        <w:t xml:space="preserve">, 575 U.S. 723</w:t>
      </w:r>
      <w:r>
        <w:t xml:space="preserve"> </w:t>
      </w:r>
      <w:r>
        <w:t xml:space="preserve">(2015);</w:t>
      </w:r>
      <w:r>
        <w:t xml:space="preserve"> </w:t>
      </w:r>
      <w:r>
        <w:rPr>
          <w:i/>
          <w:iCs/>
        </w:rPr>
        <w:t xml:space="preserve">Chaplinsky v. New Hampshire</w:t>
      </w:r>
      <w:r>
        <w:t xml:space="preserve">, 315 U.S. 568</w:t>
      </w:r>
      <w:r>
        <w:t xml:space="preserve"> </w:t>
      </w:r>
      <w:r>
        <w:t xml:space="preserve">(1942).</w:t>
      </w:r>
    </w:p>
  </w:footnote>
  <w:footnote w:id="21">
    <w:p>
      <w:pPr>
        <w:pStyle w:val="FootnoteText"/>
      </w:pPr>
      <w:r>
        <w:rPr>
          <w:rStyle w:val="FootnoteReference"/>
        </w:rPr>
        <w:footnoteRef/>
      </w:r>
      <w:r>
        <w:t xml:space="preserve"> </w:t>
      </w:r>
      <w:r>
        <w:rPr>
          <w:i/>
          <w:iCs/>
        </w:rPr>
        <w:t xml:space="preserve">See</w:t>
      </w:r>
      <w:r>
        <w:t xml:space="preserve"> </w:t>
      </w:r>
      <w:r>
        <w:t xml:space="preserve">Prison Policy Institute, Tennessee Incarceration Rates</w:t>
      </w:r>
      <w:r>
        <w:t xml:space="preserve"> </w:t>
      </w:r>
      <w:r>
        <w:t xml:space="preserve">by Race/​Ethnicity 2010 (May 28, 2014), https://​www.​prisonpolicy.​org/​graphs/​2010rates/​TN.​html (showing that Black people are incarcerated at about four times the rate of other groups).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04"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6" w:lineRule="exact"/>
      <w:ind w:firstLine="0"/>
      <w:jc w:val="center"/>
      <w:outlineLvl w:val="0"/>
    </w:pPr>
    <w:rPr>
      <w:rFonts w:ascii="TeX Gyre Schola" w:hAnsi="TeX Gyre Schola" w:eastAsia="TeX Gyre Schola" w:cs="TeX Gyre Schola"/>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36" w:lineRule="exact"/>
      <w:ind w:firstLine="0"/>
      <w:outlineLvl w:val="1"/>
    </w:pPr>
    <w:rPr>
      <w:rFonts w:ascii="TeX Gyre Schola" w:hAnsi="TeX Gyre Schola" w:eastAsia="TeX Gyre Schola" w:cs="TeX Gyre Schola"/>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36" w:lineRule="exact"/>
      <w:ind w:firstLine="0"/>
      <w:outlineLvl w:val="2"/>
    </w:pPr>
    <w:rPr>
      <w:rFonts w:ascii="TeX Gyre Schola" w:hAnsi="TeX Gyre Schola" w:eastAsia="TeX Gyre Schola" w:cs="TeX Gyre Schola"/>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36" w:lineRule="exact"/>
      <w:ind w:firstLine="0"/>
      <w:outlineLvl w:val="3"/>
    </w:pPr>
    <w:rPr>
      <w:rFonts w:ascii="TeX Gyre Schola" w:hAnsi="TeX Gyre Schola" w:eastAsia="TeX Gyre Schola" w:cs="TeX Gyre Schola"/>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36" w:lineRule="exact"/>
      <w:ind w:firstLine="0"/>
      <w:outlineLvl w:val="4"/>
    </w:pPr>
    <w:rPr>
      <w:rFonts w:ascii="TeX Gyre Schola" w:hAnsi="TeX Gyre Schola" w:eastAsia="TeX Gyre Schola" w:cs="TeX Gyre Schola"/>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04" w:lineRule="exact"/>
      <w:ind w:left="720" w:hanging="720"/>
    </w:pPr>
  </w:style>
  <w:style w:type="paragraph" w:styleId="BlockText">
    <w:name w:val="Block Text"/>
    <w:basedOn w:val="BodyText"/>
    <w:next w:val="BodyText"/>
    <w:uiPriority w:val="9"/>
    <w:unhideWhenUsed/>
    <w:qFormat/>
    <w:pPr>
      <w:spacing w:before="280" w:after="280" w:line="336" w:lineRule="exact"/>
      <w:ind w:firstLine="0" w:left="720" w:right="720"/>
    </w:pPr>
  </w:style>
  <w:style w:type="paragraph" w:styleId="FootnoteText">
    <w:name w:val="Footnote Text"/>
    <w:basedOn w:val="Normal"/>
    <w:next w:val="FootnoteText"/>
    <w:uiPriority w:val="9"/>
    <w:unhideWhenUsed/>
    <w:qFormat/>
    <w:pPr>
      <w:keepLines/>
      <w:spacing w:before="0" w:after="140" w:line="336" w:lineRule="exact"/>
      <w:jc w:val="both"/>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36" w:lineRule="exact"/>
      <w:ind w:left="720" w:right="720" w:firstLine="0"/>
      <w:jc w:val="both"/>
    </w:pPr>
  </w:style>
  <w:style w:type="paragraph" w:customStyle="1" w:styleId="XdQuoteFirst">
    <w:name w:val="Xd Quote First"/>
    <w:basedOn w:val="Normal"/>
    <w:qFormat/>
    <w:pPr>
      <w:spacing w:before="224" w:after="0" w:line="336" w:lineRule="exact"/>
      <w:ind w:left="720" w:right="720" w:firstLine="0"/>
      <w:jc w:val="both"/>
    </w:pPr>
  </w:style>
  <w:style w:type="paragraph" w:customStyle="1" w:styleId="XdQuoteLast">
    <w:name w:val="Xd Quote Last"/>
    <w:basedOn w:val="Normal"/>
    <w:qFormat/>
    <w:pPr>
      <w:spacing w:before="0" w:after="336" w:line="336" w:lineRule="exact"/>
      <w:ind w:left="720" w:right="720" w:firstLine="0"/>
      <w:jc w:val="both"/>
    </w:pPr>
  </w:style>
  <w:style w:type="paragraph" w:customStyle="1" w:styleId="XdQuoteOnly">
    <w:name w:val="Xd Quote Only"/>
    <w:basedOn w:val="Normal"/>
    <w:qFormat/>
    <w:pPr>
      <w:spacing w:before="224" w:after="336" w:line="336" w:lineRule="exact"/>
      <w:ind w:left="720" w:right="720" w:firstLine="0"/>
      <w:jc w:val="both"/>
    </w:pPr>
  </w:style>
  <w:style w:type="paragraph" w:customStyle="1" w:styleId="XdTail">
    <w:name w:val="Xd Tail"/>
    <w:basedOn w:val="Normal"/>
    <w:qFormat/>
    <w:pPr>
      <w:spacing w:before="0" w:after="0" w:line="336" w:lineRule="exact"/>
      <w:ind w:firstLine="0"/>
      <w:jc w:val="both"/>
    </w:pPr>
  </w:style>
  <w:style w:type="paragraph" w:customStyle="1" w:styleId="XdList1">
    <w:name w:val="XdList 1"/>
    <w:basedOn w:val="Normal"/>
    <w:qFormat/>
    <w:pPr>
      <w:spacing w:before="0" w:after="0" w:line="504" w:lineRule="exact"/>
      <w:ind w:left="720" w:hanging="720"/>
      <w:jc w:val="both"/>
    </w:pPr>
  </w:style>
  <w:style w:type="paragraph" w:customStyle="1" w:styleId="XdList2">
    <w:name w:val="XdList 2"/>
    <w:basedOn w:val="Normal"/>
    <w:qFormat/>
    <w:pPr>
      <w:spacing w:before="0" w:after="0" w:line="504" w:lineRule="exact"/>
      <w:ind w:left="1440" w:hanging="720"/>
      <w:jc w:val="both"/>
    </w:pPr>
  </w:style>
  <w:style w:type="paragraph" w:customStyle="1" w:styleId="XdList3">
    <w:name w:val="XdList 3"/>
    <w:basedOn w:val="Normal"/>
    <w:qFormat/>
    <w:pPr>
      <w:spacing w:before="0" w:after="0" w:line="504" w:lineRule="exact"/>
      <w:ind w:left="2160" w:hanging="720"/>
      <w:jc w:val="both"/>
    </w:pPr>
  </w:style>
  <w:style w:type="paragraph" w:customStyle="1" w:styleId="XdTailList1">
    <w:name w:val="XdTailList 1"/>
    <w:basedOn w:val="Normal"/>
    <w:qFormat/>
    <w:pPr>
      <w:spacing w:before="0" w:after="0" w:line="336" w:lineRule="exact"/>
      <w:ind w:left="720" w:hanging="720"/>
      <w:jc w:val="both"/>
    </w:pPr>
  </w:style>
  <w:style w:type="paragraph" w:customStyle="1" w:styleId="XdTailList2">
    <w:name w:val="XdTailList 2"/>
    <w:basedOn w:val="Normal"/>
    <w:qFormat/>
    <w:pPr>
      <w:spacing w:before="0" w:after="0" w:line="336" w:lineRule="exact"/>
      <w:ind w:left="1440" w:hanging="720"/>
      <w:jc w:val="both"/>
    </w:pPr>
  </w:style>
  <w:style w:type="paragraph" w:customStyle="1" w:styleId="XdTailList3">
    <w:name w:val="XdTailList 3"/>
    <w:basedOn w:val="Normal"/>
    <w:qFormat/>
    <w:pPr>
      <w:spacing w:before="0" w:after="0" w:line="336" w:lineRule="exact"/>
      <w:ind w:left="2160" w:hanging="720"/>
      <w:jc w:val="both"/>
    </w:pPr>
  </w:style>
  <w:style w:type="paragraph" w:customStyle="1" w:styleId="XdQuoteList1">
    <w:name w:val="Xd Quote List 1"/>
    <w:basedOn w:val="Normal"/>
    <w:qFormat/>
    <w:pPr>
      <w:spacing w:before="0" w:after="0" w:line="336" w:lineRule="exact"/>
      <w:ind w:left="1440" w:right="720" w:hanging="720"/>
      <w:jc w:val="both"/>
    </w:pPr>
  </w:style>
  <w:style w:type="paragraph" w:customStyle="1" w:styleId="XdQuoteList2">
    <w:name w:val="Xd Quote List 2"/>
    <w:basedOn w:val="Normal"/>
    <w:qFormat/>
    <w:pPr>
      <w:spacing w:before="0" w:after="0" w:line="336" w:lineRule="exact"/>
      <w:ind w:left="2160" w:right="720" w:hanging="720"/>
      <w:jc w:val="both"/>
    </w:pPr>
  </w:style>
  <w:style w:type="paragraph" w:customStyle="1" w:styleId="XdQuoteList3">
    <w:name w:val="Xd Quote List 3"/>
    <w:basedOn w:val="Normal"/>
    <w:qFormat/>
    <w:pPr>
      <w:spacing w:before="0" w:after="0" w:line="336" w:lineRule="exact"/>
      <w:ind w:left="2880" w:right="720" w:hanging="720"/>
      <w:jc w:val="both"/>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