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6048" w:type="dxa"/>
        <w:tblLayout w:type="fixed"/>
        <w:tblCellMar>
          <w:top w:w="0" w:type="dxa"/>
          <w:left w:w="0" w:type="dxa"/>
          <w:bottom w:w="0" w:type="dxa"/>
          <w:right w:w="0" w:type="dxa"/>
        </w:tblCellMar>
        <w:tblLook w:val="0000" w:firstRow="0" w:lastRow="0" w:firstColumn="0" w:lastColumn="0" w:noHBand="0" w:noVBand="0"/>
      </w:tblPr>
      <w:tblGrid>
        <w:gridCol w:w="6048"/>
      </w:tblGrid>
      <w:tr>
        <w:trPr>
          <w:cantSplit/>
          <w:trHeight w:val="3360" w:hRule="atLeast"/>
        </w:trPr>
        <w:tc>
          <w:tcPr>
            <w:tcW w:w="6048" w:type="dxa"/>
          </w:tcPr>
          <w:p>
            <w:pPr>
              <w:spacing w:before="192" w:after="0" w:line="240"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40" w:lineRule="exact"/>
              <w:ind w:left="0" w:firstLine="0"/>
              <w:jc w:val="left"/>
            </w:pPr>
            <w:r>
              <w:t xml:space="preserve">EDWARD</w:t>
            </w:r>
            <w:r>
              <w:t xml:space="preserve"> </w:t>
            </w:r>
            <w:r>
              <w:t xml:space="preserve">MANIBUSAN</w:t>
            </w:r>
          </w:p>
          <w:p>
            <w:pPr>
              <w:spacing w:before="0" w:after="0" w:line="240" w:lineRule="exact"/>
              <w:ind w:left="0" w:firstLine="0"/>
              <w:jc w:val="left"/>
            </w:pPr>
            <w:r>
              <w:t xml:space="preserve">Attorney</w:t>
            </w:r>
            <w:r>
              <w:t xml:space="preserve"> </w:t>
            </w:r>
            <w:r>
              <w:t xml:space="preserve">General</w:t>
            </w:r>
          </w:p>
          <w:p>
            <w:pPr>
              <w:spacing w:before="0" w:after="0" w:line="240" w:lineRule="exact"/>
              <w:ind w:left="0" w:firstLine="0"/>
              <w:jc w:val="left"/>
            </w:pPr>
            <w:r>
              <w:t xml:space="preserve">J.</w:t>
            </w:r>
            <w:r>
              <w:t xml:space="preserve"> </w:t>
            </w:r>
            <w:r>
              <w:t xml:space="preserve">Robert</w:t>
            </w:r>
            <w:r>
              <w:t xml:space="preserve"> </w:t>
            </w:r>
            <w:r>
              <w:t xml:space="preserve">Glass,</w:t>
            </w:r>
            <w:r>
              <w:t xml:space="preserve"> </w:t>
            </w:r>
            <w:r>
              <w:t xml:space="preserve">Jr.</w:t>
            </w:r>
            <w:r>
              <w:t xml:space="preserve"> </w:t>
            </w:r>
            <w:r>
              <w:t xml:space="preserve">(F0523)</w:t>
            </w:r>
          </w:p>
          <w:p>
            <w:pPr>
              <w:spacing w:before="0" w:after="0" w:line="240" w:lineRule="exact"/>
              <w:ind w:left="0" w:firstLine="0"/>
              <w:jc w:val="left"/>
            </w:pPr>
            <w:r>
              <w:t xml:space="preserve">Assistant</w:t>
            </w:r>
            <w:r>
              <w:t xml:space="preserve"> </w:t>
            </w:r>
            <w:r>
              <w:t xml:space="preserve">Attorney</w:t>
            </w:r>
            <w:r>
              <w:t xml:space="preserve"> </w:t>
            </w:r>
            <w:r>
              <w:t xml:space="preserve">General</w:t>
            </w:r>
          </w:p>
          <w:p>
            <w:pPr>
              <w:spacing w:before="0" w:after="0" w:line="240" w:lineRule="exact"/>
              <w:ind w:left="0" w:firstLine="0"/>
              <w:jc w:val="left"/>
            </w:pPr>
            <w:r>
              <w:t xml:space="preserve">Hon.</w:t>
            </w:r>
            <w:r>
              <w:t xml:space="preserve"> </w:t>
            </w:r>
            <w:r>
              <w:t xml:space="preserve">Juan</w:t>
            </w:r>
            <w:r>
              <w:t xml:space="preserve"> </w:t>
            </w:r>
            <w:r>
              <w:t xml:space="preserve">A.</w:t>
            </w:r>
            <w:r>
              <w:t xml:space="preserve"> </w:t>
            </w:r>
            <w:r>
              <w:t xml:space="preserve">Sablan</w:t>
            </w:r>
            <w:r>
              <w:t xml:space="preserve"> </w:t>
            </w:r>
            <w:r>
              <w:t xml:space="preserve">Memorial</w:t>
            </w:r>
            <w:r>
              <w:t xml:space="preserve"> </w:t>
            </w:r>
            <w:r>
              <w:t xml:space="preserve">Bldg.,</w:t>
            </w:r>
            <w:r>
              <w:t xml:space="preserve"> </w:t>
            </w:r>
            <w:r>
              <w:t xml:space="preserve">2nd</w:t>
            </w:r>
            <w:r>
              <w:t xml:space="preserve"> </w:t>
            </w:r>
            <w:r>
              <w:t xml:space="preserve">Fl.</w:t>
            </w:r>
          </w:p>
          <w:p>
            <w:pPr>
              <w:spacing w:before="0" w:after="0" w:line="240" w:lineRule="exact"/>
              <w:ind w:left="0" w:firstLine="0"/>
              <w:jc w:val="left"/>
            </w:pPr>
            <w:r>
              <w:t xml:space="preserve">Caller</w:t>
            </w:r>
            <w:r>
              <w:t xml:space="preserve"> </w:t>
            </w:r>
            <w:r>
              <w:t xml:space="preserve">Box</w:t>
            </w:r>
            <w:r>
              <w:t xml:space="preserve"> </w:t>
            </w:r>
            <w:r>
              <w:t xml:space="preserve">10007,</w:t>
            </w:r>
            <w:r>
              <w:t xml:space="preserve"> </w:t>
            </w:r>
            <w:r>
              <w:t xml:space="preserve">Capital</w:t>
            </w:r>
            <w:r>
              <w:t xml:space="preserve"> </w:t>
            </w:r>
            <w:r>
              <w:t xml:space="preserve">Hill</w:t>
            </w:r>
          </w:p>
          <w:p>
            <w:pPr>
              <w:spacing w:before="0" w:after="0" w:line="240" w:lineRule="exact"/>
              <w:ind w:left="0" w:firstLine="0"/>
              <w:jc w:val="left"/>
            </w:pPr>
            <w:r>
              <w:t xml:space="preserve">Saipan,</w:t>
            </w:r>
            <w:r>
              <w:t xml:space="preserve"> </w:t>
            </w:r>
            <w:r>
              <w:t xml:space="preserve">MP</w:t>
            </w:r>
            <w:r>
              <w:t xml:space="preserve"> </w:t>
            </w:r>
            <w:r>
              <w:t xml:space="preserve">96950</w:t>
            </w:r>
          </w:p>
          <w:p>
            <w:pPr>
              <w:spacing w:before="0" w:after="0" w:line="240" w:lineRule="exact"/>
              <w:ind w:left="0" w:firstLine="0"/>
              <w:jc w:val="left"/>
            </w:pPr>
            <w:r>
              <w:t xml:space="preserve">Telephone:</w:t>
            </w:r>
            <w:r>
              <w:t xml:space="preserve"> </w:t>
            </w:r>
            <w:r>
              <w:t xml:space="preserve">670</w:t>
              <w:noBreakHyphen/>
              <w:t xml:space="preserve">237</w:t>
              <w:noBreakHyphen/>
              <w:t xml:space="preserve">7500</w:t>
            </w:r>
          </w:p>
          <w:p>
            <w:pPr>
              <w:spacing w:before="0" w:after="0" w:line="240" w:lineRule="exact"/>
              <w:ind w:left="0" w:firstLine="0"/>
              <w:jc w:val="left"/>
            </w:pPr>
            <w:r>
              <w:t xml:space="preserve">Email:</w:t>
            </w:r>
            <w:r>
              <w:t xml:space="preserve"> </w:t>
            </w:r>
            <w:r>
              <w:t xml:space="preserve">robby_glass@cnmioag.org</w:t>
            </w:r>
          </w:p>
          <w:p>
            <w:pPr>
              <w:spacing w:before="0" w:after="0" w:line="240" w:lineRule="exact"/>
              <w:ind w:left="0" w:firstLine="0"/>
              <w:jc w:val="left"/>
            </w:pPr>
            <w:r>
              <w:t xml:space="preserve">Attorney</w:t>
            </w:r>
            <w:r>
              <w:t xml:space="preserve"> </w:t>
            </w:r>
            <w:r>
              <w:t xml:space="preserve">for</w:t>
            </w:r>
            <w:r>
              <w:t xml:space="preserve"> </w:t>
            </w:r>
            <w:r>
              <w:t xml:space="preserve">Defendant</w:t>
            </w:r>
            <w:r>
              <w:t xml:space="preserve"> </w:t>
            </w:r>
            <w:r>
              <w:t xml:space="preserve">Commonwealth</w:t>
            </w:r>
            <w:r>
              <w:t xml:space="preserve"> </w:t>
            </w:r>
            <w:r>
              <w:t xml:space="preserve">of</w:t>
            </w:r>
            <w:r>
              <w:t xml:space="preserve"> </w:t>
            </w:r>
            <w:r>
              <w:t xml:space="preserve">the</w:t>
            </w:r>
            <w:r>
              <w:t xml:space="preserve"> </w:t>
            </w:r>
            <w:r>
              <w:t xml:space="preserve">Northern</w:t>
            </w:r>
            <w:r>
              <w:t xml:space="preserve"> </w:t>
            </w:r>
            <w:r>
              <w:t xml:space="preserve">Mariana</w:t>
            </w:r>
            <w:r>
              <w:t xml:space="preserve"> </w:t>
            </w:r>
            <w:r>
              <w:t xml:space="preserve">Islands</w:t>
            </w:r>
          </w:p>
        </w:tc>
      </w:tr>
    </w:tbl>
    <w:p>
      <w:pPr>
        <w:keepNext/>
        <w:keepLines/>
        <w:spacing w:before="0" w:after="0" w:line="480" w:lineRule="exact"/>
        <w:ind w:left="0" w:firstLine="0"/>
        <w:jc w:val="center"/>
      </w:pPr>
      <w:r>
        <w:rPr>
          <w:b/>
          <w:bCs/>
        </w:rPr>
        <w:t xml:space="preserve">IN THE UNITED STATES DISTRICT COURT</w:t>
      </w:r>
    </w:p>
    <w:p>
      <w:pPr>
        <w:keepNext/>
        <w:keepLines/>
        <w:spacing w:before="0" w:after="0" w:line="480" w:lineRule="exact"/>
        <w:ind w:left="0" w:firstLine="0"/>
        <w:jc w:val="center"/>
      </w:pPr>
      <w:r>
        <w:rPr>
          <w:b/>
          <w:bCs/>
        </w:rPr>
        <w:t xml:space="preserve">FOR THE NORTHERN MARIANA ISLANDS</w:t>
      </w:r>
    </w:p>
    <w:p>
      <w:pPr>
        <w:spacing w:before="0" w:after="0" w:line="480" w:lineRule="exact"/>
        <w:ind w:left="0" w:firstLine="0"/>
        <w:jc w:val="left"/>
      </w:pPr>
    </w:p>
    <w:tbl>
      <w:tblPr>
        <w:tblW w:w="1008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824"/>
      </w:tblGrid>
      <w:tr>
        <w:trPr>
          <w:cantSplit/>
        </w:trPr>
        <w:tc>
          <w:tcPr>
            <w:tcW w:w="4896" w:type="dxa"/>
            <w:tcBorders>
              <w:right w:val="single" w:sz="6" w:space="0" w:color="000000"/>
              <w:bottom w:val="single" w:sz="6" w:space="0" w:color="000000"/>
            </w:tcBorders>
            <w:tcMar>
              <w:top w:w="192" w:type="dxa"/>
              <w:bottom w:w="273" w:type="dxa"/>
              <w:right w:w="200" w:type="dxa"/>
            </w:tcMar>
          </w:tcPr>
          <w:p>
            <w:pPr>
              <w:spacing w:before="0" w:after="0" w:line="240" w:lineRule="exact"/>
              <w:ind w:left="0" w:firstLine="0"/>
              <w:jc w:val="left"/>
            </w:pPr>
            <w:r>
              <w:t xml:space="preserve">IMPERIAL</w:t>
            </w:r>
            <w:r>
              <w:t xml:space="preserve"> </w:t>
            </w:r>
            <w:r>
              <w:t xml:space="preserve">PACIFIC</w:t>
            </w:r>
            <w:r>
              <w:t xml:space="preserve"> </w:t>
            </w:r>
            <w:r>
              <w:t xml:space="preserve">INTERNATIONAL</w:t>
            </w:r>
            <w:r>
              <w:t xml:space="preserve"> </w:t>
            </w:r>
            <w:r>
              <w:t xml:space="preserve">(CNMI)</w:t>
            </w:r>
            <w:r>
              <w:t xml:space="preserve"> </w:t>
            </w:r>
            <w:r>
              <w:t xml:space="preserve">LLC,</w:t>
            </w:r>
          </w:p>
          <w:p>
            <w:pPr>
              <w:spacing w:before="0" w:after="0" w:line="240" w:lineRule="exact"/>
              <w:ind w:left="0" w:firstLine="0"/>
              <w:jc w:val="left"/>
            </w:pPr>
            <w:r>
              <w:t xml:space="preserve">Plaintiff,</w:t>
            </w:r>
          </w:p>
          <w:p>
            <w:pPr>
              <w:spacing w:before="0" w:after="0" w:line="240" w:lineRule="exact"/>
              <w:ind w:left="0" w:firstLine="0"/>
              <w:jc w:val="left"/>
            </w:pPr>
            <w:r>
              <w:t xml:space="preserve">vs.</w:t>
            </w:r>
          </w:p>
          <w:p>
            <w:pPr>
              <w:spacing w:before="0" w:after="0" w:line="240" w:lineRule="exact"/>
              <w:ind w:left="0" w:firstLine="0"/>
              <w:jc w:val="left"/>
            </w:pPr>
            <w:r>
              <w:t xml:space="preserve">COMMONWEALTH</w:t>
            </w:r>
            <w:r>
              <w:t xml:space="preserve"> </w:t>
            </w:r>
            <w:r>
              <w:t xml:space="preserve">OF</w:t>
            </w:r>
            <w:r>
              <w:t xml:space="preserve"> </w:t>
            </w:r>
            <w:r>
              <w:t xml:space="preserve">THE</w:t>
            </w:r>
            <w:r>
              <w:t xml:space="preserve"> </w:t>
            </w:r>
            <w:r>
              <w:t xml:space="preserve">NORTHERN</w:t>
            </w:r>
            <w:r>
              <w:t xml:space="preserve"> </w:t>
            </w:r>
            <w:r>
              <w:t xml:space="preserve">MARIANA</w:t>
            </w:r>
            <w:r>
              <w:t xml:space="preserve"> </w:t>
            </w:r>
            <w:r>
              <w:t xml:space="preserve">ISLANDS,</w:t>
            </w:r>
            <w:r>
              <w:t xml:space="preserve"> </w:t>
            </w:r>
            <w:r>
              <w:t xml:space="preserve">the</w:t>
            </w:r>
            <w:r>
              <w:t xml:space="preserve"> </w:t>
            </w:r>
            <w:r>
              <w:t xml:space="preserve">COMMONWEALTH</w:t>
            </w:r>
            <w:r>
              <w:t xml:space="preserve"> </w:t>
            </w:r>
            <w:r>
              <w:t xml:space="preserve">CASINO</w:t>
            </w:r>
            <w:r>
              <w:t xml:space="preserve"> </w:t>
            </w:r>
            <w:r>
              <w:t xml:space="preserve">COMMISSION,</w:t>
            </w:r>
            <w:r>
              <w:t xml:space="preserve"> </w:t>
            </w:r>
            <w:r>
              <w:t xml:space="preserve">ARNOLD</w:t>
            </w:r>
            <w:r>
              <w:t xml:space="preserve"> </w:t>
            </w:r>
            <w:r>
              <w:t xml:space="preserve">PALACIOS,</w:t>
            </w:r>
            <w:r>
              <w:t xml:space="preserve"> </w:t>
            </w:r>
            <w:r>
              <w:t xml:space="preserve">GOVERNOR</w:t>
            </w:r>
            <w:r>
              <w:t xml:space="preserve"> </w:t>
            </w:r>
            <w:r>
              <w:t xml:space="preserve">OF</w:t>
            </w:r>
            <w:r>
              <w:t xml:space="preserve"> </w:t>
            </w:r>
            <w:r>
              <w:t xml:space="preserve">CNMI,</w:t>
            </w:r>
            <w:r>
              <w:t xml:space="preserve"> </w:t>
            </w:r>
            <w:r>
              <w:t xml:space="preserve">in</w:t>
            </w:r>
            <w:r>
              <w:t xml:space="preserve"> </w:t>
            </w:r>
            <w:r>
              <w:t xml:space="preserve">his</w:t>
            </w:r>
            <w:r>
              <w:t xml:space="preserve"> </w:t>
            </w:r>
            <w:r>
              <w:t xml:space="preserve">official</w:t>
            </w:r>
            <w:r>
              <w:t xml:space="preserve"> </w:t>
            </w:r>
            <w:r>
              <w:t xml:space="preserve">and</w:t>
            </w:r>
            <w:r>
              <w:t xml:space="preserve"> </w:t>
            </w:r>
            <w:r>
              <w:t xml:space="preserve">personal</w:t>
            </w:r>
            <w:r>
              <w:t xml:space="preserve"> </w:t>
            </w:r>
            <w:r>
              <w:t xml:space="preserve">capacities,</w:t>
            </w:r>
            <w:r>
              <w:t xml:space="preserve"> </w:t>
            </w:r>
            <w:r>
              <w:t xml:space="preserve">et.</w:t>
            </w:r>
            <w:r>
              <w:t xml:space="preserve"> </w:t>
            </w:r>
            <w:r>
              <w:t xml:space="preserve">al.,</w:t>
            </w:r>
          </w:p>
          <w:p>
            <w:pPr>
              <w:spacing w:before="0" w:after="0" w:line="240" w:lineRule="exact"/>
              <w:ind w:left="0" w:firstLine="0"/>
              <w:jc w:val="left"/>
            </w:pPr>
            <w:r>
              <w:t xml:space="preserve">Defendants.</w:t>
            </w:r>
          </w:p>
        </w:tc>
        <w:tc>
          <w:tcPr>
            <w:tcW w:w="360" w:type="dxa"/>
          </w:tcPr>
          <w:p>
            <w:pPr>
              <w:spacing w:before="0" w:after="0" w:line="240" w:lineRule="exact"/>
              <w:ind w:left="0" w:firstLine="0"/>
              <w:jc w:val="left"/>
            </w:pPr>
          </w:p>
        </w:tc>
        <w:tc>
          <w:tcPr>
            <w:tcW w:w="4824" w:type="dxa"/>
            <w:tcMar>
              <w:top w:w="192" w:type="dxa"/>
              <w:left w:w="144" w:type="dxa"/>
              <w:bottom w:w="48" w:type="dxa"/>
            </w:tcMar>
          </w:tcPr>
          <w:p>
            <w:pPr>
              <w:spacing w:before="0" w:after="0" w:line="240" w:lineRule="exact"/>
              <w:ind w:left="0" w:firstLine="0"/>
              <w:jc w:val="left"/>
            </w:pPr>
            <w:r>
              <w:t xml:space="preserve">CIVIL CASE NO. </w:t>
            </w:r>
            <w:r>
              <w:t xml:space="preserve">1:24-cv</w:t>
              <w:noBreakHyphen/>
              <w:t xml:space="preserve">00001</w:t>
            </w:r>
          </w:p>
          <w:p>
            <w:pPr>
              <w:spacing w:before="240" w:after="0" w:line="240" w:lineRule="exact"/>
              <w:ind w:left="0" w:firstLine="0"/>
              <w:jc w:val="left"/>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Second</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Federal</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Procedure</w:t>
            </w:r>
            <w:r>
              <w:rPr>
                <w:b/>
                <w:bCs/>
              </w:rPr>
              <w:t xml:space="preserve"> </w:t>
            </w:r>
            <w:r>
              <w:rPr>
                <w:b/>
                <w:bCs/>
              </w:rPr>
              <w:t xml:space="preserve">12(b)⁠(1)</w:t>
            </w:r>
            <w:r>
              <w:rPr>
                <w:b/>
                <w:bCs/>
              </w:rPr>
              <w:t xml:space="preserve"> </w:t>
            </w:r>
            <w:r>
              <w:rPr>
                <w:b/>
                <w:bCs/>
              </w:rPr>
              <w:t xml:space="preserve">and</w:t>
            </w:r>
            <w:r>
              <w:rPr>
                <w:b/>
                <w:bCs/>
              </w:rPr>
              <w:t xml:space="preserve"> </w:t>
            </w:r>
            <w:r>
              <w:rPr>
                <w:b/>
                <w:bCs/>
              </w:rPr>
              <w:t xml:space="preserve">(6)</w:t>
            </w:r>
          </w:p>
          <w:p>
            <w:pPr>
              <w:spacing w:before="240" w:after="0" w:line="240" w:lineRule="exact"/>
              <w:ind w:left="0" w:firstLine="0"/>
              <w:jc w:val="left"/>
            </w:pPr>
            <w:r>
              <w:t xml:space="preserve">Hearing Date: </w:t>
            </w:r>
            <w:r>
              <w:t xml:space="preserve">________________</w:t>
            </w:r>
          </w:p>
          <w:p>
            <w:pPr>
              <w:spacing w:before="0" w:after="0" w:line="240" w:lineRule="exact"/>
              <w:ind w:left="0" w:firstLine="0"/>
              <w:jc w:val="left"/>
            </w:pPr>
            <w:r>
              <w:t xml:space="preserve">Hearing Time: </w:t>
            </w:r>
            <w:r>
              <w:t xml:space="preserve">________________</w:t>
            </w:r>
          </w:p>
          <w:p>
            <w:pPr>
              <w:spacing w:before="0" w:after="0" w:line="240" w:lineRule="exact"/>
              <w:ind w:left="0" w:firstLine="0"/>
              <w:jc w:val="left"/>
            </w:pPr>
            <w:r>
              <w:t xml:space="preserve">Judge: </w:t>
            </w:r>
            <w:r>
              <w:t xml:space="preserve">Hon.</w:t>
            </w:r>
            <w:r>
              <w:t xml:space="preserve"> </w:t>
            </w:r>
            <w:r>
              <w:t xml:space="preserve">Judge</w:t>
            </w:r>
            <w:r>
              <w:t xml:space="preserve"> </w:t>
            </w:r>
            <w:r>
              <w:t xml:space="preserve">David</w:t>
            </w:r>
            <w:r>
              <w:t xml:space="preserve"> </w:t>
            </w:r>
            <w:r>
              <w:t xml:space="preserve">Carter</w:t>
            </w:r>
          </w:p>
        </w:tc>
      </w:tr>
    </w:tbl>
    <w:p>
      <w:pPr>
        <w:pStyle w:val="BodyText"/>
      </w:pPr>
      <w:r>
        <w:t xml:space="preserve">Defendant Commonwealth of the Northern Mariana Islands, respectfully submits this memorandum in support of Defendant’s motion to dismiss Plaintiff’s Second Amended Complaint (“SAC”) pursuant to Federal Rules of Civil Procedure 8(a), 17(b), 12(b)⁠(1) and 12(b)⁠(6).</w:t>
      </w:r>
    </w:p>
    <w:p>
      <w:pPr>
        <w:keepNext/>
        <w:keepLines/>
        <w:pageBreakBefore/>
        <w:spacing w:before="0" w:after="0" w:line="480" w:lineRule="exact"/>
        <w:ind w:left="0" w:firstLine="0"/>
        <w:jc w:val="center"/>
      </w:pPr>
      <w:r>
        <w:rPr>
          <w:b/>
          <w:bCs/>
        </w:rPr>
        <w:t xml:space="preserve">TABLE OF CONTENTS</w:t>
      </w:r>
    </w:p>
    <w:p>
      <w:pPr>
        <w:keepNext/>
        <w:keepLines/>
        <w:spacing w:before="0" w:after="0" w:line="480" w:lineRule="exact"/>
        <w:ind w:left="0" w:firstLine="0"/>
        <w:jc w:val="right"/>
      </w:pPr>
      <w:r>
        <w:rPr>
          <w:b/>
          <w:bCs/>
        </w:rPr>
        <w:t xml:space="preserve">Page</w:t>
      </w:r>
    </w:p>
    <w:p>
      <w:pPr>
        <w:keepLines/>
        <w:tabs>
          <w:tab w:val="right" w:leader="dot" w:pos="10080"/>
        </w:tabs>
        <w:spacing w:before="0" w:after="0" w:line="480" w:lineRule="exact"/>
        <w:ind w:left="720" w:right="720" w:hanging="720"/>
        <w:jc w:val="left"/>
      </w:pPr>
      <w:r>
        <w:t xml:space="preserve">I.</w:t>
      </w:r>
      <w:r>
        <w:tab/>
      </w:r>
      <w:r>
        <w:t xml:space="preserve">Background</w:t>
      </w:r>
      <w:r>
        <w:t xml:space="preserve">   </w:t>
      </w:r>
      <w:r>
        <w:tab/>
      </w:r>
      <w:r>
        <w:t xml:space="preserve">4</w:t>
      </w:r>
    </w:p>
    <w:p>
      <w:pPr>
        <w:keepLines/>
        <w:tabs>
          <w:tab w:val="right" w:leader="dot" w:pos="10080"/>
        </w:tabs>
        <w:spacing w:before="0" w:after="0" w:line="480" w:lineRule="exact"/>
        <w:ind w:left="1440" w:right="720" w:hanging="720"/>
        <w:jc w:val="left"/>
      </w:pPr>
      <w:r>
        <w:t xml:space="preserve">1.</w:t>
      </w:r>
      <w:r>
        <w:tab/>
      </w:r>
      <w:r>
        <w:t xml:space="preserve">The</w:t>
      </w:r>
      <w:r>
        <w:t xml:space="preserve"> </w:t>
      </w:r>
      <w:r>
        <w:t xml:space="preserve">2020</w:t>
      </w:r>
      <w:r>
        <w:t xml:space="preserve"> </w:t>
      </w:r>
      <w:r>
        <w:t xml:space="preserve">Enforcement</w:t>
      </w:r>
      <w:r>
        <w:t xml:space="preserve"> </w:t>
      </w:r>
      <w:r>
        <w:t xml:space="preserve">Actions</w:t>
      </w:r>
      <w:r>
        <w:t xml:space="preserve">   </w:t>
      </w:r>
      <w:r>
        <w:tab/>
      </w:r>
      <w:r>
        <w:t xml:space="preserve">4</w:t>
      </w:r>
    </w:p>
    <w:p>
      <w:pPr>
        <w:keepLines/>
        <w:tabs>
          <w:tab w:val="right" w:leader="dot" w:pos="10080"/>
        </w:tabs>
        <w:spacing w:before="0" w:after="0" w:line="480" w:lineRule="exact"/>
        <w:ind w:left="1440" w:right="720" w:hanging="720"/>
        <w:jc w:val="left"/>
      </w:pPr>
      <w:r>
        <w:t xml:space="preserve">2.</w:t>
      </w:r>
      <w:r>
        <w:tab/>
      </w:r>
      <w:r>
        <w:t xml:space="preserve">The</w:t>
      </w:r>
      <w:r>
        <w:t xml:space="preserve"> </w:t>
      </w:r>
      <w:r>
        <w:t xml:space="preserve">2021</w:t>
      </w:r>
      <w:r>
        <w:t xml:space="preserve"> </w:t>
      </w:r>
      <w:r>
        <w:t xml:space="preserve">Evidentiary</w:t>
      </w:r>
      <w:r>
        <w:t xml:space="preserve"> </w:t>
      </w:r>
      <w:r>
        <w:t xml:space="preserve">Hearings</w:t>
      </w:r>
      <w:r>
        <w:t xml:space="preserve">   </w:t>
      </w:r>
      <w:r>
        <w:tab/>
      </w:r>
      <w:r>
        <w:t xml:space="preserve">4</w:t>
      </w:r>
    </w:p>
    <w:p>
      <w:pPr>
        <w:keepLines/>
        <w:tabs>
          <w:tab w:val="right" w:leader="dot" w:pos="10080"/>
        </w:tabs>
        <w:spacing w:before="0" w:after="0" w:line="480" w:lineRule="exact"/>
        <w:ind w:left="1440" w:right="720" w:hanging="720"/>
        <w:jc w:val="left"/>
      </w:pPr>
      <w:r>
        <w:t xml:space="preserve">3.</w:t>
      </w:r>
      <w:r>
        <w:tab/>
      </w:r>
      <w:r>
        <w:t xml:space="preserve">Commission</w:t>
      </w:r>
      <w:r>
        <w:t xml:space="preserve"> </w:t>
      </w:r>
      <w:r>
        <w:t xml:space="preserve">Order</w:t>
      </w:r>
      <w:r>
        <w:t xml:space="preserve"> </w:t>
      </w:r>
      <w:r>
        <w:t xml:space="preserve">No.</w:t>
      </w:r>
      <w:r>
        <w:t xml:space="preserve"> </w:t>
      </w:r>
      <w:r>
        <w:t xml:space="preserve">2021</w:t>
        <w:noBreakHyphen/>
        <w:t xml:space="preserve">002</w:t>
      </w:r>
      <w:r>
        <w:t xml:space="preserve">   </w:t>
      </w:r>
      <w:r>
        <w:tab/>
      </w:r>
      <w:r>
        <w:t xml:space="preserve">5</w:t>
      </w:r>
    </w:p>
    <w:p>
      <w:pPr>
        <w:keepLines/>
        <w:tabs>
          <w:tab w:val="right" w:leader="dot" w:pos="10080"/>
        </w:tabs>
        <w:spacing w:before="0" w:after="0" w:line="480" w:lineRule="exact"/>
        <w:ind w:left="1440" w:right="720" w:hanging="720"/>
        <w:jc w:val="left"/>
      </w:pPr>
      <w:r>
        <w:t xml:space="preserve">4.</w:t>
      </w:r>
      <w:r>
        <w:tab/>
      </w:r>
      <w:r>
        <w:t xml:space="preserve">The</w:t>
      </w:r>
      <w:r>
        <w:t xml:space="preserve"> </w:t>
      </w:r>
      <w:r>
        <w:t xml:space="preserve">NMI</w:t>
      </w:r>
      <w:r>
        <w:t xml:space="preserve"> </w:t>
      </w:r>
      <w:r>
        <w:t xml:space="preserve">Court</w:t>
      </w:r>
      <w:r>
        <w:t xml:space="preserve"> </w:t>
      </w:r>
      <w:r>
        <w:t xml:space="preserve">Proceedings</w:t>
      </w:r>
      <w:r>
        <w:t xml:space="preserve">   </w:t>
      </w:r>
      <w:r>
        <w:tab/>
      </w:r>
      <w:r>
        <w:t xml:space="preserve">5</w:t>
      </w:r>
    </w:p>
    <w:p>
      <w:pPr>
        <w:keepLines/>
        <w:tabs>
          <w:tab w:val="right" w:leader="dot" w:pos="10080"/>
        </w:tabs>
        <w:spacing w:before="0" w:after="0" w:line="480" w:lineRule="exact"/>
        <w:ind w:left="1440" w:right="720" w:hanging="720"/>
        <w:jc w:val="left"/>
      </w:pPr>
      <w:r>
        <w:t xml:space="preserve">5.</w:t>
      </w:r>
      <w:r>
        <w:tab/>
      </w:r>
      <w:r>
        <w:t xml:space="preserve">Recent</w:t>
      </w:r>
      <w:r>
        <w:t xml:space="preserve"> </w:t>
      </w:r>
      <w:r>
        <w:t xml:space="preserve">Developments</w:t>
      </w:r>
      <w:r>
        <w:t xml:space="preserve">   </w:t>
      </w:r>
      <w:r>
        <w:tab/>
      </w:r>
      <w:r>
        <w:t xml:space="preserve">6</w:t>
      </w:r>
    </w:p>
    <w:p>
      <w:pPr>
        <w:keepLines/>
        <w:tabs>
          <w:tab w:val="right" w:leader="dot" w:pos="10080"/>
        </w:tabs>
        <w:spacing w:before="0" w:after="0" w:line="480" w:lineRule="exact"/>
        <w:ind w:left="720" w:right="720" w:hanging="720"/>
        <w:jc w:val="left"/>
      </w:pPr>
      <w:r>
        <w:t xml:space="preserve">II.</w:t>
      </w:r>
      <w:r>
        <w:tab/>
      </w:r>
      <w:r>
        <w:t xml:space="preserve">Facts</w:t>
      </w:r>
      <w:r>
        <w:t xml:space="preserve">   </w:t>
      </w:r>
      <w:r>
        <w:tab/>
      </w:r>
      <w:r>
        <w:t xml:space="preserve">7</w:t>
      </w:r>
    </w:p>
    <w:p>
      <w:pPr>
        <w:keepLines/>
        <w:tabs>
          <w:tab w:val="right" w:leader="dot" w:pos="10080"/>
        </w:tabs>
        <w:spacing w:before="0" w:after="0" w:line="480" w:lineRule="exact"/>
        <w:ind w:left="720" w:right="720" w:hanging="720"/>
        <w:jc w:val="left"/>
      </w:pPr>
      <w:r>
        <w:t xml:space="preserve">III.</w:t>
      </w:r>
      <w:r>
        <w:tab/>
      </w:r>
      <w:r>
        <w:t xml:space="preserve">Legal</w:t>
      </w:r>
      <w:r>
        <w:t xml:space="preserve"> </w:t>
      </w:r>
      <w:r>
        <w:t xml:space="preserve">Standard</w:t>
      </w:r>
      <w:r>
        <w:t xml:space="preserve">   </w:t>
      </w:r>
      <w:r>
        <w:tab/>
      </w:r>
      <w:r>
        <w:t xml:space="preserve">7</w:t>
      </w:r>
    </w:p>
    <w:p>
      <w:pPr>
        <w:keepLines/>
        <w:tabs>
          <w:tab w:val="right" w:leader="dot" w:pos="10080"/>
        </w:tabs>
        <w:spacing w:before="0" w:after="0" w:line="480" w:lineRule="exact"/>
        <w:ind w:left="1440" w:right="720" w:hanging="720"/>
        <w:jc w:val="left"/>
      </w:pPr>
      <w:r>
        <w:t xml:space="preserve">1.</w:t>
      </w:r>
      <w:r>
        <w:tab/>
      </w:r>
      <w:r>
        <w:t xml:space="preserve">Party</w:t>
      </w:r>
      <w:r>
        <w:t xml:space="preserve"> </w:t>
      </w:r>
      <w:r>
        <w:t xml:space="preserve">Standard</w:t>
      </w:r>
      <w:r>
        <w:t xml:space="preserve">   </w:t>
      </w:r>
      <w:r>
        <w:tab/>
      </w:r>
      <w:r>
        <w:t xml:space="preserve">7</w:t>
      </w:r>
    </w:p>
    <w:p>
      <w:pPr>
        <w:keepLines/>
        <w:tabs>
          <w:tab w:val="right" w:leader="dot" w:pos="10080"/>
        </w:tabs>
        <w:spacing w:before="0" w:after="0" w:line="480" w:lineRule="exact"/>
        <w:ind w:left="1440" w:right="720" w:hanging="720"/>
        <w:jc w:val="left"/>
      </w:pPr>
      <w:r>
        <w:t xml:space="preserve">2.</w:t>
      </w:r>
      <w:r>
        <w:tab/>
      </w:r>
      <w:r>
        <w:t xml:space="preserve">Pleading</w:t>
      </w:r>
      <w:r>
        <w:t xml:space="preserve"> </w:t>
      </w:r>
      <w:r>
        <w:t xml:space="preserve">Standard</w:t>
      </w:r>
      <w:r>
        <w:t xml:space="preserve">   </w:t>
      </w:r>
      <w:r>
        <w:tab/>
      </w:r>
      <w:r>
        <w:t xml:space="preserve">7</w:t>
      </w:r>
    </w:p>
    <w:p>
      <w:pPr>
        <w:keepLines/>
        <w:tabs>
          <w:tab w:val="right" w:leader="dot" w:pos="10080"/>
        </w:tabs>
        <w:spacing w:before="0" w:after="0" w:line="480" w:lineRule="exact"/>
        <w:ind w:left="1440" w:right="720" w:hanging="720"/>
        <w:jc w:val="left"/>
      </w:pPr>
      <w:r>
        <w:t xml:space="preserve">3.</w:t>
      </w:r>
      <w:r>
        <w:tab/>
      </w:r>
      <w:r>
        <w:t xml:space="preserve">Subject</w:t>
      </w:r>
      <w:r>
        <w:t xml:space="preserve"> </w:t>
      </w:r>
      <w:r>
        <w:t xml:space="preserve">Matter</w:t>
      </w:r>
      <w:r>
        <w:t xml:space="preserve"> </w:t>
      </w:r>
      <w:r>
        <w:t xml:space="preserve">Jurisdiction</w:t>
      </w:r>
      <w:r>
        <w:t xml:space="preserve"> </w:t>
      </w:r>
      <w:r>
        <w:t xml:space="preserve">Standard</w:t>
      </w:r>
      <w:r>
        <w:t xml:space="preserve">   </w:t>
      </w:r>
      <w:r>
        <w:tab/>
      </w:r>
      <w:r>
        <w:t xml:space="preserve">8</w:t>
      </w:r>
    </w:p>
    <w:p>
      <w:pPr>
        <w:keepLines/>
        <w:tabs>
          <w:tab w:val="right" w:leader="dot" w:pos="10080"/>
        </w:tabs>
        <w:spacing w:before="0" w:after="0" w:line="480" w:lineRule="exact"/>
        <w:ind w:left="1440" w:right="720" w:hanging="720"/>
        <w:jc w:val="left"/>
      </w:pPr>
      <w:r>
        <w:t xml:space="preserve">4.</w:t>
      </w:r>
      <w:r>
        <w:tab/>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Standard</w:t>
      </w:r>
      <w:r>
        <w:t xml:space="preserve"> </w:t>
      </w:r>
      <w:r>
        <w:t xml:space="preserve">for</w:t>
      </w:r>
      <w:r>
        <w:t xml:space="preserve"> </w:t>
      </w:r>
      <w:r>
        <w:t xml:space="preserve">Res</w:t>
      </w:r>
      <w:r>
        <w:t xml:space="preserve"> </w:t>
      </w:r>
      <w:r>
        <w:t xml:space="preserve">Judicata</w:t>
      </w:r>
      <w:r>
        <w:t xml:space="preserve">   </w:t>
      </w:r>
      <w:r>
        <w:tab/>
      </w:r>
      <w:r>
        <w:t xml:space="preserve">8</w:t>
      </w:r>
    </w:p>
    <w:p>
      <w:pPr>
        <w:keepLines/>
        <w:tabs>
          <w:tab w:val="right" w:leader="dot" w:pos="10080"/>
        </w:tabs>
        <w:spacing w:before="0" w:after="0" w:line="480" w:lineRule="exact"/>
        <w:ind w:left="720" w:right="720" w:hanging="720"/>
        <w:jc w:val="left"/>
      </w:pPr>
      <w:r>
        <w:t xml:space="preserve">IV.</w:t>
      </w:r>
      <w:r>
        <w:tab/>
      </w:r>
      <w:r>
        <w:t xml:space="preserve">Argument</w:t>
      </w:r>
      <w:r>
        <w:t xml:space="preserve">   </w:t>
      </w:r>
      <w:r>
        <w:tab/>
      </w:r>
      <w:r>
        <w:t xml:space="preserve">8</w:t>
      </w:r>
    </w:p>
    <w:p>
      <w:pPr>
        <w:keepLines/>
        <w:tabs>
          <w:tab w:val="right" w:leader="dot" w:pos="10080"/>
        </w:tabs>
        <w:spacing w:before="0" w:after="0" w:line="480" w:lineRule="exact"/>
        <w:ind w:left="1440" w:right="720" w:hanging="720"/>
        <w:jc w:val="left"/>
      </w:pPr>
      <w:r>
        <w:t xml:space="preserve">1.</w:t>
      </w:r>
      <w:r>
        <w:tab/>
      </w:r>
      <w:r>
        <w:t xml:space="preserve">Plaintiff,</w:t>
      </w:r>
      <w:r>
        <w:t xml:space="preserve"> </w:t>
      </w:r>
      <w:r>
        <w:t xml:space="preserve">Best</w:t>
      </w:r>
      <w:r>
        <w:t xml:space="preserve"> </w:t>
      </w:r>
      <w:r>
        <w:t xml:space="preserve">Sunshine</w:t>
      </w:r>
      <w:r>
        <w:t xml:space="preserve"> </w:t>
      </w:r>
      <w:r>
        <w:t xml:space="preserve">International</w:t>
      </w:r>
      <w:r>
        <w:t xml:space="preserve"> </w:t>
      </w:r>
      <w:r>
        <w:t xml:space="preserve">Ltd,</w:t>
      </w:r>
      <w:r>
        <w:t xml:space="preserve"> </w:t>
      </w:r>
      <w:r>
        <w:t xml:space="preserve">is</w:t>
      </w:r>
      <w:r>
        <w:t xml:space="preserve"> </w:t>
      </w:r>
      <w:r>
        <w:t xml:space="preserve">No</w:t>
      </w:r>
      <w:r>
        <w:t xml:space="preserve"> </w:t>
      </w:r>
      <w:r>
        <w:t xml:space="preserve">Longer</w:t>
      </w:r>
      <w:r>
        <w:t xml:space="preserve"> </w:t>
      </w:r>
      <w:r>
        <w:t xml:space="preserve">an</w:t>
      </w:r>
      <w:r>
        <w:t xml:space="preserve"> </w:t>
      </w:r>
      <w:r>
        <w:t xml:space="preserve">Entity</w:t>
      </w:r>
      <w:r>
        <w:t xml:space="preserve"> </w:t>
      </w:r>
      <w:r>
        <w:t xml:space="preserve">and</w:t>
      </w:r>
      <w:r>
        <w:t xml:space="preserve"> </w:t>
      </w:r>
      <w:r>
        <w:t xml:space="preserve">Lacks</w:t>
      </w:r>
      <w:r>
        <w:t xml:space="preserve"> </w:t>
      </w:r>
      <w:r>
        <w:t xml:space="preserve">Capacity</w:t>
      </w:r>
      <w:r>
        <w:t xml:space="preserve"> </w:t>
      </w:r>
      <w:r>
        <w:t xml:space="preserve">to</w:t>
      </w:r>
      <w:r>
        <w:t xml:space="preserve"> </w:t>
      </w:r>
      <w:r>
        <w:t xml:space="preserve">Sue.</w:t>
      </w:r>
      <w:r>
        <w:t xml:space="preserve">   </w:t>
      </w:r>
      <w:r>
        <w:tab/>
      </w:r>
      <w:r>
        <w:t xml:space="preserve">8</w:t>
      </w:r>
    </w:p>
    <w:p>
      <w:pPr>
        <w:keepLines/>
        <w:tabs>
          <w:tab w:val="right" w:leader="dot" w:pos="10080"/>
        </w:tabs>
        <w:spacing w:before="0" w:after="0" w:line="480" w:lineRule="exact"/>
        <w:ind w:left="720" w:right="720" w:hanging="720"/>
        <w:jc w:val="left"/>
      </w:pPr>
      <w:r>
        <w:t xml:space="preserve">V.</w:t>
      </w:r>
      <w:r>
        <w:tab/>
      </w:r>
      <w:r>
        <w:t xml:space="preserve">Conclusion</w:t>
      </w:r>
      <w:r>
        <w:t xml:space="preserve">   </w:t>
      </w:r>
      <w:r>
        <w:tab/>
      </w:r>
      <w:r>
        <w:t xml:space="preserve">10</w:t>
      </w:r>
    </w:p>
    <w:p>
      <w:pPr>
        <w:keepNext/>
        <w:keepLines/>
        <w:pageBreakBefore/>
        <w:spacing w:before="0" w:after="0" w:line="480" w:lineRule="exact"/>
        <w:ind w:left="0" w:firstLine="0"/>
        <w:jc w:val="center"/>
      </w:pPr>
      <w:r>
        <w:rPr>
          <w:b/>
          <w:bCs/>
        </w:rPr>
        <w:t xml:space="preserve">TABLE OF AUTHORITIES</w:t>
      </w:r>
    </w:p>
    <w:p>
      <w:pPr>
        <w:keepNext/>
        <w:keepLines/>
        <w:spacing w:before="0" w:after="0" w:line="480" w:lineRule="exact"/>
        <w:ind w:left="0" w:firstLine="0"/>
        <w:jc w:val="right"/>
      </w:pPr>
      <w:r>
        <w:rPr>
          <w:b/>
          <w:bCs/>
        </w:rPr>
        <w:t xml:space="preserve">Page(s)</w:t>
      </w:r>
    </w:p>
    <w:p>
      <w:pPr>
        <w:keepNext/>
        <w:keepLines/>
        <w:spacing w:before="0" w:after="0" w:line="480" w:lineRule="exact"/>
        <w:ind w:left="0" w:firstLine="0"/>
        <w:jc w:val="left"/>
      </w:pPr>
      <w:r>
        <w:rPr>
          <w:b/>
          <w:bCs/>
        </w:rPr>
        <w:t xml:space="preserve">Cases</w:t>
      </w:r>
    </w:p>
    <w:p>
      <w:pPr>
        <w:keepLines/>
        <w:tabs>
          <w:tab w:val="right" w:leader="dot" w:pos="10080"/>
        </w:tabs>
        <w:spacing w:before="0" w:after="0" w:line="480" w:lineRule="exact"/>
        <w:ind w:left="504" w:right="720" w:hanging="504"/>
        <w:jc w:val="left"/>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7</w:t>
      </w:r>
    </w:p>
    <w:p>
      <w:pPr>
        <w:keepLines/>
        <w:tabs>
          <w:tab w:val="right" w:leader="dot" w:pos="10080"/>
        </w:tabs>
        <w:spacing w:before="0" w:after="0" w:line="480" w:lineRule="exact"/>
        <w:ind w:left="504" w:right="720" w:hanging="504"/>
        <w:jc w:val="left"/>
      </w:pPr>
      <w:r>
        <w:rPr>
          <w:i/>
          <w:iCs/>
        </w:rPr>
        <w:t xml:space="preserve">Bell</w:t>
      </w:r>
      <w:r>
        <w:rPr>
          <w:i/>
          <w:iCs/>
        </w:rPr>
        <w:t xml:space="preserve"> </w:t>
      </w:r>
      <w:r>
        <w:rPr>
          <w:i/>
          <w:iCs/>
        </w:rPr>
        <w:t xml:space="preserve">Atlantic</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7</w:t>
      </w:r>
    </w:p>
    <w:p>
      <w:pPr>
        <w:keepLines/>
        <w:tabs>
          <w:tab w:val="right" w:leader="dot" w:pos="10080"/>
        </w:tabs>
        <w:spacing w:before="0" w:after="0" w:line="480" w:lineRule="exact"/>
        <w:ind w:left="504" w:right="720" w:hanging="504"/>
        <w:jc w:val="left"/>
      </w:pPr>
      <w:r>
        <w:rPr>
          <w:i/>
          <w:iCs/>
        </w:rPr>
        <w:t xml:space="preserve">Commonwealth</w:t>
      </w:r>
      <w:r>
        <w:rPr>
          <w:i/>
          <w:iCs/>
        </w:rPr>
        <w:t xml:space="preserve"> </w:t>
      </w:r>
      <w:r>
        <w:rPr>
          <w:i/>
          <w:iCs/>
        </w:rPr>
        <w:t xml:space="preserve">Casino</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Imperial</w:t>
      </w:r>
      <w:r>
        <w:rPr>
          <w:i/>
          <w:iCs/>
        </w:rPr>
        <w:t xml:space="preserve"> </w:t>
      </w:r>
      <w:r>
        <w:rPr>
          <w:i/>
          <w:iCs/>
        </w:rPr>
        <w:t xml:space="preserve">Pac.</w:t>
      </w:r>
      <w:r>
        <w:rPr>
          <w:i/>
          <w:iCs/>
        </w:rPr>
        <w:t xml:space="preserve"> </w:t>
      </w:r>
      <w:r>
        <w:rPr>
          <w:i/>
          <w:iCs/>
        </w:rPr>
        <w:t xml:space="preserve">Int’l</w:t>
      </w:r>
      <w:r>
        <w:t xml:space="preserve">, </w:t>
      </w:r>
      <w:r>
        <w:t xml:space="preserve">2023</w:t>
      </w:r>
      <w:r>
        <w:t xml:space="preserve"> </w:t>
      </w:r>
      <w:r>
        <w:t xml:space="preserve">MP</w:t>
      </w:r>
      <w:r>
        <w:t xml:space="preserve"> </w:t>
      </w:r>
      <w:r>
        <w:t xml:space="preserve">8</w:t>
      </w:r>
      <w:r>
        <w:t xml:space="preserve">   </w:t>
      </w:r>
      <w:r>
        <w:tab/>
      </w:r>
      <w:r>
        <w:t xml:space="preserve">5, 6</w:t>
      </w:r>
    </w:p>
    <w:p>
      <w:pPr>
        <w:keepLines/>
        <w:tabs>
          <w:tab w:val="right" w:leader="dot" w:pos="10080"/>
        </w:tabs>
        <w:spacing w:before="0" w:after="0" w:line="480" w:lineRule="exact"/>
        <w:ind w:left="504" w:right="720" w:hanging="504"/>
        <w:jc w:val="left"/>
      </w:pPr>
      <w:r>
        <w:rPr>
          <w:i/>
          <w:iCs/>
        </w:rPr>
        <w:t xml:space="preserve">Levin</w:t>
      </w:r>
      <w:r>
        <w:rPr>
          <w:i/>
          <w:iCs/>
        </w:rPr>
        <w:t xml:space="preserve"> </w:t>
      </w:r>
      <w:r>
        <w:rPr>
          <w:i/>
          <w:iCs/>
        </w:rPr>
        <w:t xml:space="preserve">Metals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Parr-Richmond</w:t>
      </w:r>
      <w:r>
        <w:rPr>
          <w:i/>
          <w:iCs/>
        </w:rPr>
        <w:t xml:space="preserve"> </w:t>
      </w:r>
      <w:r>
        <w:rPr>
          <w:i/>
          <w:iCs/>
        </w:rPr>
        <w:t xml:space="preserve">Terminal</w:t>
      </w:r>
      <w:r>
        <w:rPr>
          <w:i/>
          <w:iCs/>
        </w:rPr>
        <w:t xml:space="preserve"> </w:t>
      </w:r>
      <w:r>
        <w:rPr>
          <w:i/>
          <w:iCs/>
        </w:rPr>
        <w:t xml:space="preserve">Co.</w:t>
      </w:r>
      <w:r>
        <w:t xml:space="preserve">, </w:t>
      </w:r>
      <w:r>
        <w:t xml:space="preserve">817</w:t>
      </w:r>
      <w:r>
        <w:t xml:space="preserve"> </w:t>
      </w:r>
      <w:r>
        <w:t xml:space="preserve">F.2d</w:t>
      </w:r>
      <w:r>
        <w:t xml:space="preserve"> </w:t>
      </w:r>
      <w:r>
        <w:t xml:space="preserve">1448</w:t>
      </w:r>
      <w:r>
        <w:t xml:space="preserve"> </w:t>
      </w:r>
      <w:r>
        <w:t xml:space="preserve">(9th</w:t>
      </w:r>
      <w:r>
        <w:t xml:space="preserve"> </w:t>
      </w:r>
      <w:r>
        <w:t xml:space="preserve">Cir.</w:t>
      </w:r>
      <w:r>
        <w:t xml:space="preserve"> </w:t>
      </w:r>
      <w:r>
        <w:t xml:space="preserve">1897)</w:t>
      </w:r>
      <w:r>
        <w:t xml:space="preserve">   </w:t>
      </w:r>
      <w:r>
        <w:tab/>
      </w:r>
      <w:r>
        <w:t xml:space="preserve">9</w:t>
      </w:r>
    </w:p>
    <w:p>
      <w:pPr>
        <w:keepLines/>
        <w:tabs>
          <w:tab w:val="right" w:leader="dot" w:pos="10080"/>
        </w:tabs>
        <w:spacing w:before="0" w:after="0" w:line="480" w:lineRule="exact"/>
        <w:ind w:left="504" w:right="720" w:hanging="504"/>
        <w:jc w:val="left"/>
      </w:pPr>
      <w:r>
        <w:rPr>
          <w:i/>
          <w:iCs/>
        </w:rPr>
        <w:t xml:space="preserve">Pistor</w:t>
      </w:r>
      <w:r>
        <w:rPr>
          <w:i/>
          <w:iCs/>
        </w:rPr>
        <w:t xml:space="preserve"> </w:t>
      </w:r>
      <w:r>
        <w:rPr>
          <w:i/>
          <w:iCs/>
        </w:rPr>
        <w:t xml:space="preserve">v.</w:t>
      </w:r>
      <w:r>
        <w:rPr>
          <w:i/>
          <w:iCs/>
        </w:rPr>
        <w:t xml:space="preserve"> </w:t>
      </w:r>
      <w:r>
        <w:rPr>
          <w:i/>
          <w:iCs/>
        </w:rPr>
        <w:t xml:space="preserve">Garcia</w:t>
      </w:r>
      <w:r>
        <w:t xml:space="preserve">, </w:t>
      </w:r>
      <w:r>
        <w:t xml:space="preserve">791</w:t>
      </w:r>
      <w:r>
        <w:t xml:space="preserve"> </w:t>
      </w:r>
      <w:r>
        <w:t xml:space="preserve">F.3d</w:t>
      </w:r>
      <w:r>
        <w:t xml:space="preserve"> </w:t>
      </w:r>
      <w:r>
        <w:t xml:space="preserve">1104</w:t>
      </w:r>
      <w:r>
        <w:t xml:space="preserve"> </w:t>
      </w:r>
      <w:r>
        <w:t xml:space="preserve">(9th</w:t>
      </w:r>
      <w:r>
        <w:t xml:space="preserve"> </w:t>
      </w:r>
      <w:r>
        <w:t xml:space="preserve">Cir.</w:t>
      </w:r>
      <w:r>
        <w:t xml:space="preserve"> </w:t>
      </w:r>
      <w:r>
        <w:t xml:space="preserve">2015)</w:t>
      </w:r>
      <w:r>
        <w:t xml:space="preserve">   </w:t>
      </w:r>
      <w:r>
        <w:tab/>
      </w:r>
      <w:r>
        <w:t xml:space="preserve">8</w:t>
      </w:r>
    </w:p>
    <w:p>
      <w:pPr>
        <w:keepLines/>
        <w:tabs>
          <w:tab w:val="right" w:leader="dot" w:pos="10080"/>
        </w:tabs>
        <w:spacing w:before="0" w:after="0" w:line="480" w:lineRule="exact"/>
        <w:ind w:left="504" w:right="720" w:hanging="504"/>
        <w:jc w:val="left"/>
      </w:pPr>
      <w:r>
        <w:rPr>
          <w:i/>
          <w:iCs/>
        </w:rPr>
        <w:t xml:space="preserve">Ramirez</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Bernadino</w:t>
      </w:r>
      <w:r>
        <w:t xml:space="preserve">, </w:t>
      </w:r>
      <w:r>
        <w:t xml:space="preserve">806</w:t>
      </w:r>
      <w:r>
        <w:t xml:space="preserve"> </w:t>
      </w:r>
      <w:r>
        <w:t xml:space="preserve">F.3d</w:t>
      </w:r>
      <w:r>
        <w:t xml:space="preserve"> </w:t>
      </w:r>
      <w:r>
        <w:t xml:space="preserve">1002</w:t>
      </w:r>
      <w:r>
        <w:t xml:space="preserve"> </w:t>
      </w:r>
      <w:r>
        <w:t xml:space="preserve">(9th</w:t>
      </w:r>
      <w:r>
        <w:t xml:space="preserve"> </w:t>
      </w:r>
      <w:r>
        <w:t xml:space="preserve">Cir.</w:t>
      </w:r>
      <w:r>
        <w:t xml:space="preserve"> </w:t>
      </w:r>
      <w:r>
        <w:t xml:space="preserve">2015)</w:t>
      </w:r>
      <w:r>
        <w:t xml:space="preserve">   </w:t>
      </w:r>
      <w:r>
        <w:tab/>
      </w:r>
      <w:r>
        <w:t xml:space="preserve">6</w:t>
      </w:r>
    </w:p>
    <w:p>
      <w:pPr>
        <w:keepLines/>
        <w:tabs>
          <w:tab w:val="right" w:leader="dot" w:pos="10080"/>
        </w:tabs>
        <w:spacing w:before="0" w:after="0" w:line="480" w:lineRule="exact"/>
        <w:ind w:left="504" w:right="720" w:hanging="504"/>
        <w:jc w:val="left"/>
      </w:pPr>
      <w:r>
        <w:rPr>
          <w:i/>
          <w:iCs/>
        </w:rPr>
        <w:t xml:space="preserve">Scott</w:t>
      </w:r>
      <w:r>
        <w:rPr>
          <w:i/>
          <w:iCs/>
        </w:rPr>
        <w:t xml:space="preserve"> </w:t>
      </w:r>
      <w:r>
        <w:rPr>
          <w:i/>
          <w:iCs/>
        </w:rPr>
        <w:t xml:space="preserve">v.</w:t>
      </w:r>
      <w:r>
        <w:rPr>
          <w:i/>
          <w:iCs/>
        </w:rPr>
        <w:t xml:space="preserve"> </w:t>
      </w:r>
      <w:r>
        <w:rPr>
          <w:i/>
          <w:iCs/>
        </w:rPr>
        <w:t xml:space="preserve">Kuhlmann</w:t>
      </w:r>
      <w:r>
        <w:t xml:space="preserve">, </w:t>
      </w:r>
      <w:r>
        <w:t xml:space="preserve">746</w:t>
      </w:r>
      <w:r>
        <w:t xml:space="preserve"> </w:t>
      </w:r>
      <w:r>
        <w:t xml:space="preserve">F.2d</w:t>
      </w:r>
      <w:r>
        <w:t xml:space="preserve"> </w:t>
      </w:r>
      <w:r>
        <w:t xml:space="preserve">1377</w:t>
      </w:r>
      <w:r>
        <w:t xml:space="preserve"> </w:t>
      </w:r>
      <w:r>
        <w:t xml:space="preserve">(9th</w:t>
      </w:r>
      <w:r>
        <w:t xml:space="preserve"> </w:t>
      </w:r>
      <w:r>
        <w:t xml:space="preserve">Cir.</w:t>
      </w:r>
      <w:r>
        <w:t xml:space="preserve"> </w:t>
      </w:r>
      <w:r>
        <w:t xml:space="preserve">1984)</w:t>
      </w:r>
      <w:r>
        <w:t xml:space="preserve">   </w:t>
      </w:r>
      <w:r>
        <w:tab/>
      </w:r>
      <w:r>
        <w:t xml:space="preserve">7, 8</w:t>
      </w:r>
    </w:p>
    <w:p>
      <w:pPr>
        <w:keepNext/>
        <w:keepLines/>
        <w:spacing w:before="0" w:after="0" w:line="480" w:lineRule="exact"/>
        <w:ind w:left="0" w:firstLine="0"/>
        <w:jc w:val="left"/>
      </w:pPr>
      <w:r>
        <w:rPr>
          <w:b/>
          <w:bCs/>
        </w:rPr>
        <w:t xml:space="preserve">Rules</w:t>
      </w:r>
    </w:p>
    <w:p>
      <w:pPr>
        <w:keepLines/>
        <w:tabs>
          <w:tab w:val="right" w:leader="dot" w:pos="10080"/>
        </w:tabs>
        <w:spacing w:before="0" w:after="0" w:line="480" w:lineRule="exact"/>
        <w:ind w:left="504" w:right="72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12(b)⁠(1)</w:t>
      </w:r>
      <w:r>
        <w:t xml:space="preserve">   </w:t>
      </w:r>
      <w:r>
        <w:tab/>
      </w:r>
      <w:r>
        <w:t xml:space="preserve">8</w:t>
      </w:r>
    </w:p>
    <w:p>
      <w:pPr>
        <w:keepLines/>
        <w:tabs>
          <w:tab w:val="right" w:leader="dot" w:pos="10080"/>
        </w:tabs>
        <w:spacing w:before="0" w:after="0" w:line="480" w:lineRule="exact"/>
        <w:ind w:left="504" w:right="72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8</w:t>
      </w:r>
    </w:p>
    <w:p>
      <w:pPr>
        <w:keepLines/>
        <w:tabs>
          <w:tab w:val="right" w:leader="dot" w:pos="10080"/>
        </w:tabs>
        <w:spacing w:before="0" w:after="0" w:line="480" w:lineRule="exact"/>
        <w:ind w:left="504" w:right="72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17(b)⁠(2)</w:t>
      </w:r>
      <w:r>
        <w:t xml:space="preserve">   </w:t>
      </w:r>
      <w:r>
        <w:tab/>
      </w:r>
      <w:r>
        <w:t xml:space="preserve">7, 10</w:t>
      </w:r>
    </w:p>
    <w:p>
      <w:pPr>
        <w:keepLines/>
        <w:tabs>
          <w:tab w:val="right" w:leader="dot" w:pos="10080"/>
        </w:tabs>
        <w:spacing w:before="0" w:after="0" w:line="480" w:lineRule="exact"/>
        <w:ind w:left="504" w:right="72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8(a)⁠(2)</w:t>
      </w:r>
      <w:r>
        <w:t xml:space="preserve">   </w:t>
      </w:r>
      <w:r>
        <w:tab/>
      </w:r>
      <w:r>
        <w:t xml:space="preserve">7</w:t>
      </w:r>
    </w:p>
    <w:p>
      <w:pPr>
        <w:keepNext/>
        <w:keepLines/>
        <w:spacing w:before="0" w:after="0" w:line="480" w:lineRule="exact"/>
        <w:ind w:left="0" w:firstLine="0"/>
        <w:jc w:val="left"/>
      </w:pPr>
      <w:r>
        <w:rPr>
          <w:b/>
          <w:bCs/>
        </w:rPr>
        <w:t xml:space="preserve">Other Authorities</w:t>
      </w:r>
    </w:p>
    <w:p>
      <w:pPr>
        <w:keepLines/>
        <w:tabs>
          <w:tab w:val="right" w:leader="dot" w:pos="10080"/>
        </w:tabs>
        <w:spacing w:before="0" w:after="0" w:line="480" w:lineRule="exact"/>
        <w:ind w:left="504" w:right="720" w:hanging="504"/>
        <w:jc w:val="left"/>
      </w:pPr>
      <w:r>
        <w:t xml:space="preserve">BVI</w:t>
      </w:r>
      <w:r>
        <w:t xml:space="preserve"> </w:t>
      </w:r>
      <w:r>
        <w:t xml:space="preserve">Business</w:t>
      </w:r>
      <w:r>
        <w:t xml:space="preserve"> </w:t>
      </w:r>
      <w:r>
        <w:t xml:space="preserve">Companies</w:t>
      </w:r>
      <w:r>
        <w:t xml:space="preserve"> </w:t>
      </w:r>
      <w:r>
        <w:t xml:space="preserve">Act</w:t>
      </w:r>
      <w:r>
        <w:t xml:space="preserve">, </w:t>
      </w:r>
      <w:r>
        <w:t xml:space="preserve">§§</w:t>
      </w:r>
      <w:r>
        <w:t xml:space="preserve"> </w:t>
      </w:r>
      <w:r>
        <w:t xml:space="preserve">213(1)⁠(a)⁠(i),</w:t>
      </w:r>
      <w:r>
        <w:t xml:space="preserve"> </w:t>
      </w:r>
      <w:r>
        <w:t xml:space="preserve">215(1)</w:t>
      </w:r>
      <w:r>
        <w:t xml:space="preserve">   </w:t>
      </w:r>
      <w:r>
        <w:tab/>
      </w:r>
      <w:r>
        <w:t xml:space="preserve">9</w:t>
      </w:r>
    </w:p>
    <w:p>
      <w:pPr>
        <w:keepLines/>
        <w:tabs>
          <w:tab w:val="right" w:leader="dot" w:pos="10080"/>
        </w:tabs>
        <w:spacing w:before="0" w:after="0" w:line="480" w:lineRule="exact"/>
        <w:ind w:left="504" w:right="720" w:hanging="504"/>
        <w:jc w:val="left"/>
      </w:pPr>
      <w:r>
        <w:t xml:space="preserve">D.N.M.I.</w:t>
      </w:r>
      <w:r>
        <w:t xml:space="preserve"> </w:t>
      </w:r>
      <w:r>
        <w:t xml:space="preserve">Local</w:t>
      </w:r>
      <w:r>
        <w:t xml:space="preserve"> </w:t>
      </w:r>
      <w:r>
        <w:t xml:space="preserve">Rule</w:t>
      </w:r>
      <w:r>
        <w:t xml:space="preserve">, </w:t>
      </w:r>
      <w:r>
        <w:t xml:space="preserve">LR</w:t>
      </w:r>
      <w:r>
        <w:t xml:space="preserve"> </w:t>
      </w:r>
      <w:r>
        <w:t xml:space="preserve">5.2(b)</w:t>
      </w:r>
      <w:r>
        <w:t xml:space="preserve">   </w:t>
      </w:r>
      <w:r>
        <w:tab/>
      </w:r>
      <w:r>
        <w:t xml:space="preserve">9</w:t>
      </w:r>
    </w:p>
    <w:p>
      <w:pPr>
        <w:keepNext/>
        <w:keepLines/>
        <w:pageBreakBefore/>
        <w:spacing w:before="0" w:after="0" w:line="480" w:lineRule="exact"/>
        <w:ind w:left="720" w:hanging="720"/>
        <w:jc w:val="left"/>
      </w:pPr>
      <w:r>
        <w:rPr>
          <w:b/>
          <w:bCs/>
        </w:rPr>
        <w:t xml:space="preserve">I.</w:t>
      </w:r>
      <w:r>
        <w:rPr>
          <w:b/>
          <w:bCs/>
        </w:rPr>
        <w:tab/>
      </w:r>
      <w:r>
        <w:rPr>
          <w:b/>
          <w:bCs/>
        </w:rPr>
        <w:t xml:space="preserve">Background</w:t>
      </w:r>
    </w:p>
    <w:p>
      <w:pPr>
        <w:keepNext/>
        <w:keepLines/>
        <w:spacing w:before="0" w:after="0" w:line="480" w:lineRule="exact"/>
        <w:ind w:left="1440" w:hanging="720"/>
        <w:jc w:val="left"/>
      </w:pPr>
      <w:r>
        <w:rPr>
          <w:b/>
          <w:bCs/>
        </w:rPr>
        <w:t xml:space="preserve">1.</w:t>
      </w:r>
      <w:r>
        <w:rPr>
          <w:b/>
          <w:bCs/>
        </w:rPr>
        <w:tab/>
      </w:r>
      <w:r>
        <w:rPr>
          <w:b/>
          <w:bCs/>
        </w:rPr>
        <w:t xml:space="preserve">The</w:t>
      </w:r>
      <w:r>
        <w:rPr>
          <w:b/>
          <w:bCs/>
        </w:rPr>
        <w:t xml:space="preserve"> </w:t>
      </w:r>
      <w:r>
        <w:rPr>
          <w:b/>
          <w:bCs/>
        </w:rPr>
        <w:t xml:space="preserve">2020</w:t>
      </w:r>
      <w:r>
        <w:rPr>
          <w:b/>
          <w:bCs/>
        </w:rPr>
        <w:t xml:space="preserve"> </w:t>
      </w:r>
      <w:r>
        <w:rPr>
          <w:b/>
          <w:bCs/>
        </w:rPr>
        <w:t xml:space="preserve">Enforcement</w:t>
      </w:r>
      <w:r>
        <w:rPr>
          <w:b/>
          <w:bCs/>
        </w:rPr>
        <w:t xml:space="preserve"> </w:t>
      </w:r>
      <w:r>
        <w:rPr>
          <w:b/>
          <w:bCs/>
        </w:rPr>
        <w:t xml:space="preserve">Actions</w:t>
      </w:r>
    </w:p>
    <w:p>
      <w:pPr>
        <w:pStyle w:val="BodyText"/>
      </w:pPr>
      <w:r>
        <w:t xml:space="preserve">In 2020, the CCC initiated five enforcement actions against Plaintiff:</w:t>
      </w:r>
    </w:p>
    <w:p>
      <w:pPr>
        <w:pStyle w:val="Item"/>
      </w:pPr>
      <w:r>
        <w:t xml:space="preserve">(a)</w:t>
      </w:r>
      <w:r>
        <w:tab/>
      </w:r>
      <w:r>
        <w:t xml:space="preserve">Enforcement Action 2020</w:t>
      </w:r>
      <w:r>
        <w:noBreakHyphen/>
      </w:r>
      <w:r>
        <w:t xml:space="preserve">001, alleging that Plaintiff violated the Casino License Agreement by failing to pay the 2018 and 2019 Community Benefit Fund contributions.</w:t>
      </w:r>
    </w:p>
    <w:p>
      <w:pPr>
        <w:pStyle w:val="Item"/>
      </w:pPr>
      <w:r>
        <w:t xml:space="preserve">(b)</w:t>
      </w:r>
      <w:r>
        <w:tab/>
      </w:r>
      <w:r>
        <w:t xml:space="preserve">Enforcement Action 2020</w:t>
      </w:r>
      <w:r>
        <w:noBreakHyphen/>
      </w:r>
      <w:r>
        <w:t xml:space="preserve">002, alleging that Plaintiff failed to pay the Annual License Fee due August 12, 2020 in violation of 4 CMC § 2306(b) and CCC regulations (§§ 175</w:t>
      </w:r>
      <w:r>
        <w:noBreakHyphen/>
      </w:r>
      <w:r>
        <w:t xml:space="preserve">10.1</w:t>
      </w:r>
      <w:r>
        <w:noBreakHyphen/>
      </w:r>
      <w:r>
        <w:t xml:space="preserve">610(b) and 175</w:t>
      </w:r>
      <w:r>
        <w:noBreakHyphen/>
      </w:r>
      <w:r>
        <w:t xml:space="preserve">10.1</w:t>
      </w:r>
      <w:r>
        <w:noBreakHyphen/>
      </w:r>
      <w:r>
        <w:t xml:space="preserve">1805(b)⁠(15).</w:t>
      </w:r>
    </w:p>
    <w:p>
      <w:pPr>
        <w:pStyle w:val="Item"/>
      </w:pPr>
      <w:r>
        <w:t xml:space="preserve">(c)</w:t>
      </w:r>
      <w:r>
        <w:tab/>
      </w:r>
      <w:r>
        <w:t xml:space="preserve">Enforcement Action 2020</w:t>
      </w:r>
      <w:r>
        <w:noBreakHyphen/>
      </w:r>
      <w:r>
        <w:t xml:space="preserve">003, alleging that Plaintiff failed to comply with Commission Order 2020</w:t>
      </w:r>
      <w:r>
        <w:noBreakHyphen/>
      </w:r>
      <w:r>
        <w:t xml:space="preserve">003 by failing to maintain the required cash or cash equivalents in a CNMI or United States bank.</w:t>
      </w:r>
    </w:p>
    <w:p>
      <w:pPr>
        <w:pStyle w:val="Item"/>
      </w:pPr>
      <w:r>
        <w:t xml:space="preserve">(d)</w:t>
      </w:r>
      <w:r>
        <w:tab/>
      </w:r>
      <w:r>
        <w:t xml:space="preserve">Enforcement Action 2020</w:t>
      </w:r>
      <w:r>
        <w:noBreakHyphen/>
      </w:r>
      <w:r>
        <w:t xml:space="preserve">004, alleging that Plaintiff violated Commission Order 2020</w:t>
      </w:r>
      <w:r>
        <w:noBreakHyphen/>
      </w:r>
      <w:r>
        <w:t xml:space="preserve">004 by failing to pay accounts payable that were over 89 days old.</w:t>
      </w:r>
    </w:p>
    <w:p>
      <w:pPr>
        <w:pStyle w:val="Item"/>
      </w:pPr>
      <w:r>
        <w:t xml:space="preserve">(e)</w:t>
      </w:r>
      <w:r>
        <w:tab/>
      </w:r>
      <w:r>
        <w:t xml:space="preserve">Enforcement Action 2020</w:t>
      </w:r>
      <w:r>
        <w:noBreakHyphen/>
      </w:r>
      <w:r>
        <w:t xml:space="preserve">005, alleging Plaintiff violated 4 CMC § 2309 and § 175</w:t>
      </w:r>
      <w:r>
        <w:noBreakHyphen/>
      </w:r>
      <w:r>
        <w:t xml:space="preserve">10.1</w:t>
      </w:r>
      <w:r>
        <w:noBreakHyphen/>
      </w:r>
      <w:r>
        <w:t xml:space="preserve">1225 by failing to pay the Casino Regulatory Fee due by October 1, 2020.</w:t>
      </w:r>
    </w:p>
    <w:p>
      <w:pPr>
        <w:pStyle w:val="BodyText"/>
      </w:pPr>
      <w:r>
        <w:t xml:space="preserve">See ECF No. 56 at 8</w:t>
      </w:r>
      <w:r>
        <w:noBreakHyphen/>
      </w:r>
      <w:r>
        <w:t xml:space="preserve">11; See also ECF No. 56</w:t>
      </w:r>
      <w:r>
        <w:noBreakHyphen/>
      </w:r>
      <w:r>
        <w:t xml:space="preserve">3. Enforcement Actions 2020</w:t>
      </w:r>
      <w:r>
        <w:noBreakHyphen/>
      </w:r>
      <w:r>
        <w:t xml:space="preserve">001 and 2020</w:t>
      </w:r>
      <w:r>
        <w:noBreakHyphen/>
      </w:r>
      <w:r>
        <w:t xml:space="preserve">002 were consolidated into Enforcement Action 2020</w:t>
      </w:r>
      <w:r>
        <w:noBreakHyphen/>
      </w:r>
      <w:r>
        <w:t xml:space="preserve">001. See ECF 56</w:t>
      </w:r>
      <w:r>
        <w:noBreakHyphen/>
      </w:r>
      <w:r>
        <w:t xml:space="preserve">3 (noting consolidation). Enforcement Actions 2020</w:t>
      </w:r>
      <w:r>
        <w:noBreakHyphen/>
      </w:r>
      <w:r>
        <w:t xml:space="preserve">003, 2020</w:t>
      </w:r>
      <w:r>
        <w:noBreakHyphen/>
      </w:r>
      <w:r>
        <w:t xml:space="preserve">004, and 2020</w:t>
      </w:r>
      <w:r>
        <w:noBreakHyphen/>
      </w:r>
      <w:r>
        <w:t xml:space="preserve">005 were consolidated into Enforcement Action 2020</w:t>
      </w:r>
      <w:r>
        <w:noBreakHyphen/>
      </w:r>
      <w:r>
        <w:t xml:space="preserve">003. ECF 56</w:t>
      </w:r>
      <w:r>
        <w:noBreakHyphen/>
      </w:r>
      <w:r>
        <w:t xml:space="preserve">3 (noting consolidation).</w:t>
      </w:r>
    </w:p>
    <w:p>
      <w:pPr>
        <w:keepNext/>
        <w:keepLines/>
        <w:spacing w:before="0" w:after="0" w:line="480" w:lineRule="exact"/>
        <w:ind w:left="1440" w:hanging="720"/>
        <w:jc w:val="left"/>
      </w:pPr>
      <w:r>
        <w:rPr>
          <w:b/>
          <w:bCs/>
        </w:rPr>
        <w:t xml:space="preserve">2.</w:t>
      </w:r>
      <w:r>
        <w:rPr>
          <w:b/>
          <w:bCs/>
        </w:rPr>
        <w:tab/>
      </w:r>
      <w:r>
        <w:rPr>
          <w:b/>
          <w:bCs/>
        </w:rPr>
        <w:t xml:space="preserve">The</w:t>
      </w:r>
      <w:r>
        <w:rPr>
          <w:b/>
          <w:bCs/>
        </w:rPr>
        <w:t xml:space="preserve"> </w:t>
      </w:r>
      <w:r>
        <w:rPr>
          <w:b/>
          <w:bCs/>
        </w:rPr>
        <w:t xml:space="preserve">2021</w:t>
      </w:r>
      <w:r>
        <w:rPr>
          <w:b/>
          <w:bCs/>
        </w:rPr>
        <w:t xml:space="preserve"> </w:t>
      </w:r>
      <w:r>
        <w:rPr>
          <w:b/>
          <w:bCs/>
        </w:rPr>
        <w:t xml:space="preserve">Evidentiary</w:t>
      </w:r>
      <w:r>
        <w:rPr>
          <w:b/>
          <w:bCs/>
        </w:rPr>
        <w:t xml:space="preserve"> </w:t>
      </w:r>
      <w:r>
        <w:rPr>
          <w:b/>
          <w:bCs/>
        </w:rPr>
        <w:t xml:space="preserve">Hearings</w:t>
      </w:r>
    </w:p>
    <w:p>
      <w:pPr>
        <w:pStyle w:val="BodyText"/>
      </w:pPr>
      <w:r>
        <w:t xml:space="preserve">On February 25, 2021, the CCC conducted evidentiary hearings on Enforcement Action 2020</w:t>
      </w:r>
      <w:r>
        <w:noBreakHyphen/>
      </w:r>
      <w:r>
        <w:t xml:space="preserve">001 (consolidated). As to Enforcement Action 2020</w:t>
      </w:r>
      <w:r>
        <w:noBreakHyphen/>
      </w:r>
      <w:r>
        <w:t xml:space="preserve">001, Plaintiff argued that Amendment No. 9 to the Casino License Agreement extended the payment dates to 2025. As to Enforcement Action 002, Plaintiff raise force majeure as a defense. ECF No. 56</w:t>
      </w:r>
      <w:r>
        <w:noBreakHyphen/>
      </w:r>
      <w:r>
        <w:t xml:space="preserve">3.</w:t>
      </w:r>
    </w:p>
    <w:p>
      <w:pPr>
        <w:pStyle w:val="BodyText"/>
      </w:pPr>
      <w:r>
        <w:t xml:space="preserve">“On March 2, 2021, CCC conducted an evidentiary hearing for Complaints 003, 004, and 005. IPI did not dispute the violations and did not raise any affirmative defense.” ECF No. 56</w:t>
      </w:r>
      <w:r>
        <w:noBreakHyphen/>
      </w:r>
      <w:r>
        <w:t xml:space="preserve">3; see also</w:t>
      </w:r>
      <w:r>
        <w:t xml:space="preserve"> </w:t>
      </w:r>
      <w:hyperlink r:id="rId9">
        <w:r>
          <w:rPr>
            <w:rStyle w:val="Hyperlink"/>
            <w:i/>
            <w:iCs/>
          </w:rPr>
          <w:t xml:space="preserve">Commonwealth Casino Comm’n v. Imperial Pac. Int’l</w:t>
        </w:r>
        <w:r>
          <w:rPr>
            <w:rStyle w:val="Hyperlink"/>
          </w:rPr>
          <w:t xml:space="preserve">, 2023 MP 8 ¶ 8</w:t>
        </w:r>
      </w:hyperlink>
      <w:r>
        <w:t xml:space="preserve">.</w:t>
      </w:r>
    </w:p>
    <w:p>
      <w:pPr>
        <w:keepNext/>
        <w:keepLines/>
        <w:spacing w:before="0" w:after="0" w:line="480" w:lineRule="exact"/>
        <w:ind w:left="1440" w:hanging="720"/>
        <w:jc w:val="left"/>
      </w:pPr>
      <w:r>
        <w:rPr>
          <w:b/>
          <w:bCs/>
        </w:rPr>
        <w:t xml:space="preserve">3.</w:t>
      </w:r>
      <w:r>
        <w:rPr>
          <w:b/>
          <w:bCs/>
        </w:rPr>
        <w:tab/>
      </w:r>
      <w:r>
        <w:rPr>
          <w:b/>
          <w:bCs/>
        </w:rPr>
        <w:t xml:space="preserve">Commission</w:t>
      </w:r>
      <w:r>
        <w:rPr>
          <w:b/>
          <w:bCs/>
        </w:rPr>
        <w:t xml:space="preserve"> </w:t>
      </w:r>
      <w:r>
        <w:rPr>
          <w:b/>
          <w:bCs/>
        </w:rPr>
        <w:t xml:space="preserve">Order</w:t>
      </w:r>
      <w:r>
        <w:rPr>
          <w:b/>
          <w:bCs/>
        </w:rPr>
        <w:t xml:space="preserve"> </w:t>
      </w:r>
      <w:r>
        <w:rPr>
          <w:b/>
          <w:bCs/>
        </w:rPr>
        <w:t xml:space="preserve">No.</w:t>
      </w:r>
      <w:r>
        <w:rPr>
          <w:b/>
          <w:bCs/>
        </w:rPr>
        <w:t xml:space="preserve"> </w:t>
      </w:r>
      <w:r>
        <w:rPr>
          <w:b/>
          <w:bCs/>
        </w:rPr>
        <w:t xml:space="preserve">2021</w:t>
        <w:noBreakHyphen/>
        <w:t xml:space="preserve">002</w:t>
      </w:r>
    </w:p>
    <w:p>
      <w:pPr>
        <w:pStyle w:val="BodyText"/>
      </w:pPr>
      <w:r>
        <w:t xml:space="preserve">On April 22, 2021, the CCC issued Order No: 2021</w:t>
      </w:r>
      <w:r>
        <w:noBreakHyphen/>
      </w:r>
      <w:r>
        <w:t xml:space="preserve">002. ECF No. 56</w:t>
      </w:r>
      <w:r>
        <w:noBreakHyphen/>
      </w:r>
      <w:r>
        <w:t xml:space="preserve">3. “The Order suspended IPI’s [Plaintiff’s] gaming license, ordering IPI [Plaintiff] to pay a total of $18.65 million that it found was due under the Casino License Agreement’s (“CLA”) Annual License Fee and Annual Regulatory Fee, and imposing a total of $6.6 million in penalties against IPI [Plaintiff].” ECF No. 23 at 7. There are two signatories to the Order: CCC Chairman Edward C. Deleon Guerrero and Defendant Demapan. ECF No. 56</w:t>
      </w:r>
      <w:r>
        <w:noBreakHyphen/>
      </w:r>
      <w:r>
        <w:t xml:space="preserve">3 at 10. The Chairman is a signatory as to Enforcement Action 2020</w:t>
      </w:r>
      <w:r>
        <w:noBreakHyphen/>
      </w:r>
      <w:r>
        <w:t xml:space="preserve">003 (consolidated).</w:t>
      </w:r>
      <w:r>
        <w:t xml:space="preserve"> </w:t>
      </w:r>
      <w:r>
        <w:rPr>
          <w:i/>
          <w:iCs/>
        </w:rPr>
        <w:t xml:space="preserve">Id.</w:t>
      </w:r>
      <w:r>
        <w:t xml:space="preserve"> </w:t>
      </w:r>
      <w:r>
        <w:t xml:space="preserve">Defendant Demapan is a signatory as to Enforcement Action 2020</w:t>
      </w:r>
      <w:r>
        <w:noBreakHyphen/>
      </w:r>
      <w:r>
        <w:t xml:space="preserve">001 (consolidated).</w:t>
      </w:r>
      <w:r>
        <w:t xml:space="preserve"> </w:t>
      </w:r>
      <w:r>
        <w:rPr>
          <w:i/>
          <w:iCs/>
        </w:rPr>
        <w:t xml:space="preserve">Id.</w:t>
      </w:r>
    </w:p>
    <w:p>
      <w:pPr>
        <w:keepNext/>
        <w:keepLines/>
        <w:spacing w:before="0" w:after="0" w:line="480" w:lineRule="exact"/>
        <w:ind w:left="1440" w:hanging="720"/>
        <w:jc w:val="left"/>
      </w:pPr>
      <w:r>
        <w:rPr>
          <w:b/>
          <w:bCs/>
        </w:rPr>
        <w:t xml:space="preserve">4.</w:t>
      </w:r>
      <w:r>
        <w:rPr>
          <w:b/>
          <w:bCs/>
        </w:rPr>
        <w:tab/>
      </w:r>
      <w:r>
        <w:rPr>
          <w:b/>
          <w:bCs/>
        </w:rPr>
        <w:t xml:space="preserve">The</w:t>
      </w:r>
      <w:r>
        <w:rPr>
          <w:b/>
          <w:bCs/>
        </w:rPr>
        <w:t xml:space="preserve"> </w:t>
      </w:r>
      <w:r>
        <w:rPr>
          <w:b/>
          <w:bCs/>
        </w:rPr>
        <w:t xml:space="preserve">NMI</w:t>
      </w:r>
      <w:r>
        <w:rPr>
          <w:b/>
          <w:bCs/>
        </w:rPr>
        <w:t xml:space="preserve"> </w:t>
      </w:r>
      <w:r>
        <w:rPr>
          <w:b/>
          <w:bCs/>
        </w:rPr>
        <w:t xml:space="preserve">Court</w:t>
      </w:r>
      <w:r>
        <w:rPr>
          <w:b/>
          <w:bCs/>
        </w:rPr>
        <w:t xml:space="preserve"> </w:t>
      </w:r>
      <w:r>
        <w:rPr>
          <w:b/>
          <w:bCs/>
        </w:rPr>
        <w:t xml:space="preserve">Proceedings</w:t>
      </w:r>
    </w:p>
    <w:p>
      <w:pPr>
        <w:pStyle w:val="BodyText"/>
      </w:pPr>
      <w:r>
        <w:t xml:space="preserve">On November 5, 2021, Plaintiff appealed the Commission Order No. 2021</w:t>
      </w:r>
      <w:r>
        <w:noBreakHyphen/>
      </w:r>
      <w:r>
        <w:t xml:space="preserve">002 to the Commonwealth of the Northern Mariana Islands Superior Court. ECF No. 56</w:t>
      </w:r>
      <w:r>
        <w:noBreakHyphen/>
      </w:r>
      <w:r>
        <w:t xml:space="preserve">3 ¶ 44. Plaintiff alleged the Order was “arbitrary, capricious, an abuse of discretion and otherwise not in accordance with law and unwarranted by the facts.”</w:t>
      </w:r>
      <w:r>
        <w:t xml:space="preserve"> </w:t>
      </w:r>
      <w:r>
        <w:rPr>
          <w:i/>
          <w:iCs/>
        </w:rPr>
        <w:t xml:space="preserve">Id.</w:t>
      </w:r>
      <w:r>
        <w:t xml:space="preserve">; See also ECF No. 3</w:t>
      </w:r>
      <w:r>
        <w:noBreakHyphen/>
      </w:r>
      <w:r>
        <w:t xml:space="preserve">3 (“IPI appealed CCC’s order to the Superior Court, arguing that COVID</w:t>
      </w:r>
      <w:r>
        <w:noBreakHyphen/>
      </w:r>
      <w:r>
        <w:t xml:space="preserve">19 and other factors like Super Typhoon Yutu and changes in federal immigration law constituted force majeure events that excused all its performance obligations.” Additionally, IPI claimed that CCC violated its due process rights by discussing IPI’s parent company’s annual report at the April 2021 meeting. IPI asserted that CCC improperly considered evidence outside the record, leading it to decide against IPI’s force majeure defense.”). The Superior Court affirmed the Order, finding no due process violation and holding that it “was not arbitrary or capricious.” ECF No. 3</w:t>
      </w:r>
      <w:r>
        <w:noBreakHyphen/>
      </w:r>
      <w:r>
        <w:t xml:space="preserve">3 at 5. The court did not “decide the question of force majeure.” ECF No. 3</w:t>
      </w:r>
      <w:r>
        <w:noBreakHyphen/>
      </w:r>
      <w:r>
        <w:t xml:space="preserve">3 at 5. Instead, the court held that while Plaintiff raised the force majeure defense for Enforcement Actions 001 and 002, it did not raise the defense “or any other defense” as to Enforcement Actions 003, 004, and 005. ECF No. 3</w:t>
      </w:r>
      <w:r>
        <w:noBreakHyphen/>
      </w:r>
      <w:r>
        <w:t xml:space="preserve">3 at 5. The court thus reasoned that the CCC “had properly suspended” Plaintiff’s license. ECF No. 3</w:t>
      </w:r>
      <w:r>
        <w:noBreakHyphen/>
      </w:r>
      <w:r>
        <w:t xml:space="preserve">3 at 5. The court further found no due process violation and held that CCC’s order was not arbitrary or capricious.” ECF No. 3</w:t>
      </w:r>
      <w:r>
        <w:noBreakHyphen/>
      </w:r>
      <w:r>
        <w:t xml:space="preserve">3 at 5. On April 11, 2022, Plaintiff appealed the Superior Court’s order to the NMI Supreme Court. ECF No. 56 ¶ 47.</w:t>
      </w:r>
    </w:p>
    <w:p>
      <w:pPr>
        <w:pStyle w:val="BodyText"/>
      </w:pPr>
      <w:r>
        <w:t xml:space="preserve">On appeal, Plaintiff argued that the lower court erred by “failing to address force majeure, asserting that COVID</w:t>
      </w:r>
      <w:r>
        <w:noBreakHyphen/>
      </w:r>
      <w:r>
        <w:t xml:space="preserve">19 and other occurrences are force majeure events excusing performance in all five complaints.” ECF No. 3</w:t>
      </w:r>
      <w:r>
        <w:noBreakHyphen/>
      </w:r>
      <w:r>
        <w:t xml:space="preserve">3 at 5; See also ECF No. 1 at 6. Plaintiff also argued that “Amendment No. 9 constitutes a deferment of its obligations to pay the Community Benefit Funds. ECF No. 3</w:t>
      </w:r>
      <w:r>
        <w:noBreakHyphen/>
      </w:r>
      <w:r>
        <w:t xml:space="preserve">3 at 5. Plaintiff also argued that it “suffered a due process violation” such that “all sanctions” should be set aside. ECF No. 3</w:t>
      </w:r>
      <w:r>
        <w:noBreakHyphen/>
      </w:r>
      <w:r>
        <w:t xml:space="preserve">3 at 5; See also ECF No. 1 at 6. “On August 25, 2023, the NMI Supreme Court affirmed the trial court’s ruling in part and reversed in part and asked CCC to ‘decide on a reasonable deadline for IPI to pay’ the annual license fees for 2020 and the following years.” ECF No. 56 ¶ 47.</w:t>
      </w:r>
    </w:p>
    <w:p>
      <w:pPr>
        <w:pStyle w:val="BodyText"/>
      </w:pPr>
      <w:r>
        <w:t xml:space="preserve">Notably, the NMI Supreme Court found that IPI did not raise the defense of force majeure for Complaints 003</w:t>
      </w:r>
      <w:r>
        <w:noBreakHyphen/>
      </w:r>
      <w:r>
        <w:t xml:space="preserve">005 and conceded the violations. The Court further found that IPI’s change in tactics on appeal was barred by numerous procedural rules and hurdles such as failure to raise the issue before the agency and judicial estoppel.</w:t>
      </w:r>
      <w:r>
        <w:t xml:space="preserve"> </w:t>
      </w:r>
      <w:hyperlink r:id="rId9">
        <w:r>
          <w:rPr>
            <w:rStyle w:val="Hyperlink"/>
            <w:i/>
            <w:iCs/>
          </w:rPr>
          <w:t xml:space="preserve">CCC v. IPI</w:t>
        </w:r>
        <w:r>
          <w:rPr>
            <w:rStyle w:val="Hyperlink"/>
          </w:rPr>
          <w:t xml:space="preserve">, 2023 MP 8 ¶¶ 56</w:t>
        </w:r>
        <w:r>
          <w:noBreakHyphen/>
        </w:r>
        <w:r>
          <w:rPr>
            <w:rStyle w:val="Hyperlink"/>
          </w:rPr>
          <w:t xml:space="preserve">62</w:t>
        </w:r>
      </w:hyperlink>
      <w:r>
        <w:t xml:space="preserve">.</w:t>
      </w:r>
    </w:p>
    <w:p>
      <w:pPr>
        <w:keepNext/>
        <w:keepLines/>
        <w:spacing w:before="0" w:after="0" w:line="480" w:lineRule="exact"/>
        <w:ind w:left="1440" w:hanging="720"/>
        <w:jc w:val="left"/>
      </w:pPr>
      <w:r>
        <w:rPr>
          <w:b/>
          <w:bCs/>
        </w:rPr>
        <w:t xml:space="preserve">5.</w:t>
      </w:r>
      <w:r>
        <w:rPr>
          <w:b/>
          <w:bCs/>
        </w:rPr>
        <w:tab/>
      </w:r>
      <w:r>
        <w:rPr>
          <w:b/>
          <w:bCs/>
        </w:rPr>
        <w:t xml:space="preserve">Recent</w:t>
      </w:r>
      <w:r>
        <w:rPr>
          <w:b/>
          <w:bCs/>
        </w:rPr>
        <w:t xml:space="preserve"> </w:t>
      </w:r>
      <w:r>
        <w:rPr>
          <w:b/>
          <w:bCs/>
        </w:rPr>
        <w:t xml:space="preserve">Developments</w:t>
      </w:r>
    </w:p>
    <w:p>
      <w:pPr>
        <w:pStyle w:val="BodyText"/>
      </w:pPr>
      <w:r>
        <w:t xml:space="preserve">The CCC conducted a revocation hearing, and Plaintiff filed its Original Complaint in this action and in 1:24-cv</w:t>
      </w:r>
      <w:r>
        <w:noBreakHyphen/>
      </w:r>
      <w:r>
        <w:t xml:space="preserve">0002 alleging various deficiencies and allegations. This is Plaintiff’s Second Amendment to their original Complaint. Procedurally, this mooted the all prior Motions to Dismiss that was directed at the prior Complaints. See</w:t>
      </w:r>
      <w:r>
        <w:t xml:space="preserve"> </w:t>
      </w:r>
      <w:hyperlink r:id="rId10">
        <w:r>
          <w:rPr>
            <w:rStyle w:val="Hyperlink"/>
            <w:i/>
            <w:iCs/>
          </w:rPr>
          <w:t xml:space="preserve">Ramirez v. County of San Bernadino</w:t>
        </w:r>
        <w:r>
          <w:rPr>
            <w:rStyle w:val="Hyperlink"/>
          </w:rPr>
          <w:t xml:space="preserve">, 806 F.3d 1002, 1008 (9th Cir. 2015)</w:t>
        </w:r>
      </w:hyperlink>
      <w:r>
        <w:t xml:space="preserve"> </w:t>
      </w:r>
      <w:r>
        <w:t xml:space="preserve">(“Because Defendants’ motion to dismiss targeted Plaintiff’s First Amended Complaint, which was no longer in effect, we conclude the motion to dismiss should have been deemed moot…” Thus, Defendant, the Commonwealth now files this Motion to Dismiss that is directed towards the Second Amended Complaint.</w:t>
      </w:r>
    </w:p>
    <w:p>
      <w:pPr>
        <w:keepNext/>
        <w:keepLines/>
        <w:spacing w:before="0" w:after="0" w:line="480" w:lineRule="exact"/>
        <w:ind w:left="720" w:hanging="720"/>
        <w:jc w:val="left"/>
      </w:pPr>
      <w:r>
        <w:rPr>
          <w:b/>
          <w:bCs/>
        </w:rPr>
        <w:t xml:space="preserve">II.</w:t>
      </w:r>
      <w:r>
        <w:rPr>
          <w:b/>
          <w:bCs/>
        </w:rPr>
        <w:tab/>
      </w:r>
      <w:r>
        <w:rPr>
          <w:b/>
          <w:bCs/>
        </w:rPr>
        <w:t xml:space="preserve">Facts</w:t>
      </w:r>
    </w:p>
    <w:p>
      <w:pPr>
        <w:pStyle w:val="BodyText"/>
      </w:pPr>
      <w:r>
        <w:t xml:space="preserve">The Commonwealth raises no facts in this motion to dismiss because for purposes of res judicata, a motion to dismiss is only appropriate if the defense raises no disputed issues of fact. See</w:t>
      </w:r>
      <w:r>
        <w:t xml:space="preserve"> </w:t>
      </w:r>
      <w:hyperlink r:id="rId11">
        <w:r>
          <w:rPr>
            <w:rStyle w:val="Hyperlink"/>
            <w:i/>
            <w:iCs/>
          </w:rPr>
          <w:t xml:space="preserve">Scott v. Kuhlmann</w:t>
        </w:r>
        <w:r>
          <w:rPr>
            <w:rStyle w:val="Hyperlink"/>
          </w:rPr>
          <w:t xml:space="preserve">, 746 F.2d 1377, 1378 (9th Cir. 1984)</w:t>
        </w:r>
      </w:hyperlink>
      <w:r>
        <w:t xml:space="preserve">. However, while the Commonwealth raises no disputed facts here, it reserves its right in any future proceedings in this case to contest the issues of fact as raised by Plaintiff.</w:t>
      </w:r>
    </w:p>
    <w:p>
      <w:pPr>
        <w:keepNext/>
        <w:keepLines/>
        <w:spacing w:before="0" w:after="0" w:line="480" w:lineRule="exact"/>
        <w:ind w:left="720" w:hanging="720"/>
        <w:jc w:val="left"/>
      </w:pPr>
      <w:r>
        <w:rPr>
          <w:b/>
          <w:bCs/>
        </w:rPr>
        <w:t xml:space="preserve">III.</w:t>
      </w:r>
      <w:r>
        <w:rPr>
          <w:b/>
          <w:bCs/>
        </w:rPr>
        <w:tab/>
      </w:r>
      <w:r>
        <w:rPr>
          <w:b/>
          <w:bCs/>
        </w:rPr>
        <w:t xml:space="preserve">Legal</w:t>
      </w:r>
      <w:r>
        <w:rPr>
          <w:b/>
          <w:bCs/>
        </w:rPr>
        <w:t xml:space="preserve"> </w:t>
      </w:r>
      <w:r>
        <w:rPr>
          <w:b/>
          <w:bCs/>
        </w:rPr>
        <w:t xml:space="preserve">Standard</w:t>
      </w:r>
    </w:p>
    <w:p>
      <w:pPr>
        <w:keepNext/>
        <w:keepLines/>
        <w:spacing w:before="0" w:after="0" w:line="480" w:lineRule="exact"/>
        <w:ind w:left="1440" w:hanging="720"/>
        <w:jc w:val="left"/>
      </w:pPr>
      <w:r>
        <w:rPr>
          <w:b/>
          <w:bCs/>
        </w:rPr>
        <w:t xml:space="preserve">1.</w:t>
      </w:r>
      <w:r>
        <w:rPr>
          <w:b/>
          <w:bCs/>
        </w:rPr>
        <w:tab/>
      </w:r>
      <w:r>
        <w:rPr>
          <w:b/>
          <w:bCs/>
        </w:rPr>
        <w:t xml:space="preserve">Party</w:t>
      </w:r>
      <w:r>
        <w:rPr>
          <w:b/>
          <w:bCs/>
        </w:rPr>
        <w:t xml:space="preserve"> </w:t>
      </w:r>
      <w:r>
        <w:rPr>
          <w:b/>
          <w:bCs/>
        </w:rPr>
        <w:t xml:space="preserve">Standard</w:t>
      </w:r>
    </w:p>
    <w:p>
      <w:pPr>
        <w:pStyle w:val="BodyText"/>
      </w:pPr>
      <w:hyperlink r:id="rId12">
        <w:r>
          <w:rPr>
            <w:rStyle w:val="Hyperlink"/>
          </w:rPr>
          <w:t xml:space="preserve">Federal Rule of Civil Procedure 17(b)⁠(2)</w:t>
        </w:r>
      </w:hyperlink>
      <w:r>
        <w:t xml:space="preserve"> </w:t>
      </w:r>
      <w:r>
        <w:t xml:space="preserve">reads, “[c]apacity to sue…is determined as follows… (2) for a corporation, by the law under which it was organized.” If a company lacks the capacity to sue, it is axiomatic that it cannot bring a suit.</w:t>
      </w:r>
    </w:p>
    <w:p>
      <w:pPr>
        <w:keepNext/>
        <w:keepLines/>
        <w:spacing w:before="0" w:after="0" w:line="480" w:lineRule="exact"/>
        <w:ind w:left="1440" w:hanging="720"/>
        <w:jc w:val="left"/>
      </w:pPr>
      <w:r>
        <w:rPr>
          <w:b/>
          <w:bCs/>
        </w:rPr>
        <w:t xml:space="preserve">2.</w:t>
      </w:r>
      <w:r>
        <w:rPr>
          <w:b/>
          <w:bCs/>
        </w:rPr>
        <w:tab/>
      </w:r>
      <w:r>
        <w:rPr>
          <w:b/>
          <w:bCs/>
        </w:rPr>
        <w:t xml:space="preserve">Pleading</w:t>
      </w:r>
      <w:r>
        <w:rPr>
          <w:b/>
          <w:bCs/>
        </w:rPr>
        <w:t xml:space="preserve"> </w:t>
      </w:r>
      <w:r>
        <w:rPr>
          <w:b/>
          <w:bCs/>
        </w:rPr>
        <w:t xml:space="preserve">Standard</w:t>
      </w:r>
    </w:p>
    <w:p>
      <w:pPr>
        <w:pStyle w:val="BodyText"/>
      </w:pPr>
      <w:r>
        <w:t xml:space="preserve">Under</w:t>
      </w:r>
      <w:r>
        <w:t xml:space="preserve"> </w:t>
      </w:r>
      <w:hyperlink r:id="rId13">
        <w:r>
          <w:rPr>
            <w:rStyle w:val="Hyperlink"/>
          </w:rPr>
          <w:t xml:space="preserve">Federal Rule of Civil Procedure 8(a)⁠(2)</w:t>
        </w:r>
      </w:hyperlink>
      <w:r>
        <w:t xml:space="preserve">, the plaintiff must provide “a short and plain statement of the claim showing that the pleader is entitled to relief.” While “detailed factual allegations” are not required under the rule, it “demands more than an unadorned, the-defendant-unlawfully-harmed-me accusation.”</w:t>
      </w:r>
      <w:r>
        <w:t xml:space="preserve"> </w:t>
      </w:r>
      <w:hyperlink r:id="rId14">
        <w:r>
          <w:rPr>
            <w:rStyle w:val="Hyperlink"/>
            <w:i/>
            <w:iCs/>
          </w:rPr>
          <w:t xml:space="preserve">Ashcroft v. Iqbal</w:t>
        </w:r>
        <w:r>
          <w:rPr>
            <w:rStyle w:val="Hyperlink"/>
          </w:rPr>
          <w:t xml:space="preserve">, 556 U.S. 662, 677–78 (2009)</w:t>
        </w:r>
      </w:hyperlink>
      <w:r>
        <w:t xml:space="preserve"> </w:t>
      </w:r>
      <w:r>
        <w:t xml:space="preserve">(citing</w:t>
      </w:r>
      <w:r>
        <w:t xml:space="preserve"> </w:t>
      </w:r>
      <w:hyperlink r:id="rId15">
        <w:r>
          <w:rPr>
            <w:rStyle w:val="Hyperlink"/>
            <w:i/>
            <w:iCs/>
          </w:rPr>
          <w:t xml:space="preserve">Bell Atlantic Corp. v. Twombly</w:t>
        </w:r>
        <w:r>
          <w:rPr>
            <w:rStyle w:val="Hyperlink"/>
          </w:rPr>
          <w:t xml:space="preserve">, 550 U.S. 544, 555 (2007)</w:t>
        </w:r>
      </w:hyperlink>
      <w:r>
        <w:t xml:space="preserve">). The factual allegations must be sufficient “to raise a right to relief above the speculative level.”</w:t>
      </w:r>
      <w:r>
        <w:t xml:space="preserve"> </w:t>
      </w:r>
      <w:hyperlink r:id="rId15">
        <w:r>
          <w:rPr>
            <w:rStyle w:val="Hyperlink"/>
            <w:i/>
            <w:iCs/>
          </w:rPr>
          <w:t xml:space="preserve">Bell Atl. Corp. v. Twombly</w:t>
        </w:r>
        <w:r>
          <w:rPr>
            <w:rStyle w:val="Hyperlink"/>
          </w:rPr>
          <w:t xml:space="preserve">, 550 U.S. 544, 555 (2007)</w:t>
        </w:r>
      </w:hyperlink>
      <w:r>
        <w:t xml:space="preserve">. It is insufficient for a pleading to offer “labels and conclusions” or “a formulaic recitation of the elements of a cause of action.”</w:t>
      </w:r>
      <w:r>
        <w:t xml:space="preserve"> </w:t>
      </w:r>
      <w:hyperlink r:id="rId14">
        <w:r>
          <w:rPr>
            <w:rStyle w:val="Hyperlink"/>
            <w:i/>
            <w:iCs/>
          </w:rPr>
          <w:t xml:space="preserve">Ashcroft v. Iqbal</w:t>
        </w:r>
        <w:r>
          <w:rPr>
            <w:rStyle w:val="Hyperlink"/>
          </w:rPr>
          <w:t xml:space="preserve">, 556 U.S. 662, 678 (2009)</w:t>
        </w:r>
      </w:hyperlink>
      <w:r>
        <w:t xml:space="preserve"> </w:t>
      </w:r>
      <w:r>
        <w:t xml:space="preserve">(citing</w:t>
      </w:r>
      <w:r>
        <w:t xml:space="preserve"> </w:t>
      </w:r>
      <w:hyperlink r:id="rId15">
        <w:r>
          <w:rPr>
            <w:rStyle w:val="Hyperlink"/>
            <w:i/>
            <w:iCs/>
          </w:rPr>
          <w:t xml:space="preserve">Bell Atlantic Corp. v. Twombly</w:t>
        </w:r>
        <w:r>
          <w:rPr>
            <w:rStyle w:val="Hyperlink"/>
          </w:rPr>
          <w:t xml:space="preserve">, 550 U.S. 544, 555 (2007)</w:t>
        </w:r>
      </w:hyperlink>
      <w:r>
        <w:t xml:space="preserve">). The same goes for “naked assertion[s]” devoid of “further factual enhancement.”</w:t>
      </w:r>
      <w:r>
        <w:t xml:space="preserve"> </w:t>
      </w:r>
      <w:r>
        <w:rPr>
          <w:i/>
          <w:iCs/>
        </w:rPr>
        <w:t xml:space="preserve">Id.</w:t>
      </w:r>
      <w:r>
        <w:t xml:space="preserve">, at 557.</w:t>
      </w:r>
    </w:p>
    <w:p>
      <w:pPr>
        <w:pStyle w:val="BodyText"/>
      </w:pPr>
      <w:r>
        <w:t xml:space="preserve">A complaint must state a “plausible claim for relief” to “survive[] a motion to dismiss.”</w:t>
      </w:r>
      <w:r>
        <w:t xml:space="preserve"> </w:t>
      </w:r>
      <w:hyperlink r:id="rId14">
        <w:r>
          <w:rPr>
            <w:rStyle w:val="Hyperlink"/>
            <w:i/>
            <w:iCs/>
          </w:rPr>
          <w:t xml:space="preserve">Ashcroft v. Iqbal</w:t>
        </w:r>
        <w:r>
          <w:rPr>
            <w:rStyle w:val="Hyperlink"/>
          </w:rPr>
          <w:t xml:space="preserve">, 556 U.S. 662, 678 (2009)</w:t>
        </w:r>
      </w:hyperlink>
      <w:r>
        <w:t xml:space="preserve">.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“The plausibility standard is not akin to a ‘probability requirement,’ but it asks for more than a sheer possibility that a defendant has acted unlawfully.”</w:t>
      </w:r>
      <w:r>
        <w:t xml:space="preserve"> </w:t>
      </w:r>
      <w:r>
        <w:rPr>
          <w:i/>
          <w:iCs/>
        </w:rPr>
        <w:t xml:space="preserve">Id.</w:t>
      </w:r>
      <w:r>
        <w:t xml:space="preserve"> </w:t>
      </w:r>
      <w:r>
        <w:t xml:space="preserve">The “tenet that a court must accept as true all of the allegations contained in a complaint is inapplicable to legal conclusions.”</w:t>
      </w:r>
      <w:r>
        <w:t xml:space="preserve"> </w:t>
      </w:r>
      <w:r>
        <w:rPr>
          <w:i/>
          <w:iCs/>
        </w:rPr>
        <w:t xml:space="preserve">Id.</w:t>
      </w:r>
      <w:r>
        <w:t xml:space="preserve"> </w:t>
      </w:r>
      <w:r>
        <w:t xml:space="preserve">at 678. “While legal conclusions can provide the framework of a complaint, they must be supported by factual allegations.”</w:t>
      </w:r>
      <w:r>
        <w:t xml:space="preserve"> </w:t>
      </w:r>
      <w:r>
        <w:rPr>
          <w:i/>
          <w:iCs/>
        </w:rPr>
        <w:t xml:space="preserve">Id.</w:t>
      </w:r>
      <w:r>
        <w:t xml:space="preserve"> </w:t>
      </w:r>
      <w:r>
        <w:t xml:space="preserve">at 679.</w:t>
      </w:r>
    </w:p>
    <w:p>
      <w:pPr>
        <w:keepNext/>
        <w:keepLines/>
        <w:spacing w:before="0" w:after="0" w:line="480" w:lineRule="exact"/>
        <w:ind w:left="1440" w:hanging="720"/>
        <w:jc w:val="left"/>
      </w:pPr>
      <w:r>
        <w:rPr>
          <w:b/>
          <w:bCs/>
        </w:rPr>
        <w:t xml:space="preserve">3.</w:t>
      </w:r>
      <w:r>
        <w:rPr>
          <w:b/>
          <w:bCs/>
        </w:rPr>
        <w:tab/>
      </w:r>
      <w:r>
        <w:rPr>
          <w:b/>
          <w:bCs/>
        </w:rPr>
        <w:t xml:space="preserve">Subject</w:t>
      </w:r>
      <w:r>
        <w:rPr>
          <w:b/>
          <w:bCs/>
        </w:rPr>
        <w:t xml:space="preserve"> </w:t>
      </w:r>
      <w:r>
        <w:rPr>
          <w:b/>
          <w:bCs/>
        </w:rPr>
        <w:t xml:space="preserve">Matter</w:t>
      </w:r>
      <w:r>
        <w:rPr>
          <w:b/>
          <w:bCs/>
        </w:rPr>
        <w:t xml:space="preserve"> </w:t>
      </w:r>
      <w:r>
        <w:rPr>
          <w:b/>
          <w:bCs/>
        </w:rPr>
        <w:t xml:space="preserve">Jurisdiction</w:t>
      </w:r>
      <w:r>
        <w:rPr>
          <w:b/>
          <w:bCs/>
        </w:rPr>
        <w:t xml:space="preserve"> </w:t>
      </w:r>
      <w:r>
        <w:rPr>
          <w:b/>
          <w:bCs/>
        </w:rPr>
        <w:t xml:space="preserve">Standard</w:t>
      </w:r>
    </w:p>
    <w:p>
      <w:pPr>
        <w:pStyle w:val="BodyText"/>
      </w:pPr>
      <w:hyperlink r:id="rId16">
        <w:r>
          <w:rPr>
            <w:rStyle w:val="Hyperlink"/>
          </w:rPr>
          <w:t xml:space="preserve">Federal Rule of Civil Procedure 12(b)⁠(1)</w:t>
        </w:r>
      </w:hyperlink>
      <w:r>
        <w:t xml:space="preserve"> </w:t>
      </w:r>
      <w:r>
        <w:t xml:space="preserve">provides for the dismissal of an action for “lack of subject matter jurisdiction.” Although sovereign immunity is only quasi-jurisdictional in nature, Rule 12(b)⁠(1) is still a proper vehicle for invoking sovereign immunity from suit.</w:t>
      </w:r>
      <w:r>
        <w:t xml:space="preserve"> </w:t>
      </w:r>
      <w:hyperlink r:id="rId17">
        <w:r>
          <w:rPr>
            <w:rStyle w:val="Hyperlink"/>
            <w:i/>
            <w:iCs/>
          </w:rPr>
          <w:t xml:space="preserve">Pistor v. Garcia</w:t>
        </w:r>
        <w:r>
          <w:rPr>
            <w:rStyle w:val="Hyperlink"/>
          </w:rPr>
          <w:t xml:space="preserve">, 791 F.3d 1104, 1111 (9th Cir. 2015)</w:t>
        </w:r>
      </w:hyperlink>
      <w:r>
        <w:t xml:space="preserve"> </w:t>
      </w:r>
      <w:r>
        <w:t xml:space="preserve">(citation omitted).</w:t>
      </w:r>
    </w:p>
    <w:p>
      <w:pPr>
        <w:keepNext/>
        <w:keepLines/>
        <w:spacing w:before="0" w:after="0" w:line="480" w:lineRule="exact"/>
        <w:ind w:left="1440" w:hanging="720"/>
        <w:jc w:val="left"/>
      </w:pPr>
      <w:r>
        <w:rPr>
          <w:b/>
          <w:bCs/>
        </w:rPr>
        <w:t xml:space="preserve">4.</w:t>
      </w:r>
      <w:r>
        <w:rPr>
          <w:b/>
          <w:bCs/>
        </w:rPr>
        <w:tab/>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Res</w:t>
      </w:r>
      <w:r>
        <w:rPr>
          <w:b/>
          <w:bCs/>
        </w:rPr>
        <w:t xml:space="preserve"> </w:t>
      </w:r>
      <w:r>
        <w:rPr>
          <w:b/>
          <w:bCs/>
        </w:rPr>
        <w:t xml:space="preserve">Judicata</w:t>
      </w:r>
    </w:p>
    <w:p>
      <w:pPr>
        <w:pStyle w:val="BodyText"/>
      </w:pPr>
      <w:r>
        <w:t xml:space="preserve">Dismissal under</w:t>
      </w:r>
      <w:r>
        <w:t xml:space="preserve"> </w:t>
      </w:r>
      <w:hyperlink r:id="rId18">
        <w:r>
          <w:rPr>
            <w:rStyle w:val="Hyperlink"/>
          </w:rPr>
          <w:t xml:space="preserve">Federal Rule of Civil Procedure 12(b)⁠(6)</w:t>
        </w:r>
      </w:hyperlink>
      <w:r>
        <w:t xml:space="preserve"> </w:t>
      </w:r>
      <w:r>
        <w:t xml:space="preserve">on the basis of res judicata is appropriate when “the defense raises no disputed issues of fact.” See</w:t>
      </w:r>
      <w:r>
        <w:t xml:space="preserve"> </w:t>
      </w:r>
      <w:hyperlink r:id="rId11">
        <w:r>
          <w:rPr>
            <w:rStyle w:val="Hyperlink"/>
            <w:i/>
            <w:iCs/>
          </w:rPr>
          <w:t xml:space="preserve">Scott v. Kuhlmann</w:t>
        </w:r>
        <w:r>
          <w:rPr>
            <w:rStyle w:val="Hyperlink"/>
          </w:rPr>
          <w:t xml:space="preserve">, 746 F.2d 1377, 1378 (9th Cir. 1984)</w:t>
        </w:r>
      </w:hyperlink>
      <w:r>
        <w:t xml:space="preserve">. (“The defendants raised res judicata in their motion to dismiss under Rule 12(b)⁠(6), rather than in a responsive pleading. Ordinarily affirmative defenses may not be raised by motion to dismiss…but this is not true when, as here, the defense raises no disputed issues of fact.”).</w:t>
      </w:r>
    </w:p>
    <w:p>
      <w:pPr>
        <w:keepNext/>
        <w:keepLines/>
        <w:spacing w:before="0" w:after="0" w:line="480" w:lineRule="exact"/>
        <w:ind w:left="720" w:hanging="720"/>
        <w:jc w:val="left"/>
      </w:pPr>
      <w:r>
        <w:rPr>
          <w:b/>
          <w:bCs/>
        </w:rPr>
        <w:t xml:space="preserve">IV.</w:t>
      </w:r>
      <w:r>
        <w:rPr>
          <w:b/>
          <w:bCs/>
        </w:rPr>
        <w:tab/>
      </w:r>
      <w:r>
        <w:rPr>
          <w:b/>
          <w:bCs/>
        </w:rPr>
        <w:t xml:space="preserve">Argument</w:t>
      </w:r>
    </w:p>
    <w:p>
      <w:pPr>
        <w:keepNext/>
        <w:keepLines/>
        <w:spacing w:before="0" w:after="0" w:line="480" w:lineRule="exact"/>
        <w:ind w:left="1440" w:hanging="720"/>
        <w:jc w:val="left"/>
      </w:pPr>
      <w:r>
        <w:rPr>
          <w:b/>
          <w:bCs/>
        </w:rPr>
        <w:t xml:space="preserve">1.</w:t>
      </w:r>
      <w:r>
        <w:rPr>
          <w:b/>
          <w:bCs/>
        </w:rPr>
        <w:tab/>
      </w:r>
      <w:r>
        <w:rPr>
          <w:b/>
          <w:bCs/>
        </w:rPr>
        <w:t xml:space="preserve">Plaintiff,</w:t>
      </w:r>
      <w:r>
        <w:rPr>
          <w:b/>
          <w:bCs/>
        </w:rPr>
        <w:t xml:space="preserve"> </w:t>
      </w:r>
      <w:r>
        <w:rPr>
          <w:b/>
          <w:bCs/>
        </w:rPr>
        <w:t xml:space="preserve">Best</w:t>
      </w:r>
      <w:r>
        <w:rPr>
          <w:b/>
          <w:bCs/>
        </w:rPr>
        <w:t xml:space="preserve"> </w:t>
      </w:r>
      <w:r>
        <w:rPr>
          <w:b/>
          <w:bCs/>
        </w:rPr>
        <w:t xml:space="preserve">Sunshine</w:t>
      </w:r>
      <w:r>
        <w:rPr>
          <w:b/>
          <w:bCs/>
        </w:rPr>
        <w:t xml:space="preserve"> </w:t>
      </w:r>
      <w:r>
        <w:rPr>
          <w:b/>
          <w:bCs/>
        </w:rPr>
        <w:t xml:space="preserve">International</w:t>
      </w:r>
      <w:r>
        <w:rPr>
          <w:b/>
          <w:bCs/>
        </w:rPr>
        <w:t xml:space="preserve"> </w:t>
      </w:r>
      <w:r>
        <w:rPr>
          <w:b/>
          <w:bCs/>
        </w:rPr>
        <w:t xml:space="preserve">Ltd,</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Longer</w:t>
      </w:r>
      <w:r>
        <w:rPr>
          <w:b/>
          <w:bCs/>
        </w:rPr>
        <w:t xml:space="preserve"> </w:t>
      </w:r>
      <w:r>
        <w:rPr>
          <w:b/>
          <w:bCs/>
        </w:rPr>
        <w:t xml:space="preserve">an</w:t>
      </w:r>
      <w:r>
        <w:rPr>
          <w:b/>
          <w:bCs/>
        </w:rPr>
        <w:t xml:space="preserve"> </w:t>
      </w:r>
      <w:r>
        <w:rPr>
          <w:b/>
          <w:bCs/>
        </w:rPr>
        <w:t xml:space="preserve">Entity</w:t>
      </w:r>
      <w:r>
        <w:rPr>
          <w:b/>
          <w:bCs/>
        </w:rPr>
        <w:t xml:space="preserve"> </w:t>
      </w:r>
      <w:r>
        <w:rPr>
          <w:b/>
          <w:bCs/>
        </w:rPr>
        <w:t xml:space="preserve">and</w:t>
      </w:r>
      <w:r>
        <w:rPr>
          <w:b/>
          <w:bCs/>
        </w:rPr>
        <w:t xml:space="preserve"> </w:t>
      </w:r>
      <w:r>
        <w:rPr>
          <w:b/>
          <w:bCs/>
        </w:rPr>
        <w:t xml:space="preserve">Lacks</w:t>
      </w:r>
      <w:r>
        <w:rPr>
          <w:b/>
          <w:bCs/>
        </w:rPr>
        <w:t xml:space="preserve"> </w:t>
      </w:r>
      <w:r>
        <w:rPr>
          <w:b/>
          <w:bCs/>
        </w:rPr>
        <w:t xml:space="preserve">Capacity</w:t>
      </w:r>
      <w:r>
        <w:rPr>
          <w:b/>
          <w:bCs/>
        </w:rPr>
        <w:t xml:space="preserve"> </w:t>
      </w:r>
      <w:r>
        <w:rPr>
          <w:b/>
          <w:bCs/>
        </w:rPr>
        <w:t xml:space="preserve">to</w:t>
      </w:r>
      <w:r>
        <w:rPr>
          <w:b/>
          <w:bCs/>
        </w:rPr>
        <w:t xml:space="preserve"> </w:t>
      </w:r>
      <w:r>
        <w:rPr>
          <w:b/>
          <w:bCs/>
        </w:rPr>
        <w:t xml:space="preserve">Sue.</w:t>
      </w:r>
    </w:p>
    <w:p>
      <w:pPr>
        <w:pStyle w:val="BodyTextNote"/>
      </w:pPr>
      <w:r>
        <w:t xml:space="preserve">One of the Plaintiffs that is alleged to bring the SAC is Best Sunshine International Ltd. (BVI) (“Best Sunshine”). Best Sunshine is alleged to be “a corporation organized under the laws of the British Virgin Islands, with its principal place of business at P.O. Box 95, Offshore Incorporation Centre, Road Town, Tortola, British Virgin Islands.” SAC ¶ 5 (ECF 56). Further, Best Sunshine is the sole member of Plaintiff IPI. SAC ¶ 4 (ECF 56). Best Sunshine, however, has been dissolved since April 7, 2023, and cannot be a party to this proceeding. See Exhibit 1 (Dissolution of Best Sunshine from BVI Registrar of Corporations).</w:t>
      </w:r>
      <w:r>
        <w:rPr>
          <w:rStyle w:val="FootnoteReference"/>
        </w:rPr>
        <w:footnoteReference w:id="19"/>
      </w:r>
    </w:p>
    <w:p>
      <w:pPr>
        <w:pStyle w:val="BodyText"/>
      </w:pPr>
      <w:r>
        <w:t xml:space="preserve">Best Sunshine was organized in the British Virgin Islands, and thus that law would control. SAC ¶ 5 (ECF 56); See also</w:t>
      </w:r>
      <w:r>
        <w:t xml:space="preserve"> </w:t>
      </w:r>
      <w:hyperlink r:id="rId21">
        <w:r>
          <w:rPr>
            <w:rStyle w:val="Hyperlink"/>
            <w:i/>
            <w:iCs/>
          </w:rPr>
          <w:t xml:space="preserve">Levin Metals Corp. v. Parr-Richmond Terminal Co.</w:t>
        </w:r>
        <w:r>
          <w:rPr>
            <w:rStyle w:val="Hyperlink"/>
          </w:rPr>
          <w:t xml:space="preserve">, 817 F.2d 1448, 1451 (9th Cir. 1897)</w:t>
        </w:r>
      </w:hyperlink>
      <w:r>
        <w:t xml:space="preserve"> </w:t>
      </w:r>
      <w:r>
        <w:t xml:space="preserve">(finding that Rule 17(b) requires the application of the law under which the corporation was organized and finding that Rule 17(b) applies to dissolved corporations) (citing 6 C. Wright &amp; A. Miller, Federal Practice and Procedure § 1563 (1971)).</w:t>
      </w:r>
    </w:p>
    <w:p>
      <w:pPr>
        <w:pStyle w:val="BodyText"/>
      </w:pPr>
      <w:r>
        <w:t xml:space="preserve">Under the British Virgin Islands Business Companies Act of 2014 (Revised 2020), “[t]he Registrar may strike the name of a company off the Register if the company does not have a registered agent.”</w:t>
      </w:r>
      <w:r>
        <w:t xml:space="preserve"> </w:t>
      </w:r>
      <w:hyperlink r:id="rId22">
        <w:r>
          <w:rPr>
            <w:rStyle w:val="Hyperlink"/>
          </w:rPr>
          <w:t xml:space="preserve">BVI Business Companies Act, Division 3—Striking Off and Dissolution § 213(1)⁠(a)⁠(i)</w:t>
        </w:r>
      </w:hyperlink>
      <w:r>
        <w:t xml:space="preserve">. Best Sunshine has no registered agent as the “Agent Resigned from Company” and thus, the status of Best Sunshine is that it has been dissolved as of April 7, 2023. See Exhibit 1.</w:t>
      </w:r>
    </w:p>
    <w:p>
      <w:pPr>
        <w:pStyle w:val="BodyTextNote"/>
      </w:pPr>
      <w:r>
        <w:t xml:space="preserve">As a dissolved corporation, “the company and the directors, members and any liquidator or receiver thereof, may not—(a) commence legal proceedings, carry on any business or in any way deal with the assets of the company; (b) defend any legal proceedings, make any claim or claim any right for, or in the name of, the company; or (c) act in any way with respect to the affairs of the company.”</w:t>
      </w:r>
      <w:r>
        <w:t xml:space="preserve"> </w:t>
      </w:r>
      <w:hyperlink r:id="rId22">
        <w:r>
          <w:rPr>
            <w:rStyle w:val="Hyperlink"/>
          </w:rPr>
          <w:t xml:space="preserve">BVI Business Companies Act, Division 3 § 215 (1)</w:t>
        </w:r>
      </w:hyperlink>
      <w:r>
        <w:t xml:space="preserve">. Best Sunshine ceased to exist on April 7, 2023, thus under the laws of the British Virgin Islands, it could not commence legal proceedings on any pertinent date of this suit.</w:t>
      </w:r>
      <w:r>
        <w:rPr>
          <w:rStyle w:val="FootnoteReference"/>
        </w:rPr>
        <w:footnoteReference w:id="23"/>
      </w:r>
      <w:r>
        <w:t xml:space="preserve"> </w:t>
      </w:r>
      <w:r>
        <w:t xml:space="preserve">Therefore, because Best Sunshine does not have the capacity to sue, Best Sunshine and its claims must be dismissed.</w:t>
      </w:r>
    </w:p>
    <w:p>
      <w:pPr>
        <w:keepNext/>
        <w:keepLines/>
        <w:spacing w:before="0" w:after="0" w:line="480" w:lineRule="exact"/>
        <w:ind w:left="720" w:hanging="720"/>
        <w:jc w:val="left"/>
      </w:pPr>
      <w:r>
        <w:rPr>
          <w:b/>
          <w:bCs/>
        </w:rPr>
        <w:t xml:space="preserve">V.</w:t>
      </w:r>
      <w:r>
        <w:rPr>
          <w:b/>
          <w:bCs/>
        </w:rPr>
        <w:tab/>
      </w:r>
      <w:r>
        <w:rPr>
          <w:b/>
          <w:bCs/>
        </w:rPr>
        <w:t xml:space="preserve">Conclusion</w:t>
      </w:r>
    </w:p>
    <w:p>
      <w:pPr>
        <w:pStyle w:val="BodyTextKeep"/>
      </w:pPr>
      <w:r>
        <w:t xml:space="preserve">For the foregoing reasons, Defendants respectfully moves to dismiss this suit pursuant to</w:t>
      </w:r>
      <w:r>
        <w:t xml:space="preserve"> </w:t>
      </w:r>
      <w:hyperlink r:id="rId12">
        <w:r>
          <w:rPr>
            <w:rStyle w:val="Hyperlink"/>
          </w:rPr>
          <w:t xml:space="preserve">Federal Rule of Civil Procedure 17(b)⁠(2)</w:t>
        </w:r>
      </w:hyperlink>
      <w:r>
        <w:t xml:space="preserve"> </w:t>
      </w:r>
      <w:r>
        <w:t xml:space="preserve">and 12(b)⁠(1) and (6).</w:t>
      </w:r>
    </w:p>
    <w:tbl>
      <w:tblPr>
        <w:tblW w:w="10080" w:type="dxa"/>
        <w:tblLayout w:type="fixed"/>
        <w:tblCellMar>
          <w:top w:w="0" w:type="dxa"/>
          <w:left w:w="0" w:type="dxa"/>
          <w:bottom w:w="0" w:type="dxa"/>
          <w:right w:w="0" w:type="dxa"/>
        </w:tblCellMar>
        <w:tblLook w:val="0000" w:firstRow="0" w:lastRow="0" w:firstColumn="0" w:lastColumn="0" w:noHBand="0" w:noVBand="0"/>
      </w:tblPr>
      <w:tblGrid>
        <w:gridCol w:w="3744"/>
        <w:gridCol w:w="288"/>
        <w:gridCol w:w="6048"/>
      </w:tblGrid>
      <w:tr>
        <w:trPr>
          <w:cantSplit/>
        </w:trPr>
        <w:tc>
          <w:tcPr>
            <w:tcW w:w="3744" w:type="dxa"/>
          </w:tcPr>
          <w:p>
            <w:pPr>
              <w:spacing w:before="192" w:after="0" w:line="240" w:lineRule="exact"/>
              <w:ind w:left="0" w:firstLine="0"/>
              <w:jc w:val="left"/>
            </w:pPr>
            <w:r>
              <w:t xml:space="preserve">Date: </w:t>
            </w:r>
            <w:r>
              <w:t xml:space="preserve">August</w:t>
            </w:r>
            <w:r>
              <w:t xml:space="preserve"> </w:t>
            </w:r>
            <w:r>
              <w:t xml:space="preserve">13,</w:t>
            </w:r>
            <w:r>
              <w:t xml:space="preserve"> </w:t>
            </w:r>
            <w:r>
              <w:t xml:space="preserve">2024</w:t>
            </w:r>
          </w:p>
        </w:tc>
        <w:tc>
          <w:tcPr>
            <w:tcW w:w="288" w:type="dxa"/>
          </w:tcPr>
          <w:p>
            <w:pPr>
              <w:spacing w:before="0" w:after="0" w:line="240" w:lineRule="exact"/>
              <w:ind w:left="0" w:firstLine="0"/>
              <w:jc w:val="left"/>
            </w:pPr>
          </w:p>
        </w:tc>
        <w:tc>
          <w:tcPr>
            <w:tcW w:w="6048" w:type="dxa"/>
          </w:tcPr>
          <w:p>
            <w:pPr>
              <w:spacing w:before="192" w:after="0" w:line="240" w:lineRule="exact"/>
              <w:ind w:left="0" w:firstLine="0"/>
              <w:jc w:val="left"/>
            </w:pPr>
            <w:r>
              <w:t xml:space="preserve">Respectfully submitted,</w:t>
            </w:r>
          </w:p>
          <w:p>
            <w:pPr>
              <w:spacing w:before="240" w:after="0" w:line="240"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40" w:lineRule="exact"/>
              <w:ind w:left="0" w:firstLine="0"/>
              <w:jc w:val="left"/>
            </w:pPr>
            <w:r>
              <w:t xml:space="preserve">EDWARD</w:t>
            </w:r>
            <w:r>
              <w:t xml:space="preserve"> </w:t>
            </w:r>
            <w:r>
              <w:t xml:space="preserve">MANIBUSAN</w:t>
            </w:r>
          </w:p>
          <w:p>
            <w:pPr>
              <w:spacing w:before="0" w:after="0" w:line="240" w:lineRule="exact"/>
              <w:ind w:left="0" w:firstLine="0"/>
              <w:jc w:val="left"/>
            </w:pPr>
            <w:r>
              <w:t xml:space="preserve">Attorney</w:t>
            </w:r>
            <w:r>
              <w:t xml:space="preserve"> </w:t>
            </w:r>
            <w:r>
              <w:t xml:space="preserve">General</w:t>
            </w:r>
          </w:p>
          <w:p>
            <w:pPr>
              <w:spacing w:before="240" w:after="0" w:line="240" w:lineRule="exact"/>
              <w:ind w:left="0" w:firstLine="0"/>
              <w:jc w:val="left"/>
            </w:pPr>
            <w:r>
              <w:t xml:space="preserve">/s/ J. Robert Glass, Jr.</w:t>
            </w:r>
          </w:p>
          <w:p>
            <w:pPr>
              <w:spacing w:before="0" w:after="0" w:line="240" w:lineRule="exact"/>
              <w:ind w:left="0" w:firstLine="0"/>
              <w:jc w:val="left"/>
            </w:pPr>
            <w:r>
              <w:t xml:space="preserve">J.</w:t>
            </w:r>
            <w:r>
              <w:t xml:space="preserve"> </w:t>
            </w:r>
            <w:r>
              <w:t xml:space="preserve">Robert</w:t>
            </w:r>
            <w:r>
              <w:t xml:space="preserve"> </w:t>
            </w:r>
            <w:r>
              <w:t xml:space="preserve">Glass,</w:t>
            </w:r>
            <w:r>
              <w:t xml:space="preserve"> </w:t>
            </w:r>
            <w:r>
              <w:t xml:space="preserve">Jr.</w:t>
            </w:r>
          </w:p>
          <w:p>
            <w:pPr>
              <w:spacing w:before="0" w:after="0" w:line="240" w:lineRule="exact"/>
              <w:ind w:left="0" w:firstLine="0"/>
              <w:jc w:val="left"/>
            </w:pPr>
            <w:r>
              <w:t xml:space="preserve">(F0523)</w:t>
            </w:r>
          </w:p>
          <w:p>
            <w:pPr>
              <w:spacing w:before="0" w:after="0" w:line="240" w:lineRule="exact"/>
              <w:ind w:left="0" w:firstLine="0"/>
              <w:jc w:val="left"/>
            </w:pPr>
            <w:r>
              <w:t xml:space="preserve">Chief</w:t>
            </w:r>
            <w:r>
              <w:t xml:space="preserve"> </w:t>
            </w:r>
            <w:r>
              <w:t xml:space="preserve">Solicitor</w:t>
            </w:r>
          </w:p>
          <w:p>
            <w:pPr>
              <w:spacing w:before="0" w:after="0" w:line="240" w:lineRule="exact"/>
              <w:ind w:left="0" w:firstLine="0"/>
              <w:jc w:val="left"/>
            </w:pPr>
            <w:r>
              <w:t xml:space="preserve">Attorney</w:t>
            </w:r>
            <w:r>
              <w:t xml:space="preserve"> </w:t>
            </w:r>
            <w:r>
              <w:t xml:space="preserve">for</w:t>
            </w:r>
            <w:r>
              <w:t xml:space="preserve"> </w:t>
            </w:r>
            <w:r>
              <w:t xml:space="preserve">Defendant</w:t>
            </w:r>
          </w:p>
          <w:p>
            <w:pPr>
              <w:spacing w:before="0" w:after="0" w:line="240" w:lineRule="exact"/>
              <w:ind w:left="0" w:firstLine="0"/>
              <w:jc w:val="left"/>
            </w:pPr>
            <w:r>
              <w:t xml:space="preserve">Commonwealth</w:t>
            </w:r>
            <w:r>
              <w:t xml:space="preserve"> </w:t>
            </w:r>
            <w:r>
              <w:t xml:space="preserve">of</w:t>
            </w:r>
            <w:r>
              <w:t xml:space="preserve"> </w:t>
            </w:r>
            <w:r>
              <w:t xml:space="preserve">the</w:t>
            </w:r>
            <w:r>
              <w:t xml:space="preserve"> </w:t>
            </w:r>
            <w:r>
              <w:t xml:space="preserve">Northern</w:t>
            </w:r>
            <w:r>
              <w:t xml:space="preserve"> </w:t>
            </w:r>
            <w:r>
              <w:t xml:space="preserve">Mariana</w:t>
            </w:r>
            <w:r>
              <w:t xml:space="preserve"> </w:t>
            </w:r>
            <w:r>
              <w:t xml:space="preserve">Islands</w:t>
            </w:r>
          </w:p>
        </w:tc>
      </w:tr>
    </w:tbl>
    <w:sectPr>
      <w:footerReference w:type="default" r:id="rIdNmidFooter"/>
      <w:pgSz w:w="12240" w:h="15840"/>
      <w:pgMar w:top="2160" w:right="720" w:bottom="1680" w:left="1440" w:header="720" w:footer="5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Pursuant to</w:t>
      </w:r>
      <w:r>
        <w:t xml:space="preserve"> </w:t>
      </w:r>
      <w:hyperlink r:id="rId20">
        <w:r>
          <w:rPr>
            <w:rStyle w:val="Hyperlink"/>
          </w:rPr>
          <w:t xml:space="preserve">Local Rule 5.2(b)</w:t>
        </w:r>
      </w:hyperlink>
      <w:r>
        <w:t xml:space="preserve">, attached to this memorandum is Exhibit 1 containing all authorities relied on by the Commonwealth which are not available on LexisNexis or Westlaw.</w:t>
      </w:r>
    </w:p>
  </w:footnote>
  <w:footnote w:id="23">
    <w:p>
      <w:pPr>
        <w:pStyle w:val="FootnoteText"/>
      </w:pPr>
      <w:r>
        <w:rPr>
          <w:rStyle w:val="FootnoteReference"/>
        </w:rPr>
        <w:footnoteRef/>
      </w:r>
      <w:r>
        <w:t xml:space="preserve"> </w:t>
      </w:r>
      <w:r>
        <w:t xml:space="preserve">The Original Complaint was filed on February 23, 2024; the SAC was filed on July 23, 2024.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exact"/>
      <w:ind w:left="0" w:firstLine="0"/>
      <w:jc w:val="center"/>
    </w:pPr>
    <w:r>
      <w:pict xmlns:v="urn:schemas-microsoft-com:vml" xmlns:o="urn:schemas-microsoft-com:office:office">
        <v:shapetype id="_x0000_t202" coordsize="21600,21600" o:spt="202" path="m,l,21600r21600,l21600,xe">
          <v:stroke joinstyle="miter"/>
          <v:path gradientshapeok="t" o:connecttype="rect"/>
        </v:shapetype>
        <v:shape id="LineNumbers" o:spid="_x0000_s1025" type="#_x0000_t202" filled="f" stroked="f" style="position:absolute;margin-left:0;margin-top:108.0pt;width:50.4pt;height:600.0pt;z-index:-251657216;mso-position-horizontal-relative:page;mso-position-vertical-relative:page">
          <v:textbox inset="0,0,0,0">
            <w:txbxContent>
              <w:p>
                <w:pPr>
                  <w:spacing w:before="0" w:after="0" w:line="480" w:lineRule="exact"/>
                  <w:ind w:left="0" w:firstLine="0"/>
                  <w:jc w:val="right"/>
                </w:pPr>
                <w:r>
                  <w:t xml:space="preserve">1</w:t>
                </w:r>
              </w:p>
              <w:p>
                <w:pPr>
                  <w:spacing w:before="0" w:after="0" w:line="480" w:lineRule="exact"/>
                  <w:ind w:left="0" w:firstLine="0"/>
                  <w:jc w:val="right"/>
                </w:pPr>
                <w:r>
                  <w:t xml:space="preserve">2</w:t>
                </w:r>
              </w:p>
              <w:p>
                <w:pPr>
                  <w:spacing w:before="0" w:after="0" w:line="480" w:lineRule="exact"/>
                  <w:ind w:left="0" w:firstLine="0"/>
                  <w:jc w:val="right"/>
                </w:pPr>
                <w:r>
                  <w:t xml:space="preserve">3</w:t>
                </w:r>
              </w:p>
              <w:p>
                <w:pPr>
                  <w:spacing w:before="0" w:after="0" w:line="480" w:lineRule="exact"/>
                  <w:ind w:left="0" w:firstLine="0"/>
                  <w:jc w:val="right"/>
                </w:pPr>
                <w:r>
                  <w:t xml:space="preserve">4</w:t>
                </w:r>
              </w:p>
              <w:p>
                <w:pPr>
                  <w:spacing w:before="0" w:after="0" w:line="480" w:lineRule="exact"/>
                  <w:ind w:left="0" w:firstLine="0"/>
                  <w:jc w:val="right"/>
                </w:pPr>
                <w:r>
                  <w:t xml:space="preserve">5</w:t>
                </w:r>
              </w:p>
              <w:p>
                <w:pPr>
                  <w:spacing w:before="0" w:after="0" w:line="480" w:lineRule="exact"/>
                  <w:ind w:left="0" w:firstLine="0"/>
                  <w:jc w:val="right"/>
                </w:pPr>
                <w:r>
                  <w:t xml:space="preserve">6</w:t>
                </w:r>
              </w:p>
              <w:p>
                <w:pPr>
                  <w:spacing w:before="0" w:after="0" w:line="480" w:lineRule="exact"/>
                  <w:ind w:left="0" w:firstLine="0"/>
                  <w:jc w:val="right"/>
                </w:pPr>
                <w:r>
                  <w:t xml:space="preserve">7</w:t>
                </w:r>
              </w:p>
              <w:p>
                <w:pPr>
                  <w:spacing w:before="0" w:after="0" w:line="480" w:lineRule="exact"/>
                  <w:ind w:left="0" w:firstLine="0"/>
                  <w:jc w:val="right"/>
                </w:pPr>
                <w:r>
                  <w:t xml:space="preserve">8</w:t>
                </w:r>
              </w:p>
              <w:p>
                <w:pPr>
                  <w:spacing w:before="0" w:after="0" w:line="480" w:lineRule="exact"/>
                  <w:ind w:left="0" w:firstLine="0"/>
                  <w:jc w:val="right"/>
                </w:pPr>
                <w:r>
                  <w:t xml:space="preserve">9</w:t>
                </w:r>
              </w:p>
              <w:p>
                <w:pPr>
                  <w:spacing w:before="0" w:after="0" w:line="480" w:lineRule="exact"/>
                  <w:ind w:left="0" w:firstLine="0"/>
                  <w:jc w:val="right"/>
                </w:pPr>
                <w:r>
                  <w:t xml:space="preserve">10</w:t>
                </w:r>
              </w:p>
              <w:p>
                <w:pPr>
                  <w:spacing w:before="0" w:after="0" w:line="480" w:lineRule="exact"/>
                  <w:ind w:left="0" w:firstLine="0"/>
                  <w:jc w:val="right"/>
                </w:pPr>
                <w:r>
                  <w:t xml:space="preserve">11</w:t>
                </w:r>
              </w:p>
              <w:p>
                <w:pPr>
                  <w:spacing w:before="0" w:after="0" w:line="480" w:lineRule="exact"/>
                  <w:ind w:left="0" w:firstLine="0"/>
                  <w:jc w:val="right"/>
                </w:pPr>
                <w:r>
                  <w:t xml:space="preserve">12</w:t>
                </w:r>
              </w:p>
              <w:p>
                <w:pPr>
                  <w:spacing w:before="0" w:after="0" w:line="480" w:lineRule="exact"/>
                  <w:ind w:left="0" w:firstLine="0"/>
                  <w:jc w:val="right"/>
                </w:pPr>
                <w:r>
                  <w:t xml:space="preserve">13</w:t>
                </w:r>
              </w:p>
              <w:p>
                <w:pPr>
                  <w:spacing w:before="0" w:after="0" w:line="480" w:lineRule="exact"/>
                  <w:ind w:left="0" w:firstLine="0"/>
                  <w:jc w:val="right"/>
                </w:pPr>
                <w:r>
                  <w:t xml:space="preserve">14</w:t>
                </w:r>
              </w:p>
              <w:p>
                <w:pPr>
                  <w:spacing w:before="0" w:after="0" w:line="480" w:lineRule="exact"/>
                  <w:ind w:left="0" w:firstLine="0"/>
                  <w:jc w:val="right"/>
                </w:pPr>
                <w:r>
                  <w:t xml:space="preserve">15</w:t>
                </w:r>
              </w:p>
              <w:p>
                <w:pPr>
                  <w:spacing w:before="0" w:after="0" w:line="480" w:lineRule="exact"/>
                  <w:ind w:left="0" w:firstLine="0"/>
                  <w:jc w:val="right"/>
                </w:pPr>
                <w:r>
                  <w:t xml:space="preserve">16</w:t>
                </w:r>
              </w:p>
              <w:p>
                <w:pPr>
                  <w:spacing w:before="0" w:after="0" w:line="480" w:lineRule="exact"/>
                  <w:ind w:left="0" w:firstLine="0"/>
                  <w:jc w:val="right"/>
                </w:pPr>
                <w:r>
                  <w:t xml:space="preserve">17</w:t>
                </w:r>
              </w:p>
              <w:p>
                <w:pPr>
                  <w:spacing w:before="0" w:after="0" w:line="480" w:lineRule="exact"/>
                  <w:ind w:left="0" w:firstLine="0"/>
                  <w:jc w:val="right"/>
                </w:pPr>
                <w:r>
                  <w:t xml:space="preserve">18</w:t>
                </w:r>
              </w:p>
              <w:p>
                <w:pPr>
                  <w:spacing w:before="0" w:after="0" w:line="480" w:lineRule="exact"/>
                  <w:ind w:left="0" w:firstLine="0"/>
                  <w:jc w:val="right"/>
                </w:pPr>
                <w:r>
                  <w:t xml:space="preserve">19</w:t>
                </w:r>
              </w:p>
              <w:p>
                <w:pPr>
                  <w:spacing w:before="0" w:after="0" w:line="480" w:lineRule="exact"/>
                  <w:ind w:left="0" w:firstLine="0"/>
                  <w:jc w:val="right"/>
                </w:pPr>
                <w:r>
                  <w:t xml:space="preserve">20</w:t>
                </w:r>
              </w:p>
              <w:p>
                <w:pPr>
                  <w:spacing w:before="0" w:after="0" w:line="480" w:lineRule="exact"/>
                  <w:ind w:left="0" w:firstLine="0"/>
                  <w:jc w:val="right"/>
                </w:pPr>
                <w:r>
                  <w:t xml:space="preserve">21</w:t>
                </w:r>
              </w:p>
              <w:p>
                <w:pPr>
                  <w:spacing w:before="0" w:after="0" w:line="480" w:lineRule="exact"/>
                  <w:ind w:left="0" w:firstLine="0"/>
                  <w:jc w:val="right"/>
                </w:pPr>
                <w:r>
                  <w:t xml:space="preserve">22</w:t>
                </w:r>
              </w:p>
              <w:p>
                <w:pPr>
                  <w:spacing w:before="0" w:after="0" w:line="480" w:lineRule="exact"/>
                  <w:ind w:left="0" w:firstLine="0"/>
                  <w:jc w:val="right"/>
                </w:pPr>
                <w:r>
                  <w:t xml:space="preserve">23</w:t>
                </w:r>
              </w:p>
              <w:p>
                <w:pPr>
                  <w:spacing w:before="0" w:after="0" w:line="480" w:lineRule="exact"/>
                  <w:ind w:left="0" w:firstLine="0"/>
                  <w:jc w:val="right"/>
                </w:pPr>
                <w:r>
                  <w:t xml:space="preserve">24</w:t>
                </w:r>
              </w:p>
              <w:p>
                <w:pPr>
                  <w:spacing w:before="0" w:after="0" w:line="480" w:lineRule="exact"/>
                  <w:ind w:left="0" w:firstLine="0"/>
                  <w:jc w:val="right"/>
                </w:pPr>
                <w:r>
                  <w:t xml:space="preserve">25</w:t>
                </w:r>
              </w:p>
            </w:txbxContent>
          </v:textbox>
        </v:shape>
      </w:pict>
    </w:r>
    <w:r>
      <w:drawing xmlns:wp="http://schemas.openxmlformats.org/drawingml/2006/wordprocessingDrawing" xmlns:a="http://schemas.openxmlformats.org/drawingml/2006/main" xmlns:wps="http://schemas.microsoft.com/office/word/2010/wordprocessingShape">
        <wp:anchor distT="0" distB="0" distL="0" distR="0" simplePos="0" relativeHeight="251659271" behindDoc="1" locked="1" layoutInCell="1" allowOverlap="1">
          <wp:simplePos x="0" y="0"/>
          <wp:positionH relativeFrom="page">
            <wp:posOffset>804672</wp:posOffset>
          </wp:positionH>
          <wp:positionV relativeFrom="page">
            <wp:posOffset>0</wp:posOffset>
          </wp:positionV>
          <wp:extent cx="0" cy="10058400"/>
          <wp:effectExtent l="0" t="0" r="0" b="0"/>
          <wp:wrapNone/>
          <wp:docPr id="101" name="Pleading rule 1"/>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xmlns:a="http://schemas.openxmlformats.org/drawingml/2006/main" xmlns:wps="http://schemas.microsoft.com/office/word/2010/wordprocessingShape">
        <wp:anchor distT="0" distB="0" distL="0" distR="0" simplePos="0" relativeHeight="251659272" behindDoc="1" locked="1" layoutInCell="1" allowOverlap="1">
          <wp:simplePos x="0" y="0"/>
          <wp:positionH relativeFrom="page">
            <wp:posOffset>841248</wp:posOffset>
          </wp:positionH>
          <wp:positionV relativeFrom="page">
            <wp:posOffset>0</wp:posOffset>
          </wp:positionV>
          <wp:extent cx="0" cy="10058400"/>
          <wp:effectExtent l="0" t="0" r="0" b="0"/>
          <wp:wrapNone/>
          <wp:docPr id="102" name="Pleading rule 2"/>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xmlns:a="http://schemas.openxmlformats.org/drawingml/2006/main" xmlns:wps="http://schemas.microsoft.com/office/word/2010/wordprocessingShape">
        <wp:anchor distT="0" distB="0" distL="0" distR="0" simplePos="0" relativeHeight="251659273" behindDoc="1" locked="1" layoutInCell="1" allowOverlap="1">
          <wp:simplePos x="0" y="0"/>
          <wp:positionH relativeFrom="page">
            <wp:posOffset>7388352</wp:posOffset>
          </wp:positionH>
          <wp:positionV relativeFrom="page">
            <wp:posOffset>0</wp:posOffset>
          </wp:positionV>
          <wp:extent cx="0" cy="10058400"/>
          <wp:effectExtent l="0" t="0" r="0" b="0"/>
          <wp:wrapNone/>
          <wp:docPr id="103" name="Pleading rule 3"/>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p>
    <w:pPr>
      <w:tabs>
        <w:tab w:val="right" w:pos="10080"/>
      </w:tabs>
      <w:spacing w:before="80" w:after="0" w:line="240" w:lineRule="exact"/>
      <w:ind w:left="0" w:firstLine="0"/>
      <w:jc w:val="left"/>
    </w:pPr>
    <w:r>
      <w:rPr>
        <w:sz w:val="20"/>
        <w:szCs w:val="20"/>
      </w:rPr>
      <w:t xml:space="preserve">MEMORANDUM IN SUPPORT OF MOTION TO DISMISS</w:t>
    </w:r>
    <w:r>
      <w:rPr>
        <w:sz w:val="20"/>
        <w:szCs w:val="20"/>
      </w:rPr>
      <w:tab/>
    </w:r>
    <w:r>
      <w:rPr>
        <w:sz w:val="20"/>
        <w:szCs w:val="20"/>
      </w:rPr>
      <w:t xml:space="preserve">CASE NO. 1:24-cv</w:t>
      <w:noBreakHyphen/>
      <w:t xml:space="preserve">00001</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4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4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4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4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4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widowControl/>
      <w:spacing w:before="0" w:after="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BodyTextNote">
    <w:name w:val="Body Text Note"/>
    <w:basedOn w:val="BodyText"/>
    <w:qFormat/>
    <w:pPr>
      <w:widowControl w:val="0"/>
    </w:pPr>
  </w:style>
  <w:style w:type="paragraph" w:customStyle="1" w:styleId="Item">
    <w:name w:val="Item"/>
    <w:basedOn w:val="BodyText"/>
    <w:qFormat/>
    <w:pPr>
      <w:spacing w:before="0" w:after="0" w:line="48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hyperlink" Id="rId22" Target="toa:bvi" TargetMode="External" /><Relationship Type="http://schemas.openxmlformats.org/officeDocument/2006/relationships/hyperlink" Id="rId9" Target="toa:ccc" TargetMode="External" /><Relationship Type="http://schemas.openxmlformats.org/officeDocument/2006/relationships/hyperlink" Id="rId16" Target="toa:fre12b1" TargetMode="External" /><Relationship Type="http://schemas.openxmlformats.org/officeDocument/2006/relationships/hyperlink" Id="rId18" Target="toa:fre12b6" TargetMode="External" /><Relationship Type="http://schemas.openxmlformats.org/officeDocument/2006/relationships/hyperlink" Id="rId12" Target="toa:fre17" TargetMode="External" /><Relationship Type="http://schemas.openxmlformats.org/officeDocument/2006/relationships/hyperlink" Id="rId13" Target="toa:fre8" TargetMode="External" /><Relationship Type="http://schemas.openxmlformats.org/officeDocument/2006/relationships/hyperlink" Id="rId14" Target="toa:iqbal" TargetMode="External" /><Relationship Type="http://schemas.openxmlformats.org/officeDocument/2006/relationships/hyperlink" Id="rId21" Target="toa:levin" TargetMode="External" /><Relationship Type="http://schemas.openxmlformats.org/officeDocument/2006/relationships/hyperlink" Id="rId20" Target="toa:lr52b" TargetMode="External" /><Relationship Type="http://schemas.openxmlformats.org/officeDocument/2006/relationships/hyperlink" Id="rId17" Target="toa:pistor" TargetMode="External" /><Relationship Type="http://schemas.openxmlformats.org/officeDocument/2006/relationships/hyperlink" Id="rId10" Target="toa:ramirez" TargetMode="External" /><Relationship Type="http://schemas.openxmlformats.org/officeDocument/2006/relationships/hyperlink" Id="rId11" Target="toa:scott" TargetMode="External" /><Relationship Type="http://schemas.openxmlformats.org/officeDocument/2006/relationships/hyperlink" Id="rId15" Target="toa:twombly" TargetMode="Externa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NmidFooter" Target="ftr-own1.xml"/></Relationships>
</file>

<file path=word/_rels/footnotes.xml.rels><?xml version="1.0" encoding="UTF-8"?><Relationships xmlns="http://schemas.openxmlformats.org/package/2006/relationships"><Relationship Type="http://schemas.openxmlformats.org/officeDocument/2006/relationships/hyperlink" Id="rId22" Target="toa:bvi" TargetMode="External" /><Relationship Type="http://schemas.openxmlformats.org/officeDocument/2006/relationships/hyperlink" Id="rId9" Target="toa:ccc" TargetMode="External" /><Relationship Type="http://schemas.openxmlformats.org/officeDocument/2006/relationships/hyperlink" Id="rId16" Target="toa:fre12b1" TargetMode="External" /><Relationship Type="http://schemas.openxmlformats.org/officeDocument/2006/relationships/hyperlink" Id="rId18" Target="toa:fre12b6" TargetMode="External" /><Relationship Type="http://schemas.openxmlformats.org/officeDocument/2006/relationships/hyperlink" Id="rId12" Target="toa:fre17" TargetMode="External" /><Relationship Type="http://schemas.openxmlformats.org/officeDocument/2006/relationships/hyperlink" Id="rId13" Target="toa:fre8" TargetMode="External" /><Relationship Type="http://schemas.openxmlformats.org/officeDocument/2006/relationships/hyperlink" Id="rId14" Target="toa:iqbal" TargetMode="External" /><Relationship Type="http://schemas.openxmlformats.org/officeDocument/2006/relationships/hyperlink" Id="rId21" Target="toa:levin" TargetMode="External" /><Relationship Type="http://schemas.openxmlformats.org/officeDocument/2006/relationships/hyperlink" Id="rId20" Target="toa:lr52b" TargetMode="External" /><Relationship Type="http://schemas.openxmlformats.org/officeDocument/2006/relationships/hyperlink" Id="rId17" Target="toa:pistor" TargetMode="External" /><Relationship Type="http://schemas.openxmlformats.org/officeDocument/2006/relationships/hyperlink" Id="rId10" Target="toa:ramirez" TargetMode="External" /><Relationship Type="http://schemas.openxmlformats.org/officeDocument/2006/relationships/hyperlink" Id="rId11" Target="toa:scott" TargetMode="External" /><Relationship Type="http://schemas.openxmlformats.org/officeDocument/2006/relationships/hyperlink" Id="rId15" Target="toa:twomb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