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keepNext/>
        <w:spacing w:before="0" w:after="0" w:line="340" w:lineRule="exact"/>
      </w:pPr>
      <w:r>
        <w:rPr>
          <w:b/>
        </w:rPr>
        <w:t xml:space="preserve">No. </w:t>
      </w:r>
      <w:r>
        <w:rPr>
          <w:b/>
        </w:rPr>
        <w:t xml:space="preserve">24-1786</w:t>
      </w:r>
    </w:p>
    <w:p>
      <w:pPr>
        <w:pStyle w:val="CACentered"/>
        <w:keepNext/>
        <w:spacing w:before="280" w:after="0" w:line="340" w:lineRule="exact"/>
      </w:pPr>
      <w:r>
        <w:rPr>
          <w:b/>
        </w:rPr>
        <w:t xml:space="preserve">IN THE UNITED STATES COURT OF APPEALS</w:t>
      </w:r>
    </w:p>
    <w:p>
      <w:pPr>
        <w:pStyle w:val="CACentered"/>
        <w:keepNext/>
        <w:spacing w:before="0" w:after="0" w:line="340" w:lineRule="exact"/>
      </w:pPr>
      <w:r>
        <w:rPr>
          <w:b/>
        </w:rPr>
        <w:t xml:space="preserve">FOR THE EIGHTH CIRCUIT</w:t>
      </w:r>
    </w:p>
    <w:p>
      <w:pPr>
        <w:pStyle w:val="CACentered"/>
        <w:spacing w:before="420" w:after="0" w:line="340" w:lineRule="exact"/>
      </w:pPr>
      <w:r>
        <w:t xml:space="preserve">Diana</w:t>
      </w:r>
      <w:r>
        <w:t xml:space="preserve"> </w:t>
      </w:r>
      <w:r>
        <w:t xml:space="preserve">Delgado,</w:t>
      </w:r>
    </w:p>
    <w:p>
      <w:pPr>
        <w:pStyle w:val="CACounsel"/>
        <w:spacing w:before="98" w:after="0" w:line="340" w:lineRule="exact"/>
        <w:ind w:left="4680" w:firstLine="0"/>
      </w:pPr>
      <w:r>
        <w:t xml:space="preserve">Plaintiff-Appellant,</w:t>
      </w:r>
    </w:p>
    <w:p>
      <w:pPr>
        <w:pStyle w:val="CACentered"/>
        <w:spacing w:before="168" w:after="0" w:line="340" w:lineRule="exact"/>
      </w:pPr>
      <w:r>
        <w:t xml:space="preserve">v.</w:t>
      </w:r>
    </w:p>
    <w:p>
      <w:pPr>
        <w:pStyle w:val="CACentered"/>
        <w:spacing w:before="168" w:after="0" w:line="340" w:lineRule="exact"/>
      </w:pPr>
      <w:r>
        <w:t xml:space="preserve">Midland</w:t>
      </w:r>
      <w:r>
        <w:t xml:space="preserve"> </w:t>
      </w:r>
      <w:r>
        <w:t xml:space="preserve">Credit</w:t>
      </w:r>
      <w:r>
        <w:t xml:space="preserve"> </w:t>
      </w:r>
      <w:r>
        <w:t xml:space="preserve">Management,</w:t>
      </w:r>
      <w:r>
        <w:t xml:space="preserve"> </w:t>
      </w:r>
      <w:r>
        <w:t xml:space="preserve">Inc.</w:t>
      </w:r>
    </w:p>
    <w:p>
      <w:pPr>
        <w:pStyle w:val="CACounsel"/>
        <w:spacing w:before="98" w:after="0" w:line="340" w:lineRule="exact"/>
        <w:ind w:left="4680" w:firstLine="0"/>
      </w:pPr>
      <w:r>
        <w:t xml:space="preserve">Defendant-Appellee.</w:t>
      </w:r>
    </w:p>
    <w:p>
      <w:pPr>
        <w:pStyle w:val="CACentered"/>
        <w:spacing w:before="420" w:after="0" w:line="340" w:lineRule="exact"/>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MINNESOTA,</w:t>
      </w:r>
      <w:r>
        <w:t xml:space="preserve"> </w:t>
      </w:r>
      <w:r>
        <w:t xml:space="preserve">NO.</w:t>
      </w:r>
      <w:r>
        <w:t xml:space="preserve"> </w:t>
      </w:r>
      <w:r>
        <w:t xml:space="preserve">23-CV</w:t>
      </w:r>
      <w:r>
        <w:noBreakHyphen/>
      </w:r>
      <w:r>
        <w:t xml:space="preserve">02128-ECT-JFD</w:t>
      </w:r>
    </w:p>
    <w:p>
      <w:pPr>
        <w:pStyle w:val="CACentered"/>
        <w:spacing w:before="420" w:after="0" w:line="340" w:lineRule="exact"/>
      </w:pPr>
      <w:r>
        <w:rPr>
          <w:b/>
        </w:rPr>
        <w:t xml:space="preserve">REPLY</w:t>
      </w:r>
      <w:r>
        <w:rPr>
          <w:b/>
        </w:rPr>
        <w:t xml:space="preserve"> </w:t>
      </w:r>
      <w:r>
        <w:rPr>
          <w:b/>
        </w:rPr>
        <w:t xml:space="preserve">BRIEF</w:t>
      </w:r>
      <w:r>
        <w:rPr>
          <w:b/>
        </w:rPr>
        <w:t xml:space="preserve"> </w:t>
      </w:r>
      <w:r>
        <w:rPr>
          <w:b/>
        </w:rPr>
        <w:t xml:space="preserve">OF</w:t>
      </w:r>
      <w:r>
        <w:rPr>
          <w:b/>
        </w:rPr>
        <w:t xml:space="preserve"> </w:t>
      </w:r>
      <w:r>
        <w:rPr>
          <w:b/>
        </w:rPr>
        <w:t xml:space="preserve">APPELLANT</w:t>
      </w:r>
    </w:p>
    <w:p>
      <w:pPr>
        <w:pStyle w:val="CACounsel"/>
        <w:keepNext/>
        <w:spacing w:before="420" w:after="0" w:line="340" w:lineRule="exact"/>
        <w:ind w:left="2340" w:firstLine="0"/>
      </w:pPr>
      <w:r>
        <w:t xml:space="preserve">Darren</w:t>
      </w:r>
      <w:r>
        <w:t xml:space="preserve"> </w:t>
      </w:r>
      <w:r>
        <w:t xml:space="preserve">Brayer</w:t>
      </w:r>
      <w:r>
        <w:t xml:space="preserve"> </w:t>
      </w:r>
      <w:r>
        <w:t xml:space="preserve">Schwiebert</w:t>
      </w:r>
    </w:p>
    <w:p>
      <w:pPr>
        <w:pStyle w:val="CACounsel"/>
        <w:keepNext/>
        <w:ind w:left="2340" w:firstLine="140"/>
      </w:pPr>
      <w:r>
        <w:t xml:space="preserve">DEBT</w:t>
      </w:r>
      <w:r>
        <w:t xml:space="preserve"> </w:t>
      </w:r>
      <w:r>
        <w:t xml:space="preserve">LAWSUIT</w:t>
      </w:r>
      <w:r>
        <w:t xml:space="preserve"> </w:t>
      </w:r>
      <w:r>
        <w:t xml:space="preserve">RELIEF,</w:t>
      </w:r>
      <w:r>
        <w:t xml:space="preserve"> </w:t>
      </w:r>
      <w:r>
        <w:t xml:space="preserve">INC.</w:t>
      </w:r>
    </w:p>
    <w:p>
      <w:pPr>
        <w:pStyle w:val="CACounsel"/>
        <w:keepNext/>
        <w:ind w:left="2340" w:firstLine="140"/>
      </w:pPr>
      <w:r>
        <w:t xml:space="preserve">301</w:t>
      </w:r>
      <w:r>
        <w:t xml:space="preserve"> </w:t>
      </w:r>
      <w:r>
        <w:t xml:space="preserve">Fourth</w:t>
      </w:r>
      <w:r>
        <w:t xml:space="preserve"> </w:t>
      </w:r>
      <w:r>
        <w:t xml:space="preserve">Avenue</w:t>
      </w:r>
      <w:r>
        <w:t xml:space="preserve"> </w:t>
      </w:r>
      <w:r>
        <w:t xml:space="preserve">South</w:t>
      </w:r>
    </w:p>
    <w:p>
      <w:pPr>
        <w:pStyle w:val="CACounsel"/>
        <w:keepNext/>
        <w:ind w:left="2340" w:firstLine="140"/>
      </w:pPr>
      <w:r>
        <w:t xml:space="preserve">Suite</w:t>
      </w:r>
      <w:r>
        <w:t xml:space="preserve"> </w:t>
      </w:r>
      <w:r>
        <w:t xml:space="preserve">280N</w:t>
      </w:r>
    </w:p>
    <w:p>
      <w:pPr>
        <w:pStyle w:val="CACounsel"/>
        <w:keepNext/>
        <w:ind w:left="2340" w:firstLine="140"/>
      </w:pPr>
      <w:r>
        <w:t xml:space="preserve">Minneapolis,</w:t>
      </w:r>
      <w:r>
        <w:t xml:space="preserve"> </w:t>
      </w:r>
      <w:r>
        <w:t xml:space="preserve">MN</w:t>
      </w:r>
      <w:r>
        <w:t xml:space="preserve"> </w:t>
      </w:r>
      <w:r>
        <w:t xml:space="preserve">55415</w:t>
      </w:r>
    </w:p>
    <w:p>
      <w:pPr>
        <w:pStyle w:val="CACounsel"/>
        <w:keepNext/>
        <w:ind w:left="2340" w:firstLine="140"/>
      </w:pPr>
      <w:r>
        <w:t xml:space="preserve">(612)</w:t>
      </w:r>
      <w:r>
        <w:t xml:space="preserve"> </w:t>
      </w:r>
      <w:r>
        <w:t xml:space="preserve">501</w:t>
      </w:r>
      <w:r>
        <w:noBreakHyphen/>
      </w:r>
      <w:r>
        <w:t xml:space="preserve">6008</w:t>
      </w:r>
    </w:p>
    <w:p>
      <w:pPr>
        <w:pStyle w:val="CACounsel"/>
        <w:keepNext/>
        <w:spacing w:before="140" w:after="0" w:line="340" w:lineRule="exact"/>
        <w:ind w:left="2340" w:firstLine="0"/>
      </w:pPr>
      <w:r>
        <w:t xml:space="preserve">John</w:t>
      </w:r>
      <w:r>
        <w:t xml:space="preserve"> </w:t>
      </w:r>
      <w:r>
        <w:t xml:space="preserve">M.</w:t>
      </w:r>
      <w:r>
        <w:t xml:space="preserve"> </w:t>
      </w:r>
      <w:r>
        <w:t xml:space="preserve">Buhta</w:t>
      </w:r>
    </w:p>
    <w:p>
      <w:pPr>
        <w:pStyle w:val="CACounsel"/>
        <w:keepNext/>
        <w:ind w:left="2340" w:firstLine="140"/>
      </w:pPr>
      <w:r>
        <w:t xml:space="preserve">SOUTHERN</w:t>
      </w:r>
      <w:r>
        <w:t xml:space="preserve"> </w:t>
      </w:r>
      <w:r>
        <w:t xml:space="preserve">MINNESOTA</w:t>
      </w:r>
      <w:r>
        <w:t xml:space="preserve"> </w:t>
      </w:r>
      <w:r>
        <w:t xml:space="preserve">REGIONAL</w:t>
      </w:r>
      <w:r>
        <w:t xml:space="preserve"> </w:t>
      </w:r>
      <w:r>
        <w:t xml:space="preserve">LEGAL</w:t>
      </w:r>
      <w:r>
        <w:t xml:space="preserve"> </w:t>
      </w:r>
      <w:r>
        <w:t xml:space="preserve">SERVICES,</w:t>
      </w:r>
      <w:r>
        <w:t xml:space="preserve"> </w:t>
      </w:r>
      <w:r>
        <w:t xml:space="preserve">INC.</w:t>
      </w:r>
    </w:p>
    <w:p>
      <w:pPr>
        <w:pStyle w:val="CACounsel"/>
        <w:keepNext/>
        <w:ind w:left="2340" w:firstLine="140"/>
      </w:pPr>
      <w:r>
        <w:t xml:space="preserve">903</w:t>
      </w:r>
      <w:r>
        <w:t xml:space="preserve"> </w:t>
      </w:r>
      <w:r>
        <w:t xml:space="preserve">West</w:t>
      </w:r>
      <w:r>
        <w:t xml:space="preserve"> </w:t>
      </w:r>
      <w:r>
        <w:t xml:space="preserve">Center</w:t>
      </w:r>
      <w:r>
        <w:t xml:space="preserve"> </w:t>
      </w:r>
      <w:r>
        <w:t xml:space="preserve">Street,</w:t>
      </w:r>
      <w:r>
        <w:t xml:space="preserve"> </w:t>
      </w:r>
      <w:r>
        <w:t xml:space="preserve">Suite</w:t>
      </w:r>
      <w:r>
        <w:t xml:space="preserve"> </w:t>
      </w:r>
      <w:r>
        <w:t xml:space="preserve">230</w:t>
      </w:r>
    </w:p>
    <w:p>
      <w:pPr>
        <w:pStyle w:val="CACounsel"/>
        <w:keepNext/>
        <w:ind w:left="2340" w:firstLine="140"/>
      </w:pPr>
      <w:r>
        <w:t xml:space="preserve">Rochester,</w:t>
      </w:r>
      <w:r>
        <w:t xml:space="preserve"> </w:t>
      </w:r>
      <w:r>
        <w:t xml:space="preserve">MN</w:t>
      </w:r>
      <w:r>
        <w:t xml:space="preserve"> </w:t>
      </w:r>
      <w:r>
        <w:t xml:space="preserve">55902</w:t>
      </w:r>
    </w:p>
    <w:p>
      <w:pPr>
        <w:pStyle w:val="CACounsel"/>
        <w:keepNext/>
        <w:ind w:left="2340" w:firstLine="140"/>
      </w:pPr>
      <w:r>
        <w:t xml:space="preserve">(507)</w:t>
      </w:r>
      <w:r>
        <w:t xml:space="preserve"> </w:t>
      </w:r>
      <w:r>
        <w:t xml:space="preserve">292</w:t>
      </w:r>
      <w:r>
        <w:noBreakHyphen/>
      </w:r>
      <w:r>
        <w:t xml:space="preserve">0080</w:t>
      </w:r>
    </w:p>
    <w:p>
      <w:pPr>
        <w:pStyle w:val="CACentered"/>
        <w:spacing w:before="280" w:after="0" w:line="340" w:lineRule="exact"/>
      </w:pPr>
      <w:r>
        <w:t xml:space="preserve">September</w:t>
      </w:r>
      <w:r>
        <w:t xml:space="preserve"> </w:t>
      </w:r>
      <w:r>
        <w:t xml:space="preserve">6,</w:t>
      </w:r>
      <w:r>
        <w:t xml:space="preserve"> </w:t>
      </w:r>
      <w:r>
        <w:t xml:space="preserve">2024</w:t>
      </w:r>
    </w:p>
    <w:p>
      <w:pPr>
        <w:spacing w:before="0" w:after="0" w:line="20" w:lineRule="exact"/>
        <w:sectPr>
          <w:pgSz w:w="12240" w:h="15840"/>
          <w:pgMar w:top="1440" w:right="1440" w:bottom="1440" w:left="1440" w:header="720" w:footer="720" w:gutter="0"/>
        </w:sectPr>
      </w:pPr>
    </w:p>
    <w:p>
      <w:pPr>
        <w:pStyle w:val="CASection"/>
        <w:spacing w:before="0" w:after="308" w:line="340" w:lineRule="exact"/>
      </w:pPr>
      <w:r>
        <w:t xml:space="preserve">Table of Contents</w:t>
      </w:r>
    </w:p>
    <w:p>
      <w:pPr>
        <w:pStyle w:val="CATocPage"/>
      </w:pPr>
      <w:r>
        <w:t xml:space="preserve">Page</w:t>
      </w:r>
    </w:p>
    <w:p>
      <w:pPr>
        <w:pStyle w:val="CATocTop"/>
      </w:pPr>
      <w:r>
        <w:t xml:space="preserve">ARGUMENT</w:t>
      </w:r>
      <w:r>
        <w:t xml:space="preserve">   </w:t>
      </w:r>
      <w:r>
        <w:tab/>
      </w:r>
      <w:r>
        <w:t xml:space="preserve">1</w:t>
      </w:r>
    </w:p>
    <w:p>
      <w:pPr>
        <w:pStyle w:val="CATocS0"/>
      </w:pPr>
      <w:r>
        <w:t xml:space="preserve">A.</w:t>
      </w:r>
      <w:r>
        <w:tab/>
      </w:r>
      <w:r>
        <w:t xml:space="preserve">THE</w:t>
      </w:r>
      <w:r>
        <w:t xml:space="preserve"> </w:t>
      </w:r>
      <w:r>
        <w:t xml:space="preserve">FDCPA</w:t>
      </w:r>
      <w:r>
        <w:t xml:space="preserve"> </w:t>
      </w:r>
      <w:r>
        <w:t xml:space="preserve">IS</w:t>
      </w:r>
      <w:r>
        <w:t xml:space="preserve"> </w:t>
      </w:r>
      <w:r>
        <w:t xml:space="preserve">A</w:t>
      </w:r>
      <w:r>
        <w:t xml:space="preserve"> </w:t>
      </w:r>
      <w:r>
        <w:t xml:space="preserve">CONSUMER</w:t>
      </w:r>
      <w:r>
        <w:t xml:space="preserve"> </w:t>
      </w:r>
      <w:r>
        <w:t xml:space="preserve">PROTECTION</w:t>
      </w:r>
      <w:r>
        <w:t xml:space="preserve"> </w:t>
      </w:r>
      <w:r>
        <w:t xml:space="preserve">STATUTE.</w:t>
      </w:r>
      <w:r>
        <w:t xml:space="preserve">   </w:t>
      </w:r>
      <w:r>
        <w:tab/>
      </w:r>
      <w:r>
        <w:t xml:space="preserve">1</w:t>
      </w:r>
    </w:p>
    <w:p>
      <w:pPr>
        <w:pStyle w:val="CATocS0"/>
      </w:pPr>
      <w:r>
        <w:t xml:space="preserve">B.</w:t>
      </w:r>
      <w:r>
        <w:tab/>
      </w:r>
      <w:r>
        <w:t xml:space="preserve">APPELLEE</w:t>
      </w:r>
      <w:r>
        <w:t xml:space="preserve"> </w:t>
      </w:r>
      <w:r>
        <w:t xml:space="preserve">CONCEDES</w:t>
      </w:r>
      <w:r>
        <w:t xml:space="preserve"> </w:t>
      </w:r>
      <w:r>
        <w:t xml:space="preserve">SEVERAL</w:t>
      </w:r>
      <w:r>
        <w:t xml:space="preserve"> </w:t>
      </w:r>
      <w:r>
        <w:t xml:space="preserve">ISSUES.</w:t>
      </w:r>
      <w:r>
        <w:t xml:space="preserve">   </w:t>
      </w:r>
      <w:r>
        <w:tab/>
      </w:r>
      <w:r>
        <w:t xml:space="preserve">3</w:t>
      </w:r>
    </w:p>
    <w:p>
      <w:pPr>
        <w:pStyle w:val="CATocS0"/>
      </w:pPr>
      <w:r>
        <w:t xml:space="preserve">C.</w:t>
      </w:r>
      <w:r>
        <w:tab/>
      </w:r>
      <w:r>
        <w:t xml:space="preserve">APPELLEE</w:t>
      </w:r>
      <w:r>
        <w:t xml:space="preserve"> </w:t>
      </w:r>
      <w:r>
        <w:t xml:space="preserve">FAILED</w:t>
      </w:r>
      <w:r>
        <w:t xml:space="preserve"> </w:t>
      </w:r>
      <w:r>
        <w:t xml:space="preserve">TO</w:t>
      </w:r>
      <w:r>
        <w:t xml:space="preserve"> </w:t>
      </w:r>
      <w:r>
        <w:t xml:space="preserve">CARRY</w:t>
      </w:r>
      <w:r>
        <w:t xml:space="preserve"> </w:t>
      </w:r>
      <w:r>
        <w:t xml:space="preserve">ITS</w:t>
      </w:r>
      <w:r>
        <w:t xml:space="preserve"> </w:t>
      </w:r>
      <w:r>
        <w:t xml:space="preserve">BURDEN</w:t>
      </w:r>
      <w:r>
        <w:t xml:space="preserve"> </w:t>
      </w:r>
      <w:r>
        <w:t xml:space="preserve">TO</w:t>
      </w:r>
      <w:r>
        <w:t xml:space="preserve"> </w:t>
      </w:r>
      <w:r>
        <w:t xml:space="preserve">ESTABLISH</w:t>
      </w:r>
      <w:r>
        <w:t xml:space="preserve"> </w:t>
      </w:r>
      <w:r>
        <w:t xml:space="preserve">COLLATERAL</w:t>
      </w:r>
      <w:r>
        <w:t xml:space="preserve"> </w:t>
      </w:r>
      <w:r>
        <w:t xml:space="preserve">ESTOPPEL.</w:t>
      </w:r>
      <w:r>
        <w:t xml:space="preserve">   </w:t>
      </w:r>
      <w:r>
        <w:tab/>
      </w:r>
      <w:r>
        <w:t xml:space="preserve">3</w:t>
      </w:r>
    </w:p>
    <w:p>
      <w:pPr>
        <w:pStyle w:val="CATocS1"/>
      </w:pPr>
      <w:r>
        <w:t xml:space="preserve">1.</w:t>
      </w:r>
      <w:r>
        <w:tab/>
      </w:r>
      <w:r>
        <w:t xml:space="preserve">Mach</w:t>
      </w:r>
      <w:r>
        <w:t xml:space="preserve"> </w:t>
      </w:r>
      <w:r>
        <w:t xml:space="preserve">Did</w:t>
      </w:r>
      <w:r>
        <w:t xml:space="preserve"> </w:t>
      </w:r>
      <w:r>
        <w:t xml:space="preserve">Not</w:t>
      </w:r>
      <w:r>
        <w:t xml:space="preserve"> </w:t>
      </w:r>
      <w:r>
        <w:t xml:space="preserve">Overrule</w:t>
      </w:r>
      <w:r>
        <w:t xml:space="preserve"> </w:t>
      </w:r>
      <w:r>
        <w:t xml:space="preserve">Hauschildt.</w:t>
      </w:r>
      <w:r>
        <w:t xml:space="preserve">   </w:t>
      </w:r>
      <w:r>
        <w:tab/>
      </w:r>
      <w:r>
        <w:t xml:space="preserve">4</w:t>
      </w:r>
    </w:p>
    <w:p>
      <w:pPr>
        <w:pStyle w:val="CATocS1"/>
      </w:pPr>
      <w:r>
        <w:t xml:space="preserve">2.</w:t>
      </w:r>
      <w:r>
        <w:tab/>
      </w:r>
      <w:r>
        <w:t xml:space="preserve">A</w:t>
      </w:r>
      <w:r>
        <w:t xml:space="preserve"> </w:t>
      </w:r>
      <w:r>
        <w:t xml:space="preserve">County</w:t>
      </w:r>
      <w:r>
        <w:t xml:space="preserve"> </w:t>
      </w:r>
      <w:r>
        <w:t xml:space="preserve">Clerk’s</w:t>
      </w:r>
      <w:r>
        <w:t xml:space="preserve"> </w:t>
      </w:r>
      <w:r>
        <w:t xml:space="preserve">“Judgment</w:t>
      </w:r>
      <w:r>
        <w:t xml:space="preserve"> </w:t>
      </w:r>
      <w:r>
        <w:t xml:space="preserve">Roll”</w:t>
      </w:r>
      <w:r>
        <w:t xml:space="preserve"> </w:t>
      </w:r>
      <w:r>
        <w:t xml:space="preserve">Entry</w:t>
      </w:r>
      <w:r>
        <w:t xml:space="preserve"> </w:t>
      </w:r>
      <w:r>
        <w:t xml:space="preserve">Does</w:t>
      </w:r>
      <w:r>
        <w:t xml:space="preserve"> </w:t>
      </w:r>
      <w:r>
        <w:t xml:space="preserve">Not</w:t>
      </w:r>
      <w:r>
        <w:t xml:space="preserve"> </w:t>
      </w:r>
      <w:r>
        <w:t xml:space="preserve">Mean</w:t>
      </w:r>
      <w:r>
        <w:t xml:space="preserve"> </w:t>
      </w:r>
      <w:r>
        <w:t xml:space="preserve">That</w:t>
      </w:r>
      <w:r>
        <w:t xml:space="preserve"> </w:t>
      </w:r>
      <w:r>
        <w:t xml:space="preserve">All</w:t>
      </w:r>
      <w:r>
        <w:t xml:space="preserve"> </w:t>
      </w:r>
      <w:r>
        <w:t xml:space="preserve">Issues</w:t>
      </w:r>
      <w:r>
        <w:t xml:space="preserve"> </w:t>
      </w:r>
      <w:r>
        <w:t xml:space="preserve">Were</w:t>
      </w:r>
      <w:r>
        <w:t xml:space="preserve"> </w:t>
      </w:r>
      <w:r>
        <w:t xml:space="preserve">“Necessarily</w:t>
      </w:r>
      <w:r>
        <w:t xml:space="preserve"> </w:t>
      </w:r>
      <w:r>
        <w:t xml:space="preserve">Decided”</w:t>
      </w:r>
      <w:r>
        <w:t xml:space="preserve"> </w:t>
      </w:r>
      <w:r>
        <w:t xml:space="preserve">for</w:t>
      </w:r>
      <w:r>
        <w:t xml:space="preserve"> </w:t>
      </w:r>
      <w:r>
        <w:t xml:space="preserve">Collateral</w:t>
      </w:r>
      <w:r>
        <w:t xml:space="preserve"> </w:t>
      </w:r>
      <w:r>
        <w:t xml:space="preserve">Estoppel</w:t>
      </w:r>
      <w:r>
        <w:t xml:space="preserve"> </w:t>
      </w:r>
      <w:r>
        <w:t xml:space="preserve">Purposes.</w:t>
      </w:r>
      <w:r>
        <w:t xml:space="preserve">   </w:t>
      </w:r>
      <w:r>
        <w:tab/>
      </w:r>
      <w:r>
        <w:t xml:space="preserve">6</w:t>
      </w:r>
    </w:p>
    <w:p>
      <w:pPr>
        <w:pStyle w:val="CATocS0"/>
      </w:pPr>
      <w:r>
        <w:t xml:space="preserve">D.</w:t>
      </w:r>
      <w:r>
        <w:tab/>
      </w:r>
      <w:r>
        <w:t xml:space="preserve">INJUSTICE</w:t>
      </w:r>
      <w:r>
        <w:t xml:space="preserve"> </w:t>
      </w:r>
      <w:r>
        <w:t xml:space="preserve">WOULD</w:t>
      </w:r>
      <w:r>
        <w:t xml:space="preserve"> </w:t>
      </w:r>
      <w:r>
        <w:t xml:space="preserve">RESULT</w:t>
      </w:r>
      <w:r>
        <w:t xml:space="preserve"> </w:t>
      </w:r>
      <w:r>
        <w:t xml:space="preserve">FROM</w:t>
      </w:r>
      <w:r>
        <w:t xml:space="preserve"> </w:t>
      </w:r>
      <w:r>
        <w:t xml:space="preserve">APPLICATION</w:t>
      </w:r>
      <w:r>
        <w:t xml:space="preserve"> </w:t>
      </w:r>
      <w:r>
        <w:t xml:space="preserve">OF</w:t>
      </w:r>
      <w:r>
        <w:t xml:space="preserve"> </w:t>
      </w:r>
      <w:r>
        <w:t xml:space="preserve">COLLATERAL</w:t>
      </w:r>
      <w:r>
        <w:t xml:space="preserve"> </w:t>
      </w:r>
      <w:r>
        <w:t xml:space="preserve">ESTOPPEL.</w:t>
      </w:r>
      <w:r>
        <w:t xml:space="preserve">   </w:t>
      </w:r>
      <w:r>
        <w:tab/>
      </w:r>
      <w:r>
        <w:t xml:space="preserve">9</w:t>
      </w:r>
    </w:p>
    <w:p>
      <w:pPr>
        <w:pStyle w:val="CATocTop"/>
      </w:pPr>
      <w:r>
        <w:t xml:space="preserve">CONCLUSION</w:t>
      </w:r>
      <w:r>
        <w:t xml:space="preserve">   </w:t>
      </w:r>
      <w:r>
        <w:tab/>
      </w:r>
      <w:r>
        <w:t xml:space="preserve">11</w:t>
      </w:r>
    </w:p>
    <w:p>
      <w:pPr>
        <w:pStyle w:val="CATocTop"/>
      </w:pPr>
      <w:r>
        <w:t xml:space="preserve">CERTIFICATE OF COMPLIANCE</w:t>
      </w:r>
      <w:r>
        <w:t xml:space="preserve">   </w:t>
      </w:r>
      <w:r>
        <w:tab/>
      </w:r>
      <w:r>
        <w:t xml:space="preserve">12</w:t>
      </w:r>
    </w:p>
    <w:p>
      <w:pPr>
        <w:pStyle w:val="CATocTop"/>
      </w:pPr>
      <w:r>
        <w:t xml:space="preserve">CERTIFICATE OF SERVICE</w:t>
      </w:r>
      <w:r>
        <w:t xml:space="preserve">   </w:t>
      </w:r>
      <w:r>
        <w:tab/>
      </w:r>
      <w:r>
        <w:t xml:space="preserve">13</w:t>
      </w:r>
    </w:p>
    <w:p>
      <w:pPr>
        <w:pStyle w:val="CASection"/>
        <w:pageBreakBefore/>
        <w:spacing w:before="0" w:after="308" w:line="340" w:lineRule="exact"/>
      </w:pPr>
      <w:r>
        <w:t xml:space="preserve">Table of Authorities</w:t>
      </w:r>
    </w:p>
    <w:p>
      <w:pPr>
        <w:pStyle w:val="CAToaGroup"/>
        <w:spacing w:before="280" w:after="56" w:line="340" w:lineRule="exact"/>
      </w:pPr>
      <w:r>
        <w:t xml:space="preserve">Cases:</w:t>
      </w:r>
      <w:r>
        <w:tab/>
      </w:r>
      <w:r>
        <w:rPr>
          <w:b/>
          <w:u w:val="single"/>
        </w:rPr>
        <w:t>Page(s)</w:t>
      </w:r>
    </w:p>
    <w:p>
      <w:pPr>
        <w:pStyle w:val="CAToaEntry"/>
      </w:pPr>
      <w:r>
        <w:rPr>
          <w:i/>
        </w:rPr>
        <w:t xml:space="preserve">Adams</w:t>
      </w:r>
      <w:r>
        <w:rPr>
          <w:i/>
        </w:rPr>
        <w:t xml:space="preserve"> </w:t>
      </w:r>
      <w:r>
        <w:rPr>
          <w:i/>
        </w:rPr>
        <w:t xml:space="preserve">v.</w:t>
      </w:r>
      <w:r>
        <w:rPr>
          <w:i/>
        </w:rPr>
        <w:t xml:space="preserve"> </w:t>
      </w:r>
      <w:r>
        <w:rPr>
          <w:i/>
        </w:rPr>
        <w:t xml:space="preserve">Adams</w:t>
      </w:r>
      <w:r>
        <w:t xml:space="preserve">,</w:t>
      </w:r>
      <w:r>
        <w:br/>
      </w:r>
      <w:r>
        <w:t xml:space="preserve">21</w:t>
      </w:r>
      <w:r>
        <w:t xml:space="preserve"> </w:t>
      </w:r>
      <w:r>
        <w:t xml:space="preserve">Minn.</w:t>
      </w:r>
      <w:r>
        <w:t xml:space="preserve"> </w:t>
      </w:r>
      <w:r>
        <w:t xml:space="preserve">515</w:t>
      </w:r>
      <w:r>
        <w:t xml:space="preserve"> </w:t>
      </w:r>
      <w:r>
        <w:t xml:space="preserve">(Minn.</w:t>
      </w:r>
      <w:r>
        <w:t xml:space="preserve"> </w:t>
      </w:r>
      <w:r>
        <w:t xml:space="preserve">1875)</w:t>
      </w:r>
      <w:r>
        <w:t xml:space="preserve">   </w:t>
      </w:r>
      <w:r>
        <w:tab/>
      </w:r>
      <w:r>
        <w:t xml:space="preserve">8</w:t>
      </w:r>
    </w:p>
    <w:p>
      <w:pPr>
        <w:pStyle w:val="CAToaEntry"/>
      </w:pPr>
      <w:r>
        <w:rPr>
          <w:i/>
        </w:rPr>
        <w:t xml:space="preserve">All</w:t>
      </w:r>
      <w:r>
        <w:rPr>
          <w:i/>
        </w:rPr>
        <w:t xml:space="preserve"> </w:t>
      </w:r>
      <w:r>
        <w:rPr>
          <w:i/>
        </w:rPr>
        <w:t xml:space="preserve">Finish</w:t>
      </w:r>
      <w:r>
        <w:rPr>
          <w:i/>
        </w:rPr>
        <w:t xml:space="preserve"> </w:t>
      </w:r>
      <w:r>
        <w:rPr>
          <w:i/>
        </w:rPr>
        <w:t xml:space="preserve">Concrete,</w:t>
      </w:r>
      <w:r>
        <w:rPr>
          <w:i/>
        </w:rPr>
        <w:t xml:space="preserve"> </w:t>
      </w:r>
      <w:r>
        <w:rPr>
          <w:i/>
        </w:rPr>
        <w:t xml:space="preserve">Inc. v.</w:t>
      </w:r>
      <w:r>
        <w:rPr>
          <w:i/>
        </w:rPr>
        <w:t xml:space="preserve"> </w:t>
      </w:r>
      <w:r>
        <w:rPr>
          <w:i/>
        </w:rPr>
        <w:t xml:space="preserve">Erickson</w:t>
      </w:r>
      <w:r>
        <w:t xml:space="preserve">,</w:t>
      </w:r>
      <w:r>
        <w:br/>
      </w:r>
      <w:r>
        <w:t xml:space="preserve">899</w:t>
      </w:r>
      <w:r>
        <w:t xml:space="preserve"> </w:t>
      </w:r>
      <w:r>
        <w:t xml:space="preserve">N.W.2d</w:t>
      </w:r>
      <w:r>
        <w:t xml:space="preserve"> </w:t>
      </w:r>
      <w:r>
        <w:t xml:space="preserve">557</w:t>
      </w:r>
      <w:r>
        <w:t xml:space="preserve"> </w:t>
      </w:r>
      <w:r>
        <w:t xml:space="preserve">(Minn.</w:t>
      </w:r>
      <w:r>
        <w:t xml:space="preserve"> </w:t>
      </w:r>
      <w:r>
        <w:t xml:space="preserve">Ct.</w:t>
      </w:r>
      <w:r>
        <w:t xml:space="preserve"> </w:t>
      </w:r>
      <w:r>
        <w:t xml:space="preserve">App.</w:t>
      </w:r>
      <w:r>
        <w:t xml:space="preserve"> </w:t>
      </w:r>
      <w:r>
        <w:t xml:space="preserve">2017)</w:t>
      </w:r>
      <w:r>
        <w:t xml:space="preserve">   </w:t>
      </w:r>
      <w:r>
        <w:tab/>
      </w:r>
      <w:r>
        <w:t xml:space="preserve">5</w:t>
      </w:r>
    </w:p>
    <w:p>
      <w:pPr>
        <w:pStyle w:val="CAToaEntry"/>
      </w:pPr>
      <w:r>
        <w:rPr>
          <w:i/>
        </w:rPr>
        <w:t xml:space="preserve">Ashley</w:t>
      </w:r>
      <w:r>
        <w:rPr>
          <w:i/>
        </w:rPr>
        <w:t xml:space="preserve"> </w:t>
      </w:r>
      <w:r>
        <w:rPr>
          <w:i/>
        </w:rPr>
        <w:t xml:space="preserve">County,</w:t>
      </w:r>
      <w:r>
        <w:rPr>
          <w:i/>
        </w:rPr>
        <w:t xml:space="preserve"> </w:t>
      </w:r>
      <w:r>
        <w:rPr>
          <w:i/>
        </w:rPr>
        <w:t xml:space="preserve">Ark.</w:t>
      </w:r>
      <w:r>
        <w:rPr>
          <w:i/>
        </w:rPr>
        <w:t xml:space="preserve"> </w:t>
      </w:r>
      <w:r>
        <w:rPr>
          <w:i/>
        </w:rPr>
        <w:t xml:space="preserve">v.</w:t>
      </w:r>
      <w:r>
        <w:rPr>
          <w:i/>
        </w:rPr>
        <w:t xml:space="preserve"> </w:t>
      </w:r>
      <w:r>
        <w:rPr>
          <w:i/>
        </w:rPr>
        <w:t xml:space="preserve">Pfizer,</w:t>
      </w:r>
      <w:r>
        <w:rPr>
          <w:i/>
        </w:rPr>
        <w:t xml:space="preserve"> </w:t>
      </w:r>
      <w:r>
        <w:rPr>
          <w:i/>
        </w:rPr>
        <w:t xml:space="preserve">Inc.</w:t>
      </w:r>
      <w:r>
        <w:t xml:space="preserve">,</w:t>
      </w:r>
      <w:r>
        <w:br/>
      </w:r>
      <w:r>
        <w:t xml:space="preserve">552</w:t>
      </w:r>
      <w:r>
        <w:t xml:space="preserve"> </w:t>
      </w:r>
      <w:r>
        <w:t xml:space="preserve">F.3d</w:t>
      </w:r>
      <w:r>
        <w:t xml:space="preserve"> </w:t>
      </w:r>
      <w:r>
        <w:t xml:space="preserve">659</w:t>
      </w:r>
      <w:r>
        <w:t xml:space="preserve"> </w:t>
      </w:r>
      <w:r>
        <w:t xml:space="preserve">(8th</w:t>
      </w:r>
      <w:r>
        <w:t xml:space="preserve"> </w:t>
      </w:r>
      <w:r>
        <w:t xml:space="preserve">Cir.</w:t>
      </w:r>
      <w:r>
        <w:t xml:space="preserve"> </w:t>
      </w:r>
      <w:r>
        <w:t xml:space="preserve">2009)</w:t>
      </w:r>
      <w:r>
        <w:t xml:space="preserve">   </w:t>
      </w:r>
      <w:r>
        <w:tab/>
      </w:r>
      <w:r>
        <w:t xml:space="preserve">2, 9, 10</w:t>
      </w:r>
    </w:p>
    <w:p>
      <w:pPr>
        <w:pStyle w:val="CAToaEntry"/>
      </w:pPr>
      <w:r>
        <w:rPr>
          <w:i/>
        </w:rPr>
        <w:t xml:space="preserve">Bradley</w:t>
      </w:r>
      <w:r>
        <w:rPr>
          <w:i/>
        </w:rPr>
        <w:t xml:space="preserve"> </w:t>
      </w:r>
      <w:r>
        <w:rPr>
          <w:i/>
        </w:rPr>
        <w:t xml:space="preserve">v.</w:t>
      </w:r>
      <w:r>
        <w:rPr>
          <w:i/>
        </w:rPr>
        <w:t xml:space="preserve"> </w:t>
      </w:r>
      <w:r>
        <w:rPr>
          <w:i/>
        </w:rPr>
        <w:t xml:space="preserve">Haislet</w:t>
      </w:r>
      <w:r>
        <w:t xml:space="preserve">,</w:t>
      </w:r>
      <w:r>
        <w:br/>
      </w:r>
      <w:r>
        <w:t xml:space="preserve">2021</w:t>
      </w:r>
      <w:r>
        <w:t xml:space="preserve"> </w:t>
      </w:r>
      <w:r>
        <w:t xml:space="preserve">WL</w:t>
      </w:r>
      <w:r>
        <w:t xml:space="preserve"> </w:t>
      </w:r>
      <w:r>
        <w:t xml:space="preserve">2793723</w:t>
      </w:r>
      <w:r>
        <w:t xml:space="preserve"> </w:t>
      </w:r>
      <w:r>
        <w:t xml:space="preserve">(Minn.</w:t>
      </w:r>
      <w:r>
        <w:t xml:space="preserve"> </w:t>
      </w:r>
      <w:r>
        <w:t xml:space="preserve">Ct.</w:t>
      </w:r>
      <w:r>
        <w:t xml:space="preserve"> </w:t>
      </w:r>
      <w:r>
        <w:t xml:space="preserve">App.</w:t>
      </w:r>
      <w:r>
        <w:t xml:space="preserve"> </w:t>
      </w:r>
      <w:r>
        <w:t xml:space="preserve">2021)</w:t>
      </w:r>
      <w:r>
        <w:t xml:space="preserve">   </w:t>
      </w:r>
      <w:r>
        <w:tab/>
      </w:r>
      <w:r>
        <w:t xml:space="preserve">5</w:t>
      </w:r>
    </w:p>
    <w:p>
      <w:pPr>
        <w:pStyle w:val="CAToaEntry"/>
      </w:pPr>
      <w:r>
        <w:rPr>
          <w:i/>
        </w:rPr>
        <w:t xml:space="preserve">Fagre</w:t>
      </w:r>
      <w:r>
        <w:rPr>
          <w:i/>
        </w:rPr>
        <w:t xml:space="preserve"> </w:t>
      </w:r>
      <w:r>
        <w:rPr>
          <w:i/>
        </w:rPr>
        <w:t xml:space="preserve">v.</w:t>
      </w:r>
      <w:r>
        <w:rPr>
          <w:i/>
        </w:rPr>
        <w:t xml:space="preserve"> </w:t>
      </w:r>
      <w:r>
        <w:rPr>
          <w:i/>
        </w:rPr>
        <w:t xml:space="preserve">Fagre</w:t>
      </w:r>
      <w:r>
        <w:t xml:space="preserve">,</w:t>
      </w:r>
      <w:r>
        <w:br/>
      </w:r>
      <w:r>
        <w:t xml:space="preserve">2020</w:t>
      </w:r>
      <w:r>
        <w:t xml:space="preserve"> </w:t>
      </w:r>
      <w:r>
        <w:t xml:space="preserve">WL</w:t>
      </w:r>
      <w:r>
        <w:t xml:space="preserve"> </w:t>
      </w:r>
      <w:r>
        <w:t xml:space="preserve">4932842</w:t>
      </w:r>
      <w:r>
        <w:t xml:space="preserve"> </w:t>
      </w:r>
      <w:r>
        <w:t xml:space="preserve">(Minn.</w:t>
      </w:r>
      <w:r>
        <w:t xml:space="preserve"> </w:t>
      </w:r>
      <w:r>
        <w:t xml:space="preserve">Ct.</w:t>
      </w:r>
      <w:r>
        <w:t xml:space="preserve"> </w:t>
      </w:r>
      <w:r>
        <w:t xml:space="preserve">App.</w:t>
      </w:r>
      <w:r>
        <w:t xml:space="preserve"> </w:t>
      </w:r>
      <w:r>
        <w:t xml:space="preserve">2020)</w:t>
      </w:r>
      <w:r>
        <w:t xml:space="preserve">   </w:t>
      </w:r>
      <w:r>
        <w:tab/>
      </w:r>
      <w:r>
        <w:t xml:space="preserve">5</w:t>
      </w:r>
    </w:p>
    <w:p>
      <w:pPr>
        <w:pStyle w:val="CAToaEntry"/>
      </w:pPr>
      <w:r>
        <w:rPr>
          <w:i/>
        </w:rPr>
        <w:t xml:space="preserve">Friends</w:t>
      </w:r>
      <w:r>
        <w:rPr>
          <w:i/>
        </w:rPr>
        <w:t xml:space="preserve"> </w:t>
      </w:r>
      <w:r>
        <w:rPr>
          <w:i/>
        </w:rPr>
        <w:t xml:space="preserve">of</w:t>
      </w:r>
      <w:r>
        <w:rPr>
          <w:i/>
        </w:rPr>
        <w:t xml:space="preserve"> </w:t>
      </w:r>
      <w:r>
        <w:rPr>
          <w:i/>
        </w:rPr>
        <w:t xml:space="preserve">Tower</w:t>
      </w:r>
      <w:r>
        <w:rPr>
          <w:i/>
        </w:rPr>
        <w:t xml:space="preserve"> </w:t>
      </w:r>
      <w:r>
        <w:rPr>
          <w:i/>
        </w:rPr>
        <w:t xml:space="preserve">Hill</w:t>
      </w:r>
      <w:r>
        <w:rPr>
          <w:i/>
        </w:rPr>
        <w:t xml:space="preserve"> </w:t>
      </w:r>
      <w:r>
        <w:rPr>
          <w:i/>
        </w:rPr>
        <w:t xml:space="preserve">Park</w:t>
      </w:r>
      <w:r>
        <w:rPr>
          <w:i/>
        </w:rPr>
        <w:t xml:space="preserve"> </w:t>
      </w:r>
      <w:r>
        <w:rPr>
          <w:i/>
        </w:rPr>
        <w:t xml:space="preserve">v.</w:t>
      </w:r>
      <w:r>
        <w:rPr>
          <w:i/>
        </w:rPr>
        <w:t xml:space="preserve"> </w:t>
      </w:r>
      <w:r>
        <w:rPr>
          <w:i/>
        </w:rPr>
        <w:t xml:space="preserve">Foxfire</w:t>
      </w:r>
      <w:r>
        <w:rPr>
          <w:i/>
        </w:rPr>
        <w:t xml:space="preserve"> </w:t>
      </w:r>
      <w:r>
        <w:rPr>
          <w:i/>
        </w:rPr>
        <w:t xml:space="preserve">Props.,</w:t>
      </w:r>
      <w:r>
        <w:rPr>
          <w:i/>
        </w:rPr>
        <w:t xml:space="preserve"> </w:t>
      </w:r>
      <w:r>
        <w:rPr>
          <w:i/>
        </w:rPr>
        <w:t xml:space="preserve">LLC</w:t>
      </w:r>
      <w:r>
        <w:t xml:space="preserve">,</w:t>
      </w:r>
      <w:r>
        <w:br/>
      </w:r>
      <w:r>
        <w:t xml:space="preserve">2020</w:t>
      </w:r>
      <w:r>
        <w:t xml:space="preserve"> </w:t>
      </w:r>
      <w:r>
        <w:t xml:space="preserve">WL</w:t>
      </w:r>
      <w:r>
        <w:t xml:space="preserve"> </w:t>
      </w:r>
      <w:r>
        <w:t xml:space="preserve">994767</w:t>
      </w:r>
      <w:r>
        <w:t xml:space="preserve"> </w:t>
      </w:r>
      <w:r>
        <w:t xml:space="preserve">(Minn.</w:t>
      </w:r>
      <w:r>
        <w:t xml:space="preserve"> </w:t>
      </w:r>
      <w:r>
        <w:t xml:space="preserve">Ct.</w:t>
      </w:r>
      <w:r>
        <w:t xml:space="preserve"> </w:t>
      </w:r>
      <w:r>
        <w:t xml:space="preserve">App.</w:t>
      </w:r>
      <w:r>
        <w:t xml:space="preserve"> </w:t>
      </w:r>
      <w:r>
        <w:t xml:space="preserve">2020)</w:t>
      </w:r>
      <w:r>
        <w:t xml:space="preserve">   </w:t>
      </w:r>
      <w:r>
        <w:tab/>
      </w:r>
      <w:r>
        <w:t xml:space="preserve">5</w:t>
      </w:r>
    </w:p>
    <w:p>
      <w:pPr>
        <w:pStyle w:val="CAToaEntry"/>
      </w:pPr>
      <w:r>
        <w:rPr>
          <w:i/>
        </w:rPr>
        <w:t xml:space="preserve">Great</w:t>
      </w:r>
      <w:r>
        <w:rPr>
          <w:i/>
        </w:rPr>
        <w:t xml:space="preserve"> </w:t>
      </w:r>
      <w:r>
        <w:rPr>
          <w:i/>
        </w:rPr>
        <w:t xml:space="preserve">Plains</w:t>
      </w:r>
      <w:r>
        <w:rPr>
          <w:i/>
        </w:rPr>
        <w:t xml:space="preserve"> </w:t>
      </w:r>
      <w:r>
        <w:rPr>
          <w:i/>
        </w:rPr>
        <w:t xml:space="preserve">Ed.</w:t>
      </w:r>
      <w:r>
        <w:rPr>
          <w:i/>
        </w:rPr>
        <w:t xml:space="preserve"> </w:t>
      </w:r>
      <w:r>
        <w:rPr>
          <w:i/>
        </w:rPr>
        <w:t xml:space="preserve">Found.,</w:t>
      </w:r>
      <w:r>
        <w:rPr>
          <w:i/>
        </w:rPr>
        <w:t xml:space="preserve"> </w:t>
      </w:r>
      <w:r>
        <w:rPr>
          <w:i/>
        </w:rPr>
        <w:t xml:space="preserve">Inc. v.</w:t>
      </w:r>
      <w:r>
        <w:rPr>
          <w:i/>
        </w:rPr>
        <w:t xml:space="preserve"> </w:t>
      </w:r>
      <w:r>
        <w:rPr>
          <w:i/>
        </w:rPr>
        <w:t xml:space="preserve">Student</w:t>
      </w:r>
      <w:r>
        <w:rPr>
          <w:i/>
        </w:rPr>
        <w:t xml:space="preserve"> </w:t>
      </w:r>
      <w:r>
        <w:rPr>
          <w:i/>
        </w:rPr>
        <w:t xml:space="preserve">Loan</w:t>
      </w:r>
      <w:r>
        <w:rPr>
          <w:i/>
        </w:rPr>
        <w:t xml:space="preserve"> </w:t>
      </w:r>
      <w:r>
        <w:rPr>
          <w:i/>
        </w:rPr>
        <w:t xml:space="preserve">Fin.</w:t>
      </w:r>
      <w:r>
        <w:rPr>
          <w:i/>
        </w:rPr>
        <w:t xml:space="preserve"> </w:t>
      </w:r>
      <w:r>
        <w:rPr>
          <w:i/>
        </w:rPr>
        <w:t xml:space="preserve">Corp.</w:t>
      </w:r>
      <w:r>
        <w:t xml:space="preserve">,</w:t>
      </w:r>
      <w:r>
        <w:br/>
      </w:r>
      <w:r>
        <w:t xml:space="preserve">954</w:t>
      </w:r>
      <w:r>
        <w:t xml:space="preserve"> </w:t>
      </w:r>
      <w:r>
        <w:t xml:space="preserve">N.W.2d</w:t>
      </w:r>
      <w:r>
        <w:t xml:space="preserve"> </w:t>
      </w:r>
      <w:r>
        <w:t xml:space="preserve">844</w:t>
      </w:r>
      <w:r>
        <w:t xml:space="preserve"> </w:t>
      </w:r>
      <w:r>
        <w:t xml:space="preserve">(Minn.</w:t>
      </w:r>
      <w:r>
        <w:t xml:space="preserve"> </w:t>
      </w:r>
      <w:r>
        <w:t xml:space="preserve">Ct.</w:t>
      </w:r>
      <w:r>
        <w:t xml:space="preserve"> </w:t>
      </w:r>
      <w:r>
        <w:t xml:space="preserve">App.</w:t>
      </w:r>
      <w:r>
        <w:t xml:space="preserve"> </w:t>
      </w:r>
      <w:r>
        <w:t xml:space="preserve">2020)</w:t>
      </w:r>
      <w:r>
        <w:t xml:space="preserve">   </w:t>
      </w:r>
      <w:r>
        <w:tab/>
      </w:r>
      <w:r>
        <w:t xml:space="preserve">5</w:t>
      </w:r>
    </w:p>
    <w:p>
      <w:pPr>
        <w:pStyle w:val="CAToaEntry"/>
      </w:pPr>
      <w:r>
        <w:rPr>
          <w:i/>
        </w:rPr>
        <w:t xml:space="preserve">Hacker</w:t>
      </w:r>
      <w:r>
        <w:rPr>
          <w:i/>
        </w:rPr>
        <w:t xml:space="preserve"> </w:t>
      </w:r>
      <w:r>
        <w:rPr>
          <w:i/>
        </w:rPr>
        <w:t xml:space="preserve">v.</w:t>
      </w:r>
      <w:r>
        <w:rPr>
          <w:i/>
        </w:rPr>
        <w:t xml:space="preserve"> </w:t>
      </w:r>
      <w:r>
        <w:rPr>
          <w:i/>
        </w:rPr>
        <w:t xml:space="preserve">Barnhart</w:t>
      </w:r>
      <w:r>
        <w:t xml:space="preserve">,</w:t>
      </w:r>
      <w:r>
        <w:br/>
      </w:r>
      <w:r>
        <w:t xml:space="preserve">459</w:t>
      </w:r>
      <w:r>
        <w:t xml:space="preserve"> </w:t>
      </w:r>
      <w:r>
        <w:t xml:space="preserve">F.3d</w:t>
      </w:r>
      <w:r>
        <w:t xml:space="preserve"> </w:t>
      </w:r>
      <w:r>
        <w:t xml:space="preserve">934</w:t>
      </w:r>
      <w:r>
        <w:t xml:space="preserve"> </w:t>
      </w:r>
      <w:r>
        <w:t xml:space="preserve">(8th</w:t>
      </w:r>
      <w:r>
        <w:t xml:space="preserve"> </w:t>
      </w:r>
      <w:r>
        <w:t xml:space="preserve">Cir.</w:t>
      </w:r>
      <w:r>
        <w:t xml:space="preserve"> </w:t>
      </w:r>
      <w:r>
        <w:t xml:space="preserve">2006)</w:t>
      </w:r>
      <w:r>
        <w:t xml:space="preserve">   </w:t>
      </w:r>
      <w:r>
        <w:tab/>
      </w:r>
      <w:r>
        <w:t xml:space="preserve">3</w:t>
      </w:r>
    </w:p>
    <w:p>
      <w:pPr>
        <w:pStyle w:val="CAToaEntry"/>
      </w:pPr>
      <w:r>
        <w:rPr>
          <w:i/>
        </w:rPr>
        <w:t xml:space="preserve">Harris</w:t>
      </w:r>
      <w:r>
        <w:rPr>
          <w:i/>
        </w:rPr>
        <w:t xml:space="preserve"> </w:t>
      </w:r>
      <w:r>
        <w:rPr>
          <w:i/>
        </w:rPr>
        <w:t xml:space="preserve">v.</w:t>
      </w:r>
      <w:r>
        <w:rPr>
          <w:i/>
        </w:rPr>
        <w:t xml:space="preserve"> </w:t>
      </w:r>
      <w:r>
        <w:rPr>
          <w:i/>
        </w:rPr>
        <w:t xml:space="preserve">Chase</w:t>
      </w:r>
      <w:r>
        <w:rPr>
          <w:i/>
        </w:rPr>
        <w:t xml:space="preserve"> </w:t>
      </w:r>
      <w:r>
        <w:rPr>
          <w:i/>
        </w:rPr>
        <w:t xml:space="preserve">Bank</w:t>
      </w:r>
      <w:r>
        <w:rPr>
          <w:i/>
        </w:rPr>
        <w:t xml:space="preserve"> </w:t>
      </w:r>
      <w:r>
        <w:rPr>
          <w:i/>
        </w:rPr>
        <w:t xml:space="preserve">USA,</w:t>
      </w:r>
      <w:r>
        <w:rPr>
          <w:i/>
        </w:rPr>
        <w:t xml:space="preserve"> </w:t>
      </w:r>
      <w:r>
        <w:rPr>
          <w:i/>
        </w:rPr>
        <w:t xml:space="preserve">N.A.</w:t>
      </w:r>
      <w:r>
        <w:t xml:space="preserve">,</w:t>
      </w:r>
      <w:r>
        <w:br/>
      </w:r>
      <w:r>
        <w:t xml:space="preserve">2012</w:t>
      </w:r>
      <w:r>
        <w:t xml:space="preserve"> </w:t>
      </w:r>
      <w:r>
        <w:t xml:space="preserve">WL</w:t>
      </w:r>
      <w:r>
        <w:t xml:space="preserve"> </w:t>
      </w:r>
      <w:r>
        <w:t xml:space="preserve">1948775</w:t>
      </w:r>
      <w:r>
        <w:t xml:space="preserve"> </w:t>
      </w:r>
      <w:r>
        <w:t xml:space="preserve">(D.</w:t>
      </w:r>
      <w:r>
        <w:t xml:space="preserve"> </w:t>
      </w:r>
      <w:r>
        <w:t xml:space="preserve">Minn.</w:t>
      </w:r>
      <w:r>
        <w:t xml:space="preserve"> </w:t>
      </w:r>
      <w:r>
        <w:t xml:space="preserve">May</w:t>
      </w:r>
      <w:r>
        <w:t xml:space="preserve"> </w:t>
      </w:r>
      <w:r>
        <w:t xml:space="preserve">30,</w:t>
      </w:r>
      <w:r>
        <w:t xml:space="preserve"> </w:t>
      </w:r>
      <w:r>
        <w:t xml:space="preserve">2012)</w:t>
      </w:r>
      <w:r>
        <w:t xml:space="preserve">   </w:t>
      </w:r>
      <w:r>
        <w:tab/>
      </w:r>
      <w:r>
        <w:t xml:space="preserve">6</w:t>
      </w:r>
    </w:p>
    <w:p>
      <w:pPr>
        <w:pStyle w:val="CAToaEntry"/>
      </w:pPr>
      <w:r>
        <w:rPr>
          <w:i/>
        </w:rPr>
        <w:t xml:space="preserve">Hauschildt</w:t>
      </w:r>
      <w:r>
        <w:rPr>
          <w:i/>
        </w:rPr>
        <w:t xml:space="preserve"> </w:t>
      </w:r>
      <w:r>
        <w:rPr>
          <w:i/>
        </w:rPr>
        <w:t xml:space="preserve">v.</w:t>
      </w:r>
      <w:r>
        <w:rPr>
          <w:i/>
        </w:rPr>
        <w:t xml:space="preserve"> </w:t>
      </w:r>
      <w:r>
        <w:rPr>
          <w:i/>
        </w:rPr>
        <w:t xml:space="preserve">Beckingham</w:t>
      </w:r>
      <w:r>
        <w:t xml:space="preserve">,</w:t>
      </w:r>
      <w:r>
        <w:br/>
      </w:r>
      <w:r>
        <w:t xml:space="preserve">686</w:t>
      </w:r>
      <w:r>
        <w:t xml:space="preserve"> </w:t>
      </w:r>
      <w:r>
        <w:t xml:space="preserve">N.W.2d</w:t>
      </w:r>
      <w:r>
        <w:t xml:space="preserve"> </w:t>
      </w:r>
      <w:r>
        <w:t xml:space="preserve">829</w:t>
      </w:r>
      <w:r>
        <w:t xml:space="preserve"> </w:t>
      </w:r>
      <w:r>
        <w:t xml:space="preserve">(Minn.</w:t>
      </w:r>
      <w:r>
        <w:t xml:space="preserve"> </w:t>
      </w:r>
      <w:r>
        <w:t xml:space="preserve">2004)</w:t>
      </w:r>
      <w:r>
        <w:t xml:space="preserve">   </w:t>
      </w:r>
      <w:r>
        <w:tab/>
      </w:r>
      <w:r>
        <w:t xml:space="preserve">3, 6</w:t>
      </w:r>
    </w:p>
    <w:p>
      <w:pPr>
        <w:pStyle w:val="CAToaEntry"/>
      </w:pPr>
      <w:r>
        <w:rPr>
          <w:i/>
        </w:rPr>
        <w:t xml:space="preserve">Heintz</w:t>
      </w:r>
      <w:r>
        <w:rPr>
          <w:i/>
        </w:rPr>
        <w:t xml:space="preserve"> </w:t>
      </w:r>
      <w:r>
        <w:rPr>
          <w:i/>
        </w:rPr>
        <w:t xml:space="preserve">v.</w:t>
      </w:r>
      <w:r>
        <w:rPr>
          <w:i/>
        </w:rPr>
        <w:t xml:space="preserve"> </w:t>
      </w:r>
      <w:r>
        <w:rPr>
          <w:i/>
        </w:rPr>
        <w:t xml:space="preserve">Jenkins</w:t>
      </w:r>
      <w:r>
        <w:t xml:space="preserve">,</w:t>
      </w:r>
      <w:r>
        <w:br/>
      </w:r>
      <w:r>
        <w:t xml:space="preserve">514</w:t>
      </w:r>
      <w:r>
        <w:t xml:space="preserve"> </w:t>
      </w:r>
      <w:r>
        <w:t xml:space="preserve">U.S.</w:t>
      </w:r>
      <w:r>
        <w:t xml:space="preserve"> </w:t>
      </w:r>
      <w:r>
        <w:t xml:space="preserve">291</w:t>
      </w:r>
      <w:r>
        <w:t xml:space="preserve"> </w:t>
      </w:r>
      <w:r>
        <w:t xml:space="preserve">(1995)</w:t>
      </w:r>
      <w:r>
        <w:t xml:space="preserve">   </w:t>
      </w:r>
      <w:r>
        <w:tab/>
      </w:r>
      <w:r>
        <w:t xml:space="preserve">1</w:t>
      </w:r>
    </w:p>
    <w:p>
      <w:pPr>
        <w:pStyle w:val="CAToaEntry"/>
      </w:pPr>
      <w:r>
        <w:rPr>
          <w:i/>
        </w:rPr>
        <w:t xml:space="preserve">Heroux</w:t>
      </w:r>
      <w:r>
        <w:rPr>
          <w:i/>
        </w:rPr>
        <w:t xml:space="preserve"> </w:t>
      </w:r>
      <w:r>
        <w:rPr>
          <w:i/>
        </w:rPr>
        <w:t xml:space="preserve">v.</w:t>
      </w:r>
      <w:r>
        <w:rPr>
          <w:i/>
        </w:rPr>
        <w:t xml:space="preserve"> </w:t>
      </w:r>
      <w:r>
        <w:rPr>
          <w:i/>
        </w:rPr>
        <w:t xml:space="preserve">Callidus</w:t>
      </w:r>
      <w:r>
        <w:rPr>
          <w:i/>
        </w:rPr>
        <w:t xml:space="preserve"> </w:t>
      </w:r>
      <w:r>
        <w:rPr>
          <w:i/>
        </w:rPr>
        <w:t xml:space="preserve">Portfolio</w:t>
      </w:r>
      <w:r>
        <w:rPr>
          <w:i/>
        </w:rPr>
        <w:t xml:space="preserve"> </w:t>
      </w:r>
      <w:r>
        <w:rPr>
          <w:i/>
        </w:rPr>
        <w:t xml:space="preserve">Mgmt.,</w:t>
      </w:r>
      <w:r>
        <w:rPr>
          <w:i/>
        </w:rPr>
        <w:t xml:space="preserve"> </w:t>
      </w:r>
      <w:r>
        <w:rPr>
          <w:i/>
        </w:rPr>
        <w:t xml:space="preserve">Inc.</w:t>
      </w:r>
      <w:r>
        <w:t xml:space="preserve">,</w:t>
      </w:r>
      <w:r>
        <w:br/>
      </w:r>
      <w:r>
        <w:t xml:space="preserve">2018</w:t>
      </w:r>
      <w:r>
        <w:t xml:space="preserve"> </w:t>
      </w:r>
      <w:r>
        <w:t xml:space="preserve">WL</w:t>
      </w:r>
      <w:r>
        <w:t xml:space="preserve"> </w:t>
      </w:r>
      <w:r>
        <w:t xml:space="preserve">2018069</w:t>
      </w:r>
      <w:r>
        <w:t xml:space="preserve"> </w:t>
      </w:r>
      <w:r>
        <w:t xml:space="preserve">(D.</w:t>
      </w:r>
      <w:r>
        <w:t xml:space="preserve"> </w:t>
      </w:r>
      <w:r>
        <w:t xml:space="preserve">Minn.</w:t>
      </w:r>
      <w:r>
        <w:t xml:space="preserve"> </w:t>
      </w:r>
      <w:r>
        <w:t xml:space="preserve">2018)</w:t>
      </w:r>
      <w:r>
        <w:t xml:space="preserve">   </w:t>
      </w:r>
      <w:r>
        <w:tab/>
      </w:r>
      <w:r>
        <w:t xml:space="preserve">5</w:t>
      </w:r>
    </w:p>
    <w:p>
      <w:pPr>
        <w:pStyle w:val="CAToaEntry"/>
      </w:pPr>
      <w:r>
        <w:rPr>
          <w:i/>
        </w:rPr>
        <w:t xml:space="preserve">Husten</w:t>
      </w:r>
      <w:r>
        <w:rPr>
          <w:i/>
        </w:rPr>
        <w:t xml:space="preserve"> </w:t>
      </w:r>
      <w:r>
        <w:rPr>
          <w:i/>
        </w:rPr>
        <w:t xml:space="preserve">v.</w:t>
      </w:r>
      <w:r>
        <w:rPr>
          <w:i/>
        </w:rPr>
        <w:t xml:space="preserve"> </w:t>
      </w:r>
      <w:r>
        <w:rPr>
          <w:i/>
        </w:rPr>
        <w:t xml:space="preserve">Schnell</w:t>
      </w:r>
      <w:r>
        <w:t xml:space="preserve">,</w:t>
      </w:r>
      <w:r>
        <w:br/>
      </w:r>
      <w:r>
        <w:t xml:space="preserve">969</w:t>
      </w:r>
      <w:r>
        <w:t xml:space="preserve"> </w:t>
      </w:r>
      <w:r>
        <w:t xml:space="preserve">N.W.2d</w:t>
      </w:r>
      <w:r>
        <w:t xml:space="preserve"> </w:t>
      </w:r>
      <w:r>
        <w:t xml:space="preserve">851</w:t>
      </w:r>
      <w:r>
        <w:t xml:space="preserve"> </w:t>
      </w:r>
      <w:r>
        <w:t xml:space="preserve">(Minn.</w:t>
      </w:r>
      <w:r>
        <w:t xml:space="preserve"> </w:t>
      </w:r>
      <w:r>
        <w:t xml:space="preserve">Ct.</w:t>
      </w:r>
      <w:r>
        <w:t xml:space="preserve"> </w:t>
      </w:r>
      <w:r>
        <w:t xml:space="preserve">App.</w:t>
      </w:r>
      <w:r>
        <w:t xml:space="preserve"> </w:t>
      </w:r>
      <w:r>
        <w:t xml:space="preserve">2021)</w:t>
      </w:r>
      <w:r>
        <w:t xml:space="preserve">   </w:t>
      </w:r>
      <w:r>
        <w:tab/>
      </w:r>
      <w:r>
        <w:t xml:space="preserve">5</w:t>
      </w:r>
    </w:p>
    <w:p>
      <w:pPr>
        <w:pStyle w:val="CAToaEntry"/>
      </w:pPr>
      <w:r>
        <w:rPr>
          <w:i/>
        </w:rPr>
        <w:t xml:space="preserve">In</w:t>
      </w:r>
      <w:r>
        <w:rPr>
          <w:i/>
        </w:rPr>
        <w:t xml:space="preserve"> </w:t>
      </w:r>
      <w:r>
        <w:rPr>
          <w:i/>
        </w:rPr>
        <w:t xml:space="preserve">re</w:t>
      </w:r>
      <w:r>
        <w:rPr>
          <w:i/>
        </w:rPr>
        <w:t xml:space="preserve"> </w:t>
      </w:r>
      <w:r>
        <w:rPr>
          <w:i/>
        </w:rPr>
        <w:t xml:space="preserve">Estate</w:t>
      </w:r>
      <w:r>
        <w:rPr>
          <w:i/>
        </w:rPr>
        <w:t xml:space="preserve"> </w:t>
      </w:r>
      <w:r>
        <w:rPr>
          <w:i/>
        </w:rPr>
        <w:t xml:space="preserve">of</w:t>
      </w:r>
      <w:r>
        <w:rPr>
          <w:i/>
        </w:rPr>
        <w:t xml:space="preserve"> </w:t>
      </w:r>
      <w:r>
        <w:rPr>
          <w:i/>
        </w:rPr>
        <w:t xml:space="preserve">Chisolm</w:t>
      </w:r>
      <w:r>
        <w:t xml:space="preserve">,</w:t>
      </w:r>
      <w:r>
        <w:br/>
      </w:r>
      <w:r>
        <w:t xml:space="preserve">2018</w:t>
      </w:r>
      <w:r>
        <w:t xml:space="preserve"> </w:t>
      </w:r>
      <w:r>
        <w:t xml:space="preserve">WL</w:t>
      </w:r>
      <w:r>
        <w:t xml:space="preserve"> </w:t>
      </w:r>
      <w:r>
        <w:t xml:space="preserve">492614</w:t>
      </w:r>
      <w:r>
        <w:t xml:space="preserve"> </w:t>
      </w:r>
      <w:r>
        <w:t xml:space="preserve">(Minn.</w:t>
      </w:r>
      <w:r>
        <w:t xml:space="preserve"> </w:t>
      </w:r>
      <w:r>
        <w:t xml:space="preserve">Ct.</w:t>
      </w:r>
      <w:r>
        <w:t xml:space="preserve"> </w:t>
      </w:r>
      <w:r>
        <w:t xml:space="preserve">App.</w:t>
      </w:r>
      <w:r>
        <w:t xml:space="preserve"> </w:t>
      </w:r>
      <w:r>
        <w:t xml:space="preserve">2018)</w:t>
      </w:r>
      <w:r>
        <w:t xml:space="preserve">   </w:t>
      </w:r>
      <w:r>
        <w:tab/>
      </w:r>
      <w:r>
        <w:t xml:space="preserve">5</w:t>
      </w:r>
    </w:p>
    <w:p>
      <w:pPr>
        <w:pStyle w:val="CAToaEntry"/>
      </w:pPr>
      <w:r>
        <w:rPr>
          <w:i/>
        </w:rPr>
        <w:t xml:space="preserve">In</w:t>
      </w:r>
      <w:r>
        <w:rPr>
          <w:i/>
        </w:rPr>
        <w:t xml:space="preserve"> </w:t>
      </w:r>
      <w:r>
        <w:rPr>
          <w:i/>
        </w:rPr>
        <w:t xml:space="preserve">re</w:t>
      </w:r>
      <w:r>
        <w:rPr>
          <w:i/>
        </w:rPr>
        <w:t xml:space="preserve"> </w:t>
      </w:r>
      <w:r>
        <w:rPr>
          <w:i/>
        </w:rPr>
        <w:t xml:space="preserve">Trust</w:t>
      </w:r>
      <w:r>
        <w:rPr>
          <w:i/>
        </w:rPr>
        <w:t xml:space="preserve"> </w:t>
      </w:r>
      <w:r>
        <w:rPr>
          <w:i/>
        </w:rPr>
        <w:t xml:space="preserve">Agreement</w:t>
      </w:r>
      <w:r>
        <w:rPr>
          <w:i/>
        </w:rPr>
        <w:t xml:space="preserve"> </w:t>
      </w:r>
      <w:r>
        <w:rPr>
          <w:i/>
        </w:rPr>
        <w:t xml:space="preserve">of</w:t>
      </w:r>
      <w:r>
        <w:rPr>
          <w:i/>
        </w:rPr>
        <w:t xml:space="preserve"> </w:t>
      </w:r>
      <w:r>
        <w:rPr>
          <w:i/>
        </w:rPr>
        <w:t xml:space="preserve">Johnson</w:t>
      </w:r>
      <w:r>
        <w:t xml:space="preserve">,</w:t>
      </w:r>
      <w:r>
        <w:br/>
      </w:r>
      <w:r>
        <w:t xml:space="preserve">2015</w:t>
      </w:r>
      <w:r>
        <w:t xml:space="preserve"> </w:t>
      </w:r>
      <w:r>
        <w:t xml:space="preserve">WL</w:t>
      </w:r>
      <w:r>
        <w:t xml:space="preserve"> </w:t>
      </w:r>
      <w:r>
        <w:t xml:space="preserve">4715341</w:t>
      </w:r>
      <w:r>
        <w:t xml:space="preserve"> </w:t>
      </w:r>
      <w:r>
        <w:t xml:space="preserve">(Minn.</w:t>
      </w:r>
      <w:r>
        <w:t xml:space="preserve"> </w:t>
      </w:r>
      <w:r>
        <w:t xml:space="preserve">Ct.</w:t>
      </w:r>
      <w:r>
        <w:t xml:space="preserve"> </w:t>
      </w:r>
      <w:r>
        <w:t xml:space="preserve">App.</w:t>
      </w:r>
      <w:r>
        <w:t xml:space="preserve"> </w:t>
      </w:r>
      <w:r>
        <w:t xml:space="preserve">2015)</w:t>
      </w:r>
      <w:r>
        <w:t xml:space="preserve">   </w:t>
      </w:r>
      <w:r>
        <w:tab/>
      </w:r>
      <w:r>
        <w:t xml:space="preserve">6</w:t>
      </w:r>
    </w:p>
    <w:p>
      <w:pPr>
        <w:pStyle w:val="CAToaEntry"/>
      </w:pPr>
      <w:r>
        <w:rPr>
          <w:i/>
        </w:rPr>
        <w:t xml:space="preserve">Isanti</w:t>
      </w:r>
      <w:r>
        <w:rPr>
          <w:i/>
        </w:rPr>
        <w:t xml:space="preserve"> </w:t>
      </w:r>
      <w:r>
        <w:rPr>
          <w:i/>
        </w:rPr>
        <w:t xml:space="preserve">Pines</w:t>
      </w:r>
      <w:r>
        <w:rPr>
          <w:i/>
        </w:rPr>
        <w:t xml:space="preserve"> </w:t>
      </w:r>
      <w:r>
        <w:rPr>
          <w:i/>
        </w:rPr>
        <w:t xml:space="preserve">Tree</w:t>
      </w:r>
      <w:r>
        <w:rPr>
          <w:i/>
        </w:rPr>
        <w:t xml:space="preserve"> </w:t>
      </w:r>
      <w:r>
        <w:rPr>
          <w:i/>
        </w:rPr>
        <w:t xml:space="preserve">Farm,</w:t>
      </w:r>
      <w:r>
        <w:rPr>
          <w:i/>
        </w:rPr>
        <w:t xml:space="preserve"> </w:t>
      </w:r>
      <w:r>
        <w:rPr>
          <w:i/>
        </w:rPr>
        <w:t xml:space="preserve">LLC</w:t>
      </w:r>
      <w:r>
        <w:rPr>
          <w:i/>
        </w:rPr>
        <w:t xml:space="preserve"> </w:t>
      </w:r>
      <w:r>
        <w:rPr>
          <w:i/>
        </w:rPr>
        <w:t xml:space="preserve">v.</w:t>
      </w:r>
      <w:r>
        <w:rPr>
          <w:i/>
        </w:rPr>
        <w:t xml:space="preserve"> </w:t>
      </w:r>
      <w:r>
        <w:rPr>
          <w:i/>
        </w:rPr>
        <w:t xml:space="preserve">Swanson</w:t>
      </w:r>
      <w:r>
        <w:t xml:space="preserve">,</w:t>
      </w:r>
      <w:r>
        <w:br/>
      </w:r>
      <w:r>
        <w:t xml:space="preserve">2017</w:t>
      </w:r>
      <w:r>
        <w:t xml:space="preserve"> </w:t>
      </w:r>
      <w:r>
        <w:t xml:space="preserve">WL</w:t>
      </w:r>
      <w:r>
        <w:t xml:space="preserve"> </w:t>
      </w:r>
      <w:r>
        <w:t xml:space="preserve">1436094</w:t>
      </w:r>
      <w:r>
        <w:t xml:space="preserve"> </w:t>
      </w:r>
      <w:r>
        <w:t xml:space="preserve">(Minn.</w:t>
      </w:r>
      <w:r>
        <w:t xml:space="preserve"> </w:t>
      </w:r>
      <w:r>
        <w:t xml:space="preserve">Ct.</w:t>
      </w:r>
      <w:r>
        <w:t xml:space="preserve"> </w:t>
      </w:r>
      <w:r>
        <w:t xml:space="preserve">App.</w:t>
      </w:r>
      <w:r>
        <w:t xml:space="preserve"> </w:t>
      </w:r>
      <w:r>
        <w:t xml:space="preserve">2017)</w:t>
      </w:r>
      <w:r>
        <w:t xml:space="preserve">   </w:t>
      </w:r>
      <w:r>
        <w:tab/>
      </w:r>
      <w:r>
        <w:t xml:space="preserve">5</w:t>
      </w:r>
    </w:p>
    <w:p>
      <w:pPr>
        <w:pStyle w:val="CAToaEntry"/>
      </w:pPr>
      <w:r>
        <w:rPr>
          <w:i/>
        </w:rPr>
        <w:t xml:space="preserve">Johnson</w:t>
      </w:r>
      <w:r>
        <w:rPr>
          <w:i/>
        </w:rPr>
        <w:t xml:space="preserve"> </w:t>
      </w:r>
      <w:r>
        <w:rPr>
          <w:i/>
        </w:rPr>
        <w:t xml:space="preserve">v.</w:t>
      </w:r>
      <w:r>
        <w:rPr>
          <w:i/>
        </w:rPr>
        <w:t xml:space="preserve"> </w:t>
      </w:r>
      <w:r>
        <w:rPr>
          <w:i/>
        </w:rPr>
        <w:t xml:space="preserve">Township</w:t>
      </w:r>
      <w:r>
        <w:rPr>
          <w:i/>
        </w:rPr>
        <w:t xml:space="preserve"> </w:t>
      </w:r>
      <w:r>
        <w:rPr>
          <w:i/>
        </w:rPr>
        <w:t xml:space="preserve">of</w:t>
      </w:r>
      <w:r>
        <w:rPr>
          <w:i/>
        </w:rPr>
        <w:t xml:space="preserve"> </w:t>
      </w:r>
      <w:r>
        <w:rPr>
          <w:i/>
        </w:rPr>
        <w:t xml:space="preserve">Florence</w:t>
      </w:r>
      <w:r>
        <w:t xml:space="preserve">,</w:t>
      </w:r>
      <w:r>
        <w:br/>
      </w:r>
      <w:r>
        <w:t xml:space="preserve">2016</w:t>
      </w:r>
      <w:r>
        <w:t xml:space="preserve"> </w:t>
      </w:r>
      <w:r>
        <w:t xml:space="preserve">WL</w:t>
      </w:r>
      <w:r>
        <w:t xml:space="preserve"> </w:t>
      </w:r>
      <w:r>
        <w:t xml:space="preserve">2946248</w:t>
      </w:r>
      <w:r>
        <w:t xml:space="preserve"> </w:t>
      </w:r>
      <w:r>
        <w:t xml:space="preserve">(Minn.</w:t>
      </w:r>
      <w:r>
        <w:t xml:space="preserve"> </w:t>
      </w:r>
      <w:r>
        <w:t xml:space="preserve">Ct.</w:t>
      </w:r>
      <w:r>
        <w:t xml:space="preserve"> </w:t>
      </w:r>
      <w:r>
        <w:t xml:space="preserve">App.</w:t>
      </w:r>
      <w:r>
        <w:t xml:space="preserve"> </w:t>
      </w:r>
      <w:r>
        <w:t xml:space="preserve">2016)</w:t>
      </w:r>
      <w:r>
        <w:t xml:space="preserve">   </w:t>
      </w:r>
      <w:r>
        <w:tab/>
      </w:r>
      <w:r>
        <w:t xml:space="preserve">5</w:t>
      </w:r>
    </w:p>
    <w:p>
      <w:pPr>
        <w:pStyle w:val="CAToaEntry"/>
      </w:pPr>
      <w:r>
        <w:rPr>
          <w:i/>
        </w:rPr>
        <w:t xml:space="preserve">Kemp</w:t>
      </w:r>
      <w:r>
        <w:rPr>
          <w:i/>
        </w:rPr>
        <w:t xml:space="preserve"> </w:t>
      </w:r>
      <w:r>
        <w:rPr>
          <w:i/>
        </w:rPr>
        <w:t xml:space="preserve">v.</w:t>
      </w:r>
      <w:r>
        <w:rPr>
          <w:i/>
        </w:rPr>
        <w:t xml:space="preserve"> </w:t>
      </w:r>
      <w:r>
        <w:rPr>
          <w:i/>
        </w:rPr>
        <w:t xml:space="preserve">State</w:t>
      </w:r>
      <w:r>
        <w:rPr>
          <w:i/>
        </w:rPr>
        <w:t xml:space="preserve"> </w:t>
      </w:r>
      <w:r>
        <w:rPr>
          <w:i/>
        </w:rPr>
        <w:t xml:space="preserve">Farm</w:t>
      </w:r>
      <w:r>
        <w:rPr>
          <w:i/>
        </w:rPr>
        <w:t xml:space="preserve"> </w:t>
      </w:r>
      <w:r>
        <w:rPr>
          <w:i/>
        </w:rPr>
        <w:t xml:space="preserve">Ins.</w:t>
      </w:r>
      <w:r>
        <w:rPr>
          <w:i/>
        </w:rPr>
        <w:t xml:space="preserve"> </w:t>
      </w:r>
      <w:r>
        <w:rPr>
          <w:i/>
        </w:rPr>
        <w:t xml:space="preserve">Co.</w:t>
      </w:r>
      <w:r>
        <w:t xml:space="preserve">,</w:t>
      </w:r>
      <w:r>
        <w:br/>
      </w:r>
      <w:r>
        <w:t xml:space="preserve">2023</w:t>
      </w:r>
      <w:r>
        <w:t xml:space="preserve"> </w:t>
      </w:r>
      <w:r>
        <w:t xml:space="preserve">WL</w:t>
      </w:r>
      <w:r>
        <w:t xml:space="preserve"> </w:t>
      </w:r>
      <w:r>
        <w:t xml:space="preserve">1770431</w:t>
      </w:r>
      <w:r>
        <w:t xml:space="preserve"> </w:t>
      </w:r>
      <w:r>
        <w:t xml:space="preserve">(Minn.</w:t>
      </w:r>
      <w:r>
        <w:t xml:space="preserve"> </w:t>
      </w:r>
      <w:r>
        <w:t xml:space="preserve">Ct.</w:t>
      </w:r>
      <w:r>
        <w:t xml:space="preserve"> </w:t>
      </w:r>
      <w:r>
        <w:t xml:space="preserve">App.</w:t>
      </w:r>
      <w:r>
        <w:t xml:space="preserve"> </w:t>
      </w:r>
      <w:r>
        <w:t xml:space="preserve">2023)</w:t>
      </w:r>
      <w:r>
        <w:t xml:space="preserve">   </w:t>
      </w:r>
      <w:r>
        <w:tab/>
      </w:r>
      <w:r>
        <w:t xml:space="preserve">5</w:t>
      </w:r>
    </w:p>
    <w:p>
      <w:pPr>
        <w:pStyle w:val="CAToaEntry"/>
      </w:pPr>
      <w:r>
        <w:rPr>
          <w:i/>
        </w:rPr>
        <w:t xml:space="preserve">Lariat</w:t>
      </w:r>
      <w:r>
        <w:rPr>
          <w:i/>
        </w:rPr>
        <w:t xml:space="preserve"> </w:t>
      </w:r>
      <w:r>
        <w:rPr>
          <w:i/>
        </w:rPr>
        <w:t xml:space="preserve">Cos.</w:t>
      </w:r>
      <w:r>
        <w:rPr>
          <w:i/>
        </w:rPr>
        <w:t xml:space="preserve"> </w:t>
      </w:r>
      <w:r>
        <w:rPr>
          <w:i/>
        </w:rPr>
        <w:t xml:space="preserve">v.</w:t>
      </w:r>
      <w:r>
        <w:rPr>
          <w:i/>
        </w:rPr>
        <w:t xml:space="preserve"> </w:t>
      </w:r>
      <w:r>
        <w:rPr>
          <w:i/>
        </w:rPr>
        <w:t xml:space="preserve">Wrigley</w:t>
      </w:r>
      <w:r>
        <w:t xml:space="preserve">,</w:t>
      </w:r>
      <w:r>
        <w:br/>
      </w:r>
      <w:r>
        <w:t xml:space="preserve">2023</w:t>
      </w:r>
      <w:r>
        <w:t xml:space="preserve"> </w:t>
      </w:r>
      <w:r>
        <w:t xml:space="preserve">WL</w:t>
      </w:r>
      <w:r>
        <w:t xml:space="preserve"> </w:t>
      </w:r>
      <w:r>
        <w:t xml:space="preserve">2127379</w:t>
      </w:r>
      <w:r>
        <w:t xml:space="preserve"> </w:t>
      </w:r>
      <w:r>
        <w:t xml:space="preserve">(Minn.</w:t>
      </w:r>
      <w:r>
        <w:t xml:space="preserve"> </w:t>
      </w:r>
      <w:r>
        <w:t xml:space="preserve">Ct.</w:t>
      </w:r>
      <w:r>
        <w:t xml:space="preserve"> </w:t>
      </w:r>
      <w:r>
        <w:t xml:space="preserve">App.</w:t>
      </w:r>
      <w:r>
        <w:t xml:space="preserve"> </w:t>
      </w:r>
      <w:r>
        <w:t xml:space="preserve">2023)</w:t>
      </w:r>
      <w:r>
        <w:t xml:space="preserve">   </w:t>
      </w:r>
      <w:r>
        <w:tab/>
      </w:r>
      <w:r>
        <w:t xml:space="preserve">5</w:t>
      </w:r>
    </w:p>
    <w:p>
      <w:pPr>
        <w:pStyle w:val="CAToaEntry"/>
      </w:pPr>
      <w:r>
        <w:rPr>
          <w:i/>
        </w:rPr>
        <w:t xml:space="preserve">Mach</w:t>
      </w:r>
      <w:r>
        <w:rPr>
          <w:i/>
        </w:rPr>
        <w:t xml:space="preserve"> </w:t>
      </w:r>
      <w:r>
        <w:rPr>
          <w:i/>
        </w:rPr>
        <w:t xml:space="preserve">v.</w:t>
      </w:r>
      <w:r>
        <w:rPr>
          <w:i/>
        </w:rPr>
        <w:t xml:space="preserve"> </w:t>
      </w:r>
      <w:r>
        <w:rPr>
          <w:i/>
        </w:rPr>
        <w:t xml:space="preserve">Wells</w:t>
      </w:r>
      <w:r>
        <w:rPr>
          <w:i/>
        </w:rPr>
        <w:t xml:space="preserve"> </w:t>
      </w:r>
      <w:r>
        <w:rPr>
          <w:i/>
        </w:rPr>
        <w:t xml:space="preserve">Concrete</w:t>
      </w:r>
      <w:r>
        <w:rPr>
          <w:i/>
        </w:rPr>
        <w:t xml:space="preserve"> </w:t>
      </w:r>
      <w:r>
        <w:rPr>
          <w:i/>
        </w:rPr>
        <w:t xml:space="preserve">Prods.</w:t>
      </w:r>
      <w:r>
        <w:rPr>
          <w:i/>
        </w:rPr>
        <w:t xml:space="preserve"> </w:t>
      </w:r>
      <w:r>
        <w:rPr>
          <w:i/>
        </w:rPr>
        <w:t xml:space="preserve">Co.</w:t>
      </w:r>
      <w:r>
        <w:t xml:space="preserve">,</w:t>
      </w:r>
      <w:r>
        <w:br/>
      </w:r>
      <w:r>
        <w:t xml:space="preserve">866</w:t>
      </w:r>
      <w:r>
        <w:t xml:space="preserve"> </w:t>
      </w:r>
      <w:r>
        <w:t xml:space="preserve">N.W.2d</w:t>
      </w:r>
      <w:r>
        <w:t xml:space="preserve"> </w:t>
      </w:r>
      <w:r>
        <w:t xml:space="preserve">921</w:t>
      </w:r>
      <w:r>
        <w:t xml:space="preserve"> </w:t>
      </w:r>
      <w:r>
        <w:t xml:space="preserve">(Minn.</w:t>
      </w:r>
      <w:r>
        <w:t xml:space="preserve"> </w:t>
      </w:r>
      <w:r>
        <w:t xml:space="preserve">2015)</w:t>
      </w:r>
      <w:r>
        <w:t xml:space="preserve">   </w:t>
      </w:r>
      <w:r>
        <w:tab/>
      </w:r>
      <w:r>
        <w:t xml:space="preserve">3, 4, 9</w:t>
      </w:r>
    </w:p>
    <w:p>
      <w:pPr>
        <w:pStyle w:val="CAToaEntry"/>
      </w:pPr>
      <w:r>
        <w:rPr>
          <w:i/>
        </w:rPr>
        <w:t xml:space="preserve">Mark</w:t>
      </w:r>
      <w:r>
        <w:rPr>
          <w:i/>
        </w:rPr>
        <w:t xml:space="preserve"> </w:t>
      </w:r>
      <w:r>
        <w:rPr>
          <w:i/>
        </w:rPr>
        <w:t xml:space="preserve">v.</w:t>
      </w:r>
      <w:r>
        <w:rPr>
          <w:i/>
        </w:rPr>
        <w:t xml:space="preserve"> </w:t>
      </w:r>
      <w:r>
        <w:rPr>
          <w:i/>
        </w:rPr>
        <w:t xml:space="preserve">Ault</w:t>
      </w:r>
      <w:r>
        <w:t xml:space="preserve">,</w:t>
      </w:r>
      <w:r>
        <w:br/>
      </w:r>
      <w:r>
        <w:t xml:space="preserve">498</w:t>
      </w:r>
      <w:r>
        <w:t xml:space="preserve"> </w:t>
      </w:r>
      <w:r>
        <w:t xml:space="preserve">F.3d</w:t>
      </w:r>
      <w:r>
        <w:t xml:space="preserve"> </w:t>
      </w:r>
      <w:r>
        <w:t xml:space="preserve">775</w:t>
      </w:r>
      <w:r>
        <w:t xml:space="preserve"> </w:t>
      </w:r>
      <w:r>
        <w:t xml:space="preserve">(8th</w:t>
      </w:r>
      <w:r>
        <w:t xml:space="preserve"> </w:t>
      </w:r>
      <w:r>
        <w:t xml:space="preserve">Cir.</w:t>
      </w:r>
      <w:r>
        <w:t xml:space="preserve"> </w:t>
      </w:r>
      <w:r>
        <w:t xml:space="preserve">2007)</w:t>
      </w:r>
      <w:r>
        <w:t xml:space="preserve">   </w:t>
      </w:r>
      <w:r>
        <w:tab/>
      </w:r>
      <w:r>
        <w:t xml:space="preserve">3</w:t>
      </w:r>
    </w:p>
    <w:p>
      <w:pPr>
        <w:pStyle w:val="CAToaEntry"/>
      </w:pPr>
      <w:r>
        <w:rPr>
          <w:i/>
        </w:rPr>
        <w:t xml:space="preserve">Peters</w:t>
      </w:r>
      <w:r>
        <w:rPr>
          <w:i/>
        </w:rPr>
        <w:t xml:space="preserve"> </w:t>
      </w:r>
      <w:r>
        <w:rPr>
          <w:i/>
        </w:rPr>
        <w:t xml:space="preserve">v.</w:t>
      </w:r>
      <w:r>
        <w:rPr>
          <w:i/>
        </w:rPr>
        <w:t xml:space="preserve"> </w:t>
      </w:r>
      <w:r>
        <w:rPr>
          <w:i/>
        </w:rPr>
        <w:t xml:space="preserve">Gen. Svc.</w:t>
      </w:r>
      <w:r>
        <w:rPr>
          <w:i/>
        </w:rPr>
        <w:t xml:space="preserve"> </w:t>
      </w:r>
      <w:r>
        <w:rPr>
          <w:i/>
        </w:rPr>
        <w:t xml:space="preserve">Bureau,</w:t>
      </w:r>
      <w:r>
        <w:rPr>
          <w:i/>
        </w:rPr>
        <w:t xml:space="preserve"> </w:t>
      </w:r>
      <w:r>
        <w:rPr>
          <w:i/>
        </w:rPr>
        <w:t xml:space="preserve">Inc.</w:t>
      </w:r>
      <w:r>
        <w:t xml:space="preserve">,</w:t>
      </w:r>
      <w:r>
        <w:br/>
      </w:r>
      <w:r>
        <w:t xml:space="preserve">277</w:t>
      </w:r>
      <w:r>
        <w:t xml:space="preserve"> </w:t>
      </w:r>
      <w:r>
        <w:t xml:space="preserve">F.3d</w:t>
      </w:r>
      <w:r>
        <w:t xml:space="preserve"> </w:t>
      </w:r>
      <w:r>
        <w:t xml:space="preserve">1051</w:t>
      </w:r>
      <w:r>
        <w:t xml:space="preserve"> </w:t>
      </w:r>
      <w:r>
        <w:t xml:space="preserve">(8th</w:t>
      </w:r>
      <w:r>
        <w:t xml:space="preserve"> </w:t>
      </w:r>
      <w:r>
        <w:t xml:space="preserve">Cir.</w:t>
      </w:r>
      <w:r>
        <w:t xml:space="preserve"> </w:t>
      </w:r>
      <w:r>
        <w:t xml:space="preserve">2002)</w:t>
      </w:r>
      <w:r>
        <w:t xml:space="preserve">   </w:t>
      </w:r>
      <w:r>
        <w:tab/>
      </w:r>
      <w:r>
        <w:t xml:space="preserve">1</w:t>
      </w:r>
    </w:p>
    <w:p>
      <w:pPr>
        <w:pStyle w:val="CAToaEntry"/>
      </w:pPr>
      <w:r>
        <w:rPr>
          <w:i/>
        </w:rPr>
        <w:t xml:space="preserve">Reichel</w:t>
      </w:r>
      <w:r>
        <w:rPr>
          <w:i/>
        </w:rPr>
        <w:t xml:space="preserve"> </w:t>
      </w:r>
      <w:r>
        <w:rPr>
          <w:i/>
        </w:rPr>
        <w:t xml:space="preserve">Investments,</w:t>
      </w:r>
      <w:r>
        <w:rPr>
          <w:i/>
        </w:rPr>
        <w:t xml:space="preserve"> </w:t>
      </w:r>
      <w:r>
        <w:rPr>
          <w:i/>
        </w:rPr>
        <w:t xml:space="preserve">L.P.</w:t>
      </w:r>
      <w:r>
        <w:rPr>
          <w:i/>
        </w:rPr>
        <w:t xml:space="preserve"> </w:t>
      </w:r>
      <w:r>
        <w:rPr>
          <w:i/>
        </w:rPr>
        <w:t xml:space="preserve">v.</w:t>
      </w:r>
      <w:r>
        <w:rPr>
          <w:i/>
        </w:rPr>
        <w:t xml:space="preserve"> </w:t>
      </w:r>
      <w:r>
        <w:rPr>
          <w:i/>
        </w:rPr>
        <w:t xml:space="preserve">Reichel</w:t>
      </w:r>
      <w:r>
        <w:t xml:space="preserve">,</w:t>
      </w:r>
      <w:r>
        <w:br/>
      </w:r>
      <w:r>
        <w:t xml:space="preserve">2016</w:t>
      </w:r>
      <w:r>
        <w:t xml:space="preserve"> </w:t>
      </w:r>
      <w:r>
        <w:t xml:space="preserve">WL</w:t>
      </w:r>
      <w:r>
        <w:t xml:space="preserve"> </w:t>
      </w:r>
      <w:r>
        <w:t xml:space="preserve">3884552</w:t>
      </w:r>
      <w:r>
        <w:t xml:space="preserve"> </w:t>
      </w:r>
      <w:r>
        <w:t xml:space="preserve">(Minn.</w:t>
      </w:r>
      <w:r>
        <w:t xml:space="preserve"> </w:t>
      </w:r>
      <w:r>
        <w:t xml:space="preserve">Ct.</w:t>
      </w:r>
      <w:r>
        <w:t xml:space="preserve"> </w:t>
      </w:r>
      <w:r>
        <w:t xml:space="preserve">App.</w:t>
      </w:r>
      <w:r>
        <w:t xml:space="preserve"> </w:t>
      </w:r>
      <w:r>
        <w:t xml:space="preserve">2016)</w:t>
      </w:r>
      <w:r>
        <w:t xml:space="preserve">   </w:t>
      </w:r>
      <w:r>
        <w:tab/>
      </w:r>
      <w:r>
        <w:t xml:space="preserve">5</w:t>
      </w:r>
    </w:p>
    <w:p>
      <w:pPr>
        <w:pStyle w:val="CAToaEntry"/>
      </w:pPr>
      <w:r>
        <w:rPr>
          <w:i/>
        </w:rPr>
        <w:t xml:space="preserve">Richmond</w:t>
      </w:r>
      <w:r>
        <w:rPr>
          <w:i/>
        </w:rPr>
        <w:t xml:space="preserve"> </w:t>
      </w:r>
      <w:r>
        <w:rPr>
          <w:i/>
        </w:rPr>
        <w:t xml:space="preserve">v.</w:t>
      </w:r>
      <w:r>
        <w:rPr>
          <w:i/>
        </w:rPr>
        <w:t xml:space="preserve"> </w:t>
      </w:r>
      <w:r>
        <w:rPr>
          <w:i/>
        </w:rPr>
        <w:t xml:space="preserve">Higgins</w:t>
      </w:r>
      <w:r>
        <w:t xml:space="preserve">,</w:t>
      </w:r>
      <w:r>
        <w:br/>
      </w:r>
      <w:r>
        <w:t xml:space="preserve">435</w:t>
      </w:r>
      <w:r>
        <w:t xml:space="preserve"> </w:t>
      </w:r>
      <w:r>
        <w:t xml:space="preserve">F.3d</w:t>
      </w:r>
      <w:r>
        <w:t xml:space="preserve"> </w:t>
      </w:r>
      <w:r>
        <w:t xml:space="preserve">825</w:t>
      </w:r>
      <w:r>
        <w:t xml:space="preserve"> </w:t>
      </w:r>
      <w:r>
        <w:t xml:space="preserve">(8th</w:t>
      </w:r>
      <w:r>
        <w:t xml:space="preserve"> </w:t>
      </w:r>
      <w:r>
        <w:t xml:space="preserve">Cir.</w:t>
      </w:r>
      <w:r>
        <w:t xml:space="preserve"> </w:t>
      </w:r>
      <w:r>
        <w:t xml:space="preserve">2006)</w:t>
      </w:r>
      <w:r>
        <w:t xml:space="preserve">   </w:t>
      </w:r>
      <w:r>
        <w:tab/>
      </w:r>
      <w:r>
        <w:t xml:space="preserve">1</w:t>
      </w:r>
    </w:p>
    <w:p>
      <w:pPr>
        <w:pStyle w:val="CAToaEntry"/>
      </w:pPr>
      <w:r>
        <w:rPr>
          <w:i/>
        </w:rPr>
        <w:t xml:space="preserve">S.</w:t>
      </w:r>
      <w:r>
        <w:rPr>
          <w:i/>
        </w:rPr>
        <w:t xml:space="preserve"> </w:t>
      </w:r>
      <w:r>
        <w:rPr>
          <w:i/>
        </w:rPr>
        <w:t xml:space="preserve">Robideau</w:t>
      </w:r>
      <w:r>
        <w:rPr>
          <w:i/>
        </w:rPr>
        <w:t xml:space="preserve"> </w:t>
      </w:r>
      <w:r>
        <w:rPr>
          <w:i/>
        </w:rPr>
        <w:t xml:space="preserve">Constr.,</w:t>
      </w:r>
      <w:r>
        <w:rPr>
          <w:i/>
        </w:rPr>
        <w:t xml:space="preserve"> </w:t>
      </w:r>
      <w:r>
        <w:rPr>
          <w:i/>
        </w:rPr>
        <w:t xml:space="preserve">Inc. v.</w:t>
      </w:r>
      <w:r>
        <w:rPr>
          <w:i/>
        </w:rPr>
        <w:t xml:space="preserve"> </w:t>
      </w:r>
      <w:r>
        <w:rPr>
          <w:i/>
        </w:rPr>
        <w:t xml:space="preserve">Hiber</w:t>
      </w:r>
      <w:r>
        <w:t xml:space="preserve">,</w:t>
      </w:r>
      <w:r>
        <w:br/>
      </w:r>
      <w:r>
        <w:t xml:space="preserve">2016</w:t>
      </w:r>
      <w:r>
        <w:t xml:space="preserve"> </w:t>
      </w:r>
      <w:r>
        <w:t xml:space="preserve">WL</w:t>
      </w:r>
      <w:r>
        <w:t xml:space="preserve"> </w:t>
      </w:r>
      <w:r>
        <w:t xml:space="preserve">4497583</w:t>
      </w:r>
      <w:r>
        <w:t xml:space="preserve"> </w:t>
      </w:r>
      <w:r>
        <w:t xml:space="preserve">(Minn.</w:t>
      </w:r>
      <w:r>
        <w:t xml:space="preserve"> </w:t>
      </w:r>
      <w:r>
        <w:t xml:space="preserve">Ct.</w:t>
      </w:r>
      <w:r>
        <w:t xml:space="preserve"> </w:t>
      </w:r>
      <w:r>
        <w:t xml:space="preserve">App.</w:t>
      </w:r>
      <w:r>
        <w:t xml:space="preserve"> </w:t>
      </w:r>
      <w:r>
        <w:t xml:space="preserve">2016)</w:t>
      </w:r>
      <w:r>
        <w:t xml:space="preserve">   </w:t>
      </w:r>
      <w:r>
        <w:tab/>
      </w:r>
      <w:r>
        <w:t xml:space="preserve">5</w:t>
      </w:r>
    </w:p>
    <w:p>
      <w:pPr>
        <w:pStyle w:val="CAToaEntry"/>
      </w:pPr>
      <w:r>
        <w:rPr>
          <w:i/>
        </w:rPr>
        <w:t xml:space="preserve">Scheffler</w:t>
      </w:r>
      <w:r>
        <w:rPr>
          <w:i/>
        </w:rPr>
        <w:t xml:space="preserve"> </w:t>
      </w:r>
      <w:r>
        <w:rPr>
          <w:i/>
        </w:rPr>
        <w:t xml:space="preserve">v.</w:t>
      </w:r>
      <w:r>
        <w:rPr>
          <w:i/>
        </w:rPr>
        <w:t xml:space="preserve"> </w:t>
      </w:r>
      <w:r>
        <w:rPr>
          <w:i/>
        </w:rPr>
        <w:t xml:space="preserve">Comm’r</w:t>
      </w:r>
      <w:r>
        <w:rPr>
          <w:i/>
        </w:rPr>
        <w:t xml:space="preserve"> </w:t>
      </w:r>
      <w:r>
        <w:rPr>
          <w:i/>
        </w:rPr>
        <w:t xml:space="preserve">of</w:t>
      </w:r>
      <w:r>
        <w:rPr>
          <w:i/>
        </w:rPr>
        <w:t xml:space="preserve"> </w:t>
      </w:r>
      <w:r>
        <w:rPr>
          <w:i/>
        </w:rPr>
        <w:t xml:space="preserve">Pub.</w:t>
      </w:r>
      <w:r>
        <w:rPr>
          <w:i/>
        </w:rPr>
        <w:t xml:space="preserve"> </w:t>
      </w:r>
      <w:r>
        <w:rPr>
          <w:i/>
        </w:rPr>
        <w:t xml:space="preserve">Safety</w:t>
      </w:r>
      <w:r>
        <w:t xml:space="preserve">,</w:t>
      </w:r>
      <w:r>
        <w:br/>
      </w:r>
      <w:r>
        <w:t xml:space="preserve">2015</w:t>
      </w:r>
      <w:r>
        <w:t xml:space="preserve"> </w:t>
      </w:r>
      <w:r>
        <w:t xml:space="preserve">WL</w:t>
      </w:r>
      <w:r>
        <w:t xml:space="preserve"> </w:t>
      </w:r>
      <w:r>
        <w:t xml:space="preserve">9437562</w:t>
      </w:r>
      <w:r>
        <w:t xml:space="preserve"> </w:t>
      </w:r>
      <w:r>
        <w:t xml:space="preserve">(Minn.</w:t>
      </w:r>
      <w:r>
        <w:t xml:space="preserve"> </w:t>
      </w:r>
      <w:r>
        <w:t xml:space="preserve">Ct.</w:t>
      </w:r>
      <w:r>
        <w:t xml:space="preserve"> </w:t>
      </w:r>
      <w:r>
        <w:t xml:space="preserve">App.</w:t>
      </w:r>
      <w:r>
        <w:t xml:space="preserve"> </w:t>
      </w:r>
      <w:r>
        <w:t xml:space="preserve">2015)</w:t>
      </w:r>
      <w:r>
        <w:t xml:space="preserve">   </w:t>
      </w:r>
      <w:r>
        <w:tab/>
      </w:r>
      <w:r>
        <w:t xml:space="preserve">5</w:t>
      </w:r>
    </w:p>
    <w:p>
      <w:pPr>
        <w:pStyle w:val="CAToaEntry"/>
      </w:pPr>
      <w:r>
        <w:rPr>
          <w:i/>
        </w:rPr>
        <w:t xml:space="preserve">Shimota</w:t>
      </w:r>
      <w:r>
        <w:rPr>
          <w:i/>
        </w:rPr>
        <w:t xml:space="preserve"> </w:t>
      </w:r>
      <w:r>
        <w:rPr>
          <w:i/>
        </w:rPr>
        <w:t xml:space="preserve">v.</w:t>
      </w:r>
      <w:r>
        <w:rPr>
          <w:i/>
        </w:rPr>
        <w:t xml:space="preserve"> </w:t>
      </w:r>
      <w:r>
        <w:rPr>
          <w:i/>
        </w:rPr>
        <w:t xml:space="preserve">Klemp</w:t>
      </w:r>
      <w:r>
        <w:rPr>
          <w:i/>
        </w:rPr>
        <w:t xml:space="preserve"> </w:t>
      </w:r>
      <w:r>
        <w:rPr>
          <w:i/>
        </w:rPr>
        <w:t xml:space="preserve">&amp;</w:t>
      </w:r>
      <w:r>
        <w:rPr>
          <w:i/>
        </w:rPr>
        <w:t xml:space="preserve"> </w:t>
      </w:r>
      <w:r>
        <w:rPr>
          <w:i/>
        </w:rPr>
        <w:t xml:space="preserve">Stanton,</w:t>
      </w:r>
      <w:r>
        <w:rPr>
          <w:i/>
        </w:rPr>
        <w:t xml:space="preserve"> </w:t>
      </w:r>
      <w:r>
        <w:rPr>
          <w:i/>
        </w:rPr>
        <w:t xml:space="preserve">PLLP</w:t>
      </w:r>
      <w:r>
        <w:t xml:space="preserve">,</w:t>
      </w:r>
      <w:r>
        <w:br/>
      </w:r>
      <w:r>
        <w:t xml:space="preserve">2023</w:t>
      </w:r>
      <w:r>
        <w:t xml:space="preserve"> </w:t>
      </w:r>
      <w:r>
        <w:t xml:space="preserve">WL</w:t>
      </w:r>
      <w:r>
        <w:t xml:space="preserve"> </w:t>
      </w:r>
      <w:r>
        <w:t xml:space="preserve">4699769</w:t>
      </w:r>
      <w:r>
        <w:t xml:space="preserve"> </w:t>
      </w:r>
      <w:r>
        <w:t xml:space="preserve">(Minn.</w:t>
      </w:r>
      <w:r>
        <w:t xml:space="preserve"> </w:t>
      </w:r>
      <w:r>
        <w:t xml:space="preserve">Ct.</w:t>
      </w:r>
      <w:r>
        <w:t xml:space="preserve"> </w:t>
      </w:r>
      <w:r>
        <w:t xml:space="preserve">App.</w:t>
      </w:r>
      <w:r>
        <w:t xml:space="preserve"> </w:t>
      </w:r>
      <w:r>
        <w:t xml:space="preserve">2023)</w:t>
      </w:r>
      <w:r>
        <w:t xml:space="preserve">   </w:t>
      </w:r>
      <w:r>
        <w:tab/>
      </w:r>
      <w:r>
        <w:t xml:space="preserve">5</w:t>
      </w:r>
    </w:p>
    <w:p>
      <w:pPr>
        <w:pStyle w:val="CAToaEntry"/>
      </w:pPr>
      <w:r>
        <w:rPr>
          <w:i/>
        </w:rPr>
        <w:t xml:space="preserve">Soboleski</w:t>
      </w:r>
      <w:r>
        <w:rPr>
          <w:i/>
        </w:rPr>
        <w:t xml:space="preserve"> </w:t>
      </w:r>
      <w:r>
        <w:rPr>
          <w:i/>
        </w:rPr>
        <w:t xml:space="preserve">v.</w:t>
      </w:r>
      <w:r>
        <w:rPr>
          <w:i/>
        </w:rPr>
        <w:t xml:space="preserve"> </w:t>
      </w:r>
      <w:r>
        <w:rPr>
          <w:i/>
        </w:rPr>
        <w:t xml:space="preserve">Cassibo</w:t>
      </w:r>
      <w:r>
        <w:t xml:space="preserve">,</w:t>
      </w:r>
      <w:r>
        <w:br/>
      </w:r>
      <w:r>
        <w:t xml:space="preserve">2021</w:t>
      </w:r>
      <w:r>
        <w:t xml:space="preserve"> </w:t>
      </w:r>
      <w:r>
        <w:t xml:space="preserve">WL</w:t>
      </w:r>
      <w:r>
        <w:t xml:space="preserve"> </w:t>
      </w:r>
      <w:r>
        <w:t xml:space="preserve">4145008</w:t>
      </w:r>
      <w:r>
        <w:t xml:space="preserve"> </w:t>
      </w:r>
      <w:r>
        <w:t xml:space="preserve">(Minn.</w:t>
      </w:r>
      <w:r>
        <w:t xml:space="preserve"> </w:t>
      </w:r>
      <w:r>
        <w:t xml:space="preserve">Ct.</w:t>
      </w:r>
      <w:r>
        <w:t xml:space="preserve"> </w:t>
      </w:r>
      <w:r>
        <w:t xml:space="preserve">App.</w:t>
      </w:r>
      <w:r>
        <w:t xml:space="preserve"> </w:t>
      </w:r>
      <w:r>
        <w:t xml:space="preserve">2021)</w:t>
      </w:r>
      <w:r>
        <w:t xml:space="preserve">   </w:t>
      </w:r>
      <w:r>
        <w:tab/>
      </w:r>
      <w:r>
        <w:t xml:space="preserve">5</w:t>
      </w:r>
    </w:p>
    <w:p>
      <w:pPr>
        <w:pStyle w:val="CAToaEntry"/>
      </w:pPr>
      <w:r>
        <w:rPr>
          <w:i/>
        </w:rPr>
        <w:t xml:space="preserve">State</w:t>
      </w:r>
      <w:r>
        <w:rPr>
          <w:i/>
        </w:rPr>
        <w:t xml:space="preserve"> </w:t>
      </w:r>
      <w:r>
        <w:rPr>
          <w:i/>
        </w:rPr>
        <w:t xml:space="preserve">v.</w:t>
      </w:r>
      <w:r>
        <w:rPr>
          <w:i/>
        </w:rPr>
        <w:t xml:space="preserve"> </w:t>
      </w:r>
      <w:r>
        <w:rPr>
          <w:i/>
        </w:rPr>
        <w:t xml:space="preserve">Atwood</w:t>
      </w:r>
      <w:r>
        <w:t xml:space="preserve">,</w:t>
      </w:r>
      <w:r>
        <w:br/>
      </w:r>
      <w:r>
        <w:t xml:space="preserve">925</w:t>
      </w:r>
      <w:r>
        <w:t xml:space="preserve"> </w:t>
      </w:r>
      <w:r>
        <w:t xml:space="preserve">N.W.2d</w:t>
      </w:r>
      <w:r>
        <w:t xml:space="preserve"> </w:t>
      </w:r>
      <w:r>
        <w:t xml:space="preserve">626</w:t>
      </w:r>
      <w:r>
        <w:t xml:space="preserve"> </w:t>
      </w:r>
      <w:r>
        <w:t xml:space="preserve">(Minn.</w:t>
      </w:r>
      <w:r>
        <w:t xml:space="preserve"> </w:t>
      </w:r>
      <w:r>
        <w:t xml:space="preserve">2019)</w:t>
      </w:r>
      <w:r>
        <w:t xml:space="preserve">   </w:t>
      </w:r>
      <w:r>
        <w:tab/>
      </w:r>
      <w:r>
        <w:t xml:space="preserve">4</w:t>
      </w:r>
    </w:p>
    <w:p>
      <w:pPr>
        <w:pStyle w:val="CAToaEntry"/>
      </w:pPr>
      <w:r>
        <w:rPr>
          <w:i/>
        </w:rPr>
        <w:t xml:space="preserve">State</w:t>
      </w:r>
      <w:r>
        <w:rPr>
          <w:i/>
        </w:rPr>
        <w:t xml:space="preserve"> </w:t>
      </w:r>
      <w:r>
        <w:rPr>
          <w:i/>
        </w:rPr>
        <w:t xml:space="preserve">v.</w:t>
      </w:r>
      <w:r>
        <w:rPr>
          <w:i/>
        </w:rPr>
        <w:t xml:space="preserve"> </w:t>
      </w:r>
      <w:r>
        <w:rPr>
          <w:i/>
        </w:rPr>
        <w:t xml:space="preserve">Northrup</w:t>
      </w:r>
      <w:r>
        <w:t xml:space="preserve">,</w:t>
      </w:r>
      <w:r>
        <w:br/>
      </w:r>
      <w:r>
        <w:t xml:space="preserve">2019</w:t>
      </w:r>
      <w:r>
        <w:t xml:space="preserve"> </w:t>
      </w:r>
      <w:r>
        <w:t xml:space="preserve">WL</w:t>
      </w:r>
      <w:r>
        <w:t xml:space="preserve"> </w:t>
      </w:r>
      <w:r>
        <w:t xml:space="preserve">6838485</w:t>
      </w:r>
      <w:r>
        <w:t xml:space="preserve"> </w:t>
      </w:r>
      <w:r>
        <w:t xml:space="preserve">(Minn.</w:t>
      </w:r>
      <w:r>
        <w:t xml:space="preserve"> </w:t>
      </w:r>
      <w:r>
        <w:t xml:space="preserve">Ct.</w:t>
      </w:r>
      <w:r>
        <w:t xml:space="preserve"> </w:t>
      </w:r>
      <w:r>
        <w:t xml:space="preserve">App.</w:t>
      </w:r>
      <w:r>
        <w:t xml:space="preserve"> </w:t>
      </w:r>
      <w:r>
        <w:t xml:space="preserve">2019)</w:t>
      </w:r>
      <w:r>
        <w:t xml:space="preserve">   </w:t>
      </w:r>
      <w:r>
        <w:tab/>
      </w:r>
      <w:r>
        <w:t xml:space="preserve">5</w:t>
      </w:r>
    </w:p>
    <w:p>
      <w:pPr>
        <w:pStyle w:val="CAToaEntry"/>
      </w:pPr>
      <w:r>
        <w:rPr>
          <w:i/>
        </w:rPr>
        <w:t xml:space="preserve">Town</w:t>
      </w:r>
      <w:r>
        <w:rPr>
          <w:i/>
        </w:rPr>
        <w:t xml:space="preserve"> </w:t>
      </w:r>
      <w:r>
        <w:rPr>
          <w:i/>
        </w:rPr>
        <w:t xml:space="preserve">of</w:t>
      </w:r>
      <w:r>
        <w:rPr>
          <w:i/>
        </w:rPr>
        <w:t xml:space="preserve"> </w:t>
      </w:r>
      <w:r>
        <w:rPr>
          <w:i/>
        </w:rPr>
        <w:t xml:space="preserve">Denmark</w:t>
      </w:r>
      <w:r>
        <w:rPr>
          <w:i/>
        </w:rPr>
        <w:t xml:space="preserve"> </w:t>
      </w:r>
      <w:r>
        <w:rPr>
          <w:i/>
        </w:rPr>
        <w:t xml:space="preserve">v.</w:t>
      </w:r>
      <w:r>
        <w:rPr>
          <w:i/>
        </w:rPr>
        <w:t xml:space="preserve"> </w:t>
      </w:r>
      <w:r>
        <w:rPr>
          <w:i/>
        </w:rPr>
        <w:t xml:space="preserve">Cordes</w:t>
      </w:r>
      <w:r>
        <w:t xml:space="preserve">,</w:t>
      </w:r>
      <w:r>
        <w:br/>
      </w:r>
      <w:r>
        <w:t xml:space="preserve">2021</w:t>
      </w:r>
      <w:r>
        <w:t xml:space="preserve"> </w:t>
      </w:r>
      <w:r>
        <w:t xml:space="preserve">WL</w:t>
      </w:r>
      <w:r>
        <w:t xml:space="preserve"> </w:t>
      </w:r>
      <w:r>
        <w:t xml:space="preserve">5441817</w:t>
      </w:r>
      <w:r>
        <w:t xml:space="preserve"> </w:t>
      </w:r>
      <w:r>
        <w:t xml:space="preserve">(Minn.</w:t>
      </w:r>
      <w:r>
        <w:t xml:space="preserve"> </w:t>
      </w:r>
      <w:r>
        <w:t xml:space="preserve">Ct.</w:t>
      </w:r>
      <w:r>
        <w:t xml:space="preserve"> </w:t>
      </w:r>
      <w:r>
        <w:t xml:space="preserve">App.</w:t>
      </w:r>
      <w:r>
        <w:t xml:space="preserve"> </w:t>
      </w:r>
      <w:r>
        <w:t xml:space="preserve">2021)</w:t>
      </w:r>
      <w:r>
        <w:t xml:space="preserve">   </w:t>
      </w:r>
      <w:r>
        <w:tab/>
      </w:r>
      <w:r>
        <w:t xml:space="preserve">5</w:t>
      </w:r>
    </w:p>
    <w:p>
      <w:pPr>
        <w:pStyle w:val="CAToaGroup"/>
      </w:pPr>
      <w:r>
        <w:t xml:space="preserve">Statutes:</w:t>
      </w:r>
    </w:p>
    <w:p>
      <w:pPr>
        <w:pStyle w:val="CAToaEntry"/>
      </w:pPr>
      <w:r>
        <w:t xml:space="preserve">15</w:t>
      </w:r>
      <w:r>
        <w:t xml:space="preserve"> </w:t>
      </w:r>
      <w:r>
        <w:t xml:space="preserve">U.S.C.</w:t>
      </w:r>
      <w:r>
        <w:t xml:space="preserve"> </w:t>
      </w:r>
      <w:r>
        <w:t xml:space="preserve">§</w:t>
      </w:r>
      <w:r>
        <w:t xml:space="preserve"> </w:t>
      </w:r>
      <w:r>
        <w:t xml:space="preserve">1692(a)</w:t>
      </w:r>
      <w:r>
        <w:t xml:space="preserve">   </w:t>
      </w:r>
      <w:r>
        <w:tab/>
      </w:r>
      <w:r>
        <w:t xml:space="preserve">1</w:t>
      </w:r>
    </w:p>
    <w:p>
      <w:pPr>
        <w:pStyle w:val="CAToaEntry"/>
      </w:pPr>
      <w:r>
        <w:t xml:space="preserve">15</w:t>
      </w:r>
      <w:r>
        <w:t xml:space="preserve"> </w:t>
      </w:r>
      <w:r>
        <w:t xml:space="preserve">U.S.C.</w:t>
      </w:r>
      <w:r>
        <w:t xml:space="preserve"> </w:t>
      </w:r>
      <w:r>
        <w:t xml:space="preserve">§</w:t>
      </w:r>
      <w:r>
        <w:t xml:space="preserve"> </w:t>
      </w:r>
      <w:r>
        <w:t xml:space="preserve">1692f(1)</w:t>
      </w:r>
      <w:r>
        <w:t xml:space="preserve">   </w:t>
      </w:r>
      <w:r>
        <w:tab/>
      </w:r>
      <w:r>
        <w:t xml:space="preserve">2, 3, 6, 11</w:t>
      </w:r>
    </w:p>
    <w:p>
      <w:pPr>
        <w:pStyle w:val="CAToaEntry"/>
      </w:pPr>
      <w:r>
        <w:t xml:space="preserve">Minn.</w:t>
      </w:r>
      <w:r>
        <w:t xml:space="preserve"> </w:t>
      </w:r>
      <w:r>
        <w:t xml:space="preserve">Stat.</w:t>
      </w:r>
      <w:r>
        <w:t xml:space="preserve"> </w:t>
      </w:r>
      <w:r>
        <w:t xml:space="preserve">§</w:t>
      </w:r>
      <w:r>
        <w:t xml:space="preserve"> </w:t>
      </w:r>
      <w:r>
        <w:t xml:space="preserve">548.101</w:t>
      </w:r>
      <w:r>
        <w:t xml:space="preserve">   </w:t>
      </w:r>
      <w:r>
        <w:tab/>
      </w:r>
      <w:r>
        <w:t xml:space="preserve">7, 8, 9</w:t>
      </w:r>
    </w:p>
    <w:p>
      <w:pPr>
        <w:pStyle w:val="CAToaEntry"/>
      </w:pPr>
      <w:r>
        <w:t xml:space="preserve">Minn.</w:t>
      </w:r>
      <w:r>
        <w:t xml:space="preserve"> </w:t>
      </w:r>
      <w:r>
        <w:t xml:space="preserve">Stat.</w:t>
      </w:r>
      <w:r>
        <w:t xml:space="preserve"> </w:t>
      </w:r>
      <w:r>
        <w:t xml:space="preserve">§</w:t>
      </w:r>
      <w:r>
        <w:t xml:space="preserve"> </w:t>
      </w:r>
      <w:r>
        <w:t xml:space="preserve">548.101(a)⁠(5)</w:t>
      </w:r>
      <w:r>
        <w:t xml:space="preserve">   </w:t>
      </w:r>
      <w:r>
        <w:tab/>
      </w:r>
      <w:r>
        <w:t xml:space="preserve">8</w:t>
      </w:r>
    </w:p>
    <w:p>
      <w:pPr>
        <w:pStyle w:val="CAToaGroup"/>
      </w:pPr>
      <w:r>
        <w:t xml:space="preserve">Rules:</w:t>
      </w:r>
    </w:p>
    <w:p>
      <w:pPr>
        <w:pStyle w:val="CAToaEntry"/>
      </w:pPr>
      <w:r>
        <w:t xml:space="preserve">Minn.</w:t>
      </w:r>
      <w:r>
        <w:t xml:space="preserve"> </w:t>
      </w:r>
      <w:r>
        <w:t xml:space="preserve">R.</w:t>
      </w:r>
      <w:r>
        <w:t xml:space="preserve"> </w:t>
      </w:r>
      <w:r>
        <w:t xml:space="preserve">Civ.</w:t>
      </w:r>
      <w:r>
        <w:t xml:space="preserve"> </w:t>
      </w:r>
      <w:r>
        <w:t xml:space="preserve">P.</w:t>
      </w:r>
      <w:r>
        <w:t xml:space="preserve"> </w:t>
      </w:r>
      <w:r>
        <w:t xml:space="preserve">55.01(a)</w:t>
      </w:r>
      <w:r>
        <w:t xml:space="preserve">   </w:t>
      </w:r>
      <w:r>
        <w:tab/>
      </w:r>
      <w:r>
        <w:t xml:space="preserve">7</w:t>
      </w:r>
    </w:p>
    <w:p>
      <w:pPr>
        <w:pStyle w:val="CAToaGroup"/>
      </w:pPr>
      <w:r>
        <w:t xml:space="preserve">Other Authorities:</w:t>
      </w:r>
    </w:p>
    <w:p>
      <w:pPr>
        <w:pStyle w:val="CAToaEntry"/>
      </w:pPr>
      <w:r>
        <w:t xml:space="preserve">https://⁠files.consumerfinance.gov/​f/201509_cfpb_consent-order-encore-capital-group.pdf</w:t>
      </w:r>
      <w:r>
        <w:t xml:space="preserve">   </w:t>
      </w:r>
      <w:r>
        <w:tab/>
      </w:r>
      <w:r>
        <w:t xml:space="preserve">2</w:t>
      </w:r>
    </w:p>
    <w:p>
      <w:pPr>
        <w:pStyle w:val="CAToaEntry"/>
      </w:pPr>
      <w:r>
        <w:t xml:space="preserve">https://⁠files.consumerfinance.gov/​f/​documents/​cfpb_encore-capital-group-et-al_stipulated-final-judgment-and-order_2020</w:t>
      </w:r>
      <w:r>
        <w:noBreakHyphen/>
      </w:r>
      <w:r>
        <w:t xml:space="preserve">10.pdf</w:t>
      </w:r>
      <w:r>
        <w:t xml:space="preserve">   </w:t>
      </w:r>
      <w:r>
        <w:tab/>
      </w:r>
      <w:r>
        <w:t xml:space="preserve">2</w:t>
      </w:r>
    </w:p>
    <w:p>
      <w:pPr>
        <w:pStyle w:val="CAToaEntry"/>
      </w:pPr>
      <w:r>
        <w:t xml:space="preserve">Muchlinksi,</w:t>
      </w:r>
      <w:r>
        <w:t xml:space="preserve"> </w:t>
      </w:r>
      <w:r>
        <w:t xml:space="preserve">Joe</w:t>
      </w:r>
      <w:r>
        <w:t xml:space="preserve"> </w:t>
      </w:r>
      <w:r>
        <w:t xml:space="preserve">(2015)</w:t>
      </w:r>
      <w:r>
        <w:t xml:space="preserve"> </w:t>
      </w:r>
      <w:r>
        <w:t xml:space="preserve">“Constraining</w:t>
      </w:r>
      <w:r>
        <w:t xml:space="preserve"> </w:t>
      </w:r>
      <w:r>
        <w:t xml:space="preserve">Minnesota’s</w:t>
      </w:r>
      <w:r>
        <w:t xml:space="preserve"> </w:t>
      </w:r>
      <w:r>
        <w:t xml:space="preserve">Hip-Pocket</w:t>
      </w:r>
      <w:r>
        <w:t xml:space="preserve"> </w:t>
      </w:r>
      <w:r>
        <w:t xml:space="preserve">Regime:</w:t>
      </w:r>
      <w:r>
        <w:t xml:space="preserve"> </w:t>
      </w:r>
      <w:r>
        <w:t xml:space="preserve">Too</w:t>
      </w:r>
      <w:r>
        <w:t xml:space="preserve"> </w:t>
      </w:r>
      <w:r>
        <w:t xml:space="preserve">Much</w:t>
      </w:r>
      <w:r>
        <w:t xml:space="preserve"> </w:t>
      </w:r>
      <w:r>
        <w:t xml:space="preserve">or</w:t>
      </w:r>
      <w:r>
        <w:t xml:space="preserve"> </w:t>
      </w:r>
      <w:r>
        <w:t xml:space="preserve">Not</w:t>
      </w:r>
      <w:r>
        <w:t xml:space="preserve"> </w:t>
      </w:r>
      <w:r>
        <w:t xml:space="preserve">Enough?</w:t>
      </w:r>
      <w:r>
        <w:t xml:space="preserve"> </w:t>
      </w:r>
      <w:r>
        <w:t xml:space="preserve">(Or</w:t>
      </w:r>
      <w:r>
        <w:t xml:space="preserve"> </w:t>
      </w:r>
      <w:r>
        <w:t xml:space="preserve">Both?)</w:t>
      </w:r>
      <w:r>
        <w:t xml:space="preserve"> </w:t>
      </w:r>
      <w:r>
        <w:t xml:space="preserve">(Or</w:t>
      </w:r>
      <w:r>
        <w:t xml:space="preserve"> </w:t>
      </w:r>
      <w:r>
        <w:t xml:space="preserve">Neither?)”</w:t>
      </w:r>
      <w:r>
        <w:t xml:space="preserve"> </w:t>
      </w:r>
      <w:r>
        <w:t xml:space="preserve">WILLIAM</w:t>
      </w:r>
      <w:r>
        <w:t xml:space="preserve"> </w:t>
      </w:r>
      <w:r>
        <w:t xml:space="preserve">MITCHEL</w:t>
      </w:r>
      <w:r>
        <w:t xml:space="preserve"> </w:t>
      </w:r>
      <w:r>
        <w:t xml:space="preserve">LAW</w:t>
      </w:r>
      <w:r>
        <w:t xml:space="preserve"> </w:t>
      </w:r>
      <w:r>
        <w:t xml:space="preserve">REVIEW,</w:t>
      </w:r>
      <w:r>
        <w:t xml:space="preserve"> </w:t>
      </w:r>
      <w:r>
        <w:t xml:space="preserve">Vol.</w:t>
      </w:r>
      <w:r>
        <w:t xml:space="preserve"> </w:t>
      </w:r>
      <w:r>
        <w:t xml:space="preserve">41,</w:t>
      </w:r>
      <w:r>
        <w:t xml:space="preserve"> </w:t>
      </w:r>
      <w:r>
        <w:t xml:space="preserve">Issue</w:t>
      </w:r>
      <w:r>
        <w:t xml:space="preserve"> </w:t>
      </w:r>
      <w:r>
        <w:t xml:space="preserve">4</w:t>
      </w:r>
      <w:r>
        <w:t xml:space="preserve">   </w:t>
      </w:r>
      <w:r>
        <w:tab/>
      </w:r>
      <w:r>
        <w:t xml:space="preserve">6</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
        <w:keepNext/>
        <w:spacing w:before="0" w:after="308" w:line="340" w:lineRule="exact"/>
      </w:pPr>
      <w:r>
        <w:t xml:space="preserve">Argument</w:t>
      </w:r>
    </w:p>
    <w:p>
      <w:pPr>
        <w:pStyle w:val="CAHeadL2S0"/>
        <w:keepNext/>
      </w:pPr>
      <w:r>
        <w:t xml:space="preserve">A.</w:t>
      </w:r>
      <w:r>
        <w:tab/>
      </w:r>
      <w:r>
        <w:t xml:space="preserve">THE</w:t>
      </w:r>
      <w:r>
        <w:t xml:space="preserve"> </w:t>
      </w:r>
      <w:r>
        <w:t xml:space="preserve">FDCPA</w:t>
      </w:r>
      <w:r>
        <w:t xml:space="preserve"> </w:t>
      </w:r>
      <w:r>
        <w:t xml:space="preserve">IS</w:t>
      </w:r>
      <w:r>
        <w:t xml:space="preserve"> </w:t>
      </w:r>
      <w:r>
        <w:t xml:space="preserve">A</w:t>
      </w:r>
      <w:r>
        <w:t xml:space="preserve"> </w:t>
      </w:r>
      <w:r>
        <w:t xml:space="preserve">CONSUMER</w:t>
      </w:r>
      <w:r>
        <w:t xml:space="preserve"> </w:t>
      </w:r>
      <w:r>
        <w:t xml:space="preserve">PROTECTION</w:t>
      </w:r>
      <w:r>
        <w:t xml:space="preserve"> </w:t>
      </w:r>
      <w:r>
        <w:t xml:space="preserve">STATUTE.</w:t>
      </w:r>
    </w:p>
    <w:p>
      <w:pPr>
        <w:pStyle w:val="FirstParagraph"/>
      </w:pPr>
      <w:r>
        <w:t xml:space="preserve">Appellee characterizes the FDCPA as a statute designed to protect creditors from “retribution in the form of follow-on, collateral attacks on [collection litigation] as a means to avoid just and owing debts….” Brief of Appellee, p. 4. There is no reference anywhere in the language of the FDCPA to “follow-on, collateral attacks.” To the contrary, the U.S. Supreme Court has long held that the FDCPA was enacted to protect consumers, and applies to debt collectors’ litigation conduct and thus gives rise to “follow-on, collateral attacks,” i.e., federal challenges to debt collectors’ conduct in state collection litigation.</w:t>
      </w:r>
      <w:r>
        <w:t xml:space="preserve"> </w:t>
      </w:r>
      <w:r>
        <w:rPr>
          <w:i/>
          <w:iCs/>
        </w:rPr>
        <w:t xml:space="preserve">See</w:t>
      </w:r>
      <w:r>
        <w:t xml:space="preserve"> </w:t>
      </w:r>
      <w:r>
        <w:rPr>
          <w:i/>
          <w:iCs/>
        </w:rPr>
        <w:t xml:space="preserve">Heintz v. Jenkins</w:t>
      </w:r>
      <w:r>
        <w:t xml:space="preserve">, 514 U.S. 291, 299 (1995).</w:t>
      </w:r>
    </w:p>
    <w:p>
      <w:pPr>
        <w:pStyle w:val="BodyText"/>
      </w:pPr>
      <w:r>
        <w:t xml:space="preserve">Appellee mischaracterizes the central purpose of the Act, which is the protection of consumers. “The purpose of the FDCPA is to ‘eliminate abusive debt collection practices by debt collectors’…..”</w:t>
      </w:r>
      <w:r>
        <w:t xml:space="preserve"> </w:t>
      </w:r>
      <w:r>
        <w:rPr>
          <w:i/>
          <w:iCs/>
        </w:rPr>
        <w:t xml:space="preserve">Richmond v. Higgins</w:t>
      </w:r>
      <w:r>
        <w:t xml:space="preserve">, 435 F.3d 825, 828 (8th Cir. 2006) (citing 15 U.S.C. § 1692(a)).</w:t>
      </w:r>
      <w:r>
        <w:t xml:space="preserve"> </w:t>
      </w:r>
      <w:r>
        <w:rPr>
          <w:i/>
          <w:iCs/>
        </w:rPr>
        <w:t xml:space="preserve">See also</w:t>
      </w:r>
      <w:r>
        <w:t xml:space="preserve"> </w:t>
      </w:r>
      <w:r>
        <w:rPr>
          <w:i/>
          <w:iCs/>
        </w:rPr>
        <w:t xml:space="preserve">Peters v. Gen. Svc. Bureau, Inc.</w:t>
      </w:r>
      <w:r>
        <w:t xml:space="preserve">, 277 F.3d 1051, 1057 (8th Cir. 2002) (“The FDCPA is designed to protect consumers from abusive debt collection practices and to protect ethical debt collectors from competitive disadvantage.”)</w:t>
      </w:r>
    </w:p>
    <w:p>
      <w:pPr>
        <w:pStyle w:val="BodyText"/>
      </w:pPr>
      <w:r>
        <w:t xml:space="preserve">The overall theme of Appellee’s response – that the FDCPA exists to protect Appellee’s ability to collect debts in state court without fear of a federal lawsuit, and that the present case is Appellant’s effort to “avoid just and owing debts” – suffers from at least two faulty assumptions. First, while this appeal concerns a procedural defense to Appellant’s claim, Appellee asks this Court to presume that Appellant’s 15 U.S.C. § 1692f(1) claim – based on an allegation that Appellee sued her without owning the alleged debt – is factually and substantively meritless. For present purposes, however, the truth of Appellant’s factual allegations is what must be presumed.</w:t>
      </w:r>
      <w:r>
        <w:t xml:space="preserve"> </w:t>
      </w:r>
      <w:r>
        <w:rPr>
          <w:i/>
          <w:iCs/>
        </w:rPr>
        <w:t xml:space="preserve">See</w:t>
      </w:r>
      <w:r>
        <w:t xml:space="preserve"> </w:t>
      </w:r>
      <w:r>
        <w:rPr>
          <w:i/>
          <w:iCs/>
        </w:rPr>
        <w:t xml:space="preserve">Ashley County, Ark. v. Pfizer, Inc.</w:t>
      </w:r>
      <w:r>
        <w:t xml:space="preserve">, 552 F.3d 659, 665 (8th Cir. 2009) (motion for judgment on the pleadings “require[s] the court to accept as true all factual allegations set out in the complaint in the light most favorable to the plaintiffs, drawing all inferences in their favor”) (citations omitted).</w:t>
      </w:r>
    </w:p>
    <w:p>
      <w:pPr>
        <w:pStyle w:val="BodyText"/>
      </w:pPr>
      <w:r>
        <w:t xml:space="preserve">Second, Appellee’s repeated references to itself as a one of the “debt collectors who observe fair, lawful collection practices” (Appellee’s Brief, p. 4) does not withstand scrutiny. In 2015, the Consumer Financial Protection Bureau (CFPB) brought an action against Appellee and its parent corporation Encore for violations of the FDCPA. The action resulted in a consent order with Appellee paying over $52 million. The Consent Order is available at: https://⁠files.consumerfinance.gov/​f/201509_cfpb_consent-order-encore-capital-group.pdf. The Consent Order identifies a number of violations of the FDCPA by Appellee.</w:t>
      </w:r>
      <w:r>
        <w:t xml:space="preserve"> </w:t>
      </w:r>
      <w:r>
        <w:rPr>
          <w:i/>
          <w:iCs/>
        </w:rPr>
        <w:t xml:space="preserve">Id.</w:t>
      </w:r>
      <w:r>
        <w:t xml:space="preserve"> </w:t>
      </w:r>
      <w:r>
        <w:t xml:space="preserve">at 24 – 30.</w:t>
      </w:r>
    </w:p>
    <w:p>
      <w:pPr>
        <w:pStyle w:val="BodyText"/>
      </w:pPr>
      <w:r>
        <w:t xml:space="preserve">In 2020, the CFPB brought another action against Appellee and Encore for violations of the previous consent order and the FDCPA. This action resulted in a stipulated final judgment and order with Appellee paying over $15 million. A copy of the Final Judgment and Order is available at: https://⁠files.consumerfinance.gov/​f/​documents/​cfpb_encore-capital-group-et-al_stipulated-final-judgment-and-order_2020</w:t>
      </w:r>
      <w:r>
        <w:noBreakHyphen/>
      </w:r>
      <w:r>
        <w:t xml:space="preserve">10.pdf.</w:t>
      </w:r>
    </w:p>
    <w:p>
      <w:pPr>
        <w:pStyle w:val="CAHeadL2S0"/>
        <w:keepNext/>
      </w:pPr>
      <w:r>
        <w:t xml:space="preserve">B.</w:t>
      </w:r>
      <w:r>
        <w:tab/>
      </w:r>
      <w:r>
        <w:t xml:space="preserve">APPELLEE</w:t>
      </w:r>
      <w:r>
        <w:t xml:space="preserve"> </w:t>
      </w:r>
      <w:r>
        <w:t xml:space="preserve">CONCEDES</w:t>
      </w:r>
      <w:r>
        <w:t xml:space="preserve"> </w:t>
      </w:r>
      <w:r>
        <w:t xml:space="preserve">SEVERAL</w:t>
      </w:r>
      <w:r>
        <w:t xml:space="preserve"> </w:t>
      </w:r>
      <w:r>
        <w:t xml:space="preserve">ISSUES.</w:t>
      </w:r>
    </w:p>
    <w:p>
      <w:pPr>
        <w:pStyle w:val="BodyText"/>
      </w:pPr>
      <w:r>
        <w:t xml:space="preserve">In light of arguments not raised in Appellee’s response, several issues are not presently in dispute. “Ordinarily, [the] ‘failure to raise or discuss an issue in [a] brief [would] be deemed an abandonment of that issue.’”</w:t>
      </w:r>
      <w:r>
        <w:t xml:space="preserve"> </w:t>
      </w:r>
      <w:r>
        <w:rPr>
          <w:i/>
          <w:iCs/>
        </w:rPr>
        <w:t xml:space="preserve">Mark v. Ault</w:t>
      </w:r>
      <w:r>
        <w:t xml:space="preserve">, 498 F.3d 775, 786 (8th Cir. 2007) (citing</w:t>
      </w:r>
      <w:r>
        <w:t xml:space="preserve"> </w:t>
      </w:r>
      <w:r>
        <w:rPr>
          <w:i/>
          <w:iCs/>
        </w:rPr>
        <w:t xml:space="preserve">Hacker v. Barnhart</w:t>
      </w:r>
      <w:r>
        <w:t xml:space="preserve">, 459 F.3d 934, 937 n.2 (8th Cir. 2006)).</w:t>
      </w:r>
    </w:p>
    <w:p>
      <w:pPr>
        <w:pStyle w:val="BodyText"/>
      </w:pPr>
      <w:r>
        <w:t xml:space="preserve">Nowhere in Appellee’s response does it contest that: (1) Appellant has standing to bring her FDCPA claim; (2) attempting to collect a debt not actually owned by Appellee as asserted in the complaint is a valid 1692f(1) claim; (3) the Minnesota Supreme Court in Hauschildt adopted a “distinctly contested” and “directly determined” standard; and (4) under the standard adopted by the Supreme Court in Hauschildt, the district court’s decision in this case is erroneous.</w:t>
      </w:r>
    </w:p>
    <w:p>
      <w:pPr>
        <w:pStyle w:val="CAHeadL2S0"/>
        <w:keepNext/>
      </w:pPr>
      <w:r>
        <w:t xml:space="preserve">C.</w:t>
      </w:r>
      <w:r>
        <w:tab/>
      </w:r>
      <w:r>
        <w:t xml:space="preserve">APPELLEE</w:t>
      </w:r>
      <w:r>
        <w:t xml:space="preserve"> </w:t>
      </w:r>
      <w:r>
        <w:t xml:space="preserve">FAILED</w:t>
      </w:r>
      <w:r>
        <w:t xml:space="preserve"> </w:t>
      </w:r>
      <w:r>
        <w:t xml:space="preserve">TO</w:t>
      </w:r>
      <w:r>
        <w:t xml:space="preserve"> </w:t>
      </w:r>
      <w:r>
        <w:t xml:space="preserve">CARRY</w:t>
      </w:r>
      <w:r>
        <w:t xml:space="preserve"> </w:t>
      </w:r>
      <w:r>
        <w:t xml:space="preserve">ITS</w:t>
      </w:r>
      <w:r>
        <w:t xml:space="preserve"> </w:t>
      </w:r>
      <w:r>
        <w:t xml:space="preserve">BURDEN</w:t>
      </w:r>
      <w:r>
        <w:t xml:space="preserve"> </w:t>
      </w:r>
      <w:r>
        <w:t xml:space="preserve">TO</w:t>
      </w:r>
      <w:r>
        <w:t xml:space="preserve"> </w:t>
      </w:r>
      <w:r>
        <w:t xml:space="preserve">ESTABLISH</w:t>
      </w:r>
      <w:r>
        <w:t xml:space="preserve"> </w:t>
      </w:r>
      <w:r>
        <w:t xml:space="preserve">COLLATERAL</w:t>
      </w:r>
      <w:r>
        <w:t xml:space="preserve"> </w:t>
      </w:r>
      <w:r>
        <w:t xml:space="preserve">ESTOPPEL.</w:t>
      </w:r>
    </w:p>
    <w:p>
      <w:pPr>
        <w:pStyle w:val="BodyText"/>
      </w:pPr>
      <w:r>
        <w:t xml:space="preserve">As acknowledged by Appellee, the Minnesota Supreme Court has held that for collateral estoppel to apply, the identical issue must have been “distinctly contested and directly determined” in the earlier adjudication.</w:t>
      </w:r>
      <w:r>
        <w:t xml:space="preserve"> </w:t>
      </w:r>
      <w:r>
        <w:rPr>
          <w:i/>
          <w:iCs/>
        </w:rPr>
        <w:t xml:space="preserve">Hauschildt v. Beckingham</w:t>
      </w:r>
      <w:r>
        <w:t xml:space="preserve">, 686 N.W.2d 829, 837 (Minn. 2004).</w:t>
      </w:r>
    </w:p>
    <w:p>
      <w:pPr>
        <w:pStyle w:val="BodyText"/>
      </w:pPr>
      <w:r>
        <w:t xml:space="preserve">Conceding that it cannot meet this standard, Appellee insists that the Minnesota Supreme Court – sub silentio – overruled Hauschildt in</w:t>
      </w:r>
      <w:r>
        <w:t xml:space="preserve"> </w:t>
      </w:r>
      <w:r>
        <w:rPr>
          <w:i/>
          <w:iCs/>
        </w:rPr>
        <w:t xml:space="preserve">Mach v. Wells Concrete Prods. Co.</w:t>
      </w:r>
      <w:r>
        <w:t xml:space="preserve">, 866 N.W.2d 921, 927 (Minn. 2015), eliminating the “distinctly contested and directly determined” requirement and replacing it entirely with a lower standard of “actually presented and necessarily determined.” Appellee’s Brief, pp. 12</w:t>
      </w:r>
      <w:r>
        <w:noBreakHyphen/>
      </w:r>
      <w:r>
        <w:t xml:space="preserve">13.</w:t>
      </w:r>
    </w:p>
    <w:p>
      <w:pPr>
        <w:pStyle w:val="BodyText"/>
      </w:pPr>
      <w:r>
        <w:t xml:space="preserve">In light of Appellee’s concessions described above, the outcome of this appeal is therefore dictated by two questions, both of which Appellee must prevail on in order to avoid reversal. First, did the Minnesota Supreme Court change the Hauschildt standard for collateral estoppel in Mach? Second, even assuming the answer is yes, does an unsigned “judgment roll” document from a county clerk constitute conclusive evidence that the issue of ownership was “actually presented and necessarily determined” by the state court? The answer to both questions is no.</w:t>
      </w:r>
    </w:p>
    <w:p>
      <w:pPr>
        <w:pStyle w:val="CAHeadL3S1"/>
        <w:keepNext/>
      </w:pPr>
      <w:r>
        <w:t xml:space="preserve">1.</w:t>
      </w:r>
      <w:r>
        <w:tab/>
      </w:r>
      <w:r>
        <w:t xml:space="preserve">Mach</w:t>
      </w:r>
      <w:r>
        <w:t xml:space="preserve"> </w:t>
      </w:r>
      <w:r>
        <w:t xml:space="preserve">Did</w:t>
      </w:r>
      <w:r>
        <w:t xml:space="preserve"> </w:t>
      </w:r>
      <w:r>
        <w:t xml:space="preserve">Not</w:t>
      </w:r>
      <w:r>
        <w:t xml:space="preserve"> </w:t>
      </w:r>
      <w:r>
        <w:t xml:space="preserve">Overrule</w:t>
      </w:r>
      <w:r>
        <w:t xml:space="preserve"> </w:t>
      </w:r>
      <w:r>
        <w:t xml:space="preserve">Hauschildt.</w:t>
      </w:r>
    </w:p>
    <w:p>
      <w:pPr>
        <w:pStyle w:val="BodyText"/>
      </w:pPr>
      <w:r>
        <w:t xml:space="preserve">The Minnesota Supreme Court in</w:t>
      </w:r>
      <w:r>
        <w:t xml:space="preserve"> </w:t>
      </w:r>
      <w:r>
        <w:rPr>
          <w:i/>
          <w:iCs/>
        </w:rPr>
        <w:t xml:space="preserve">Mach</w:t>
      </w:r>
      <w:r>
        <w:t xml:space="preserve"> </w:t>
      </w:r>
      <w:r>
        <w:t xml:space="preserve">did not silently lower the established standard for collateral estoppel under Minnesota law. The Supreme Court in</w:t>
      </w:r>
      <w:r>
        <w:t xml:space="preserve"> </w:t>
      </w:r>
      <w:r>
        <w:rPr>
          <w:i/>
          <w:iCs/>
        </w:rPr>
        <w:t xml:space="preserve">Mach</w:t>
      </w:r>
      <w:r>
        <w:t xml:space="preserve"> </w:t>
      </w:r>
      <w:r>
        <w:t xml:space="preserve">did not expressly discuss, much less reject, the standard from Hauschildt. In fact, the Supreme Court in</w:t>
      </w:r>
      <w:r>
        <w:t xml:space="preserve"> </w:t>
      </w:r>
      <w:r>
        <w:rPr>
          <w:i/>
          <w:iCs/>
        </w:rPr>
        <w:t xml:space="preserve">Mach</w:t>
      </w:r>
      <w:r>
        <w:t xml:space="preserve"> </w:t>
      </w:r>
      <w:r>
        <w:t xml:space="preserve">reversed the Court of Appeals’ application of collateral estoppel, holding that “collateral estoppel does not apply to bar a claim for reimbursement of medical expenses for treatment received when an employee’s medical condition has changed.”</w:t>
      </w:r>
      <w:r>
        <w:t xml:space="preserve"> </w:t>
      </w:r>
      <w:r>
        <w:rPr>
          <w:i/>
          <w:iCs/>
        </w:rPr>
        <w:t xml:space="preserve">Mach</w:t>
      </w:r>
      <w:r>
        <w:t xml:space="preserve">, 866 N.W.2d at 928. Because the prior litigation did not even meet the lower standard of having “actually presented and necessarily determined” the same factual issues, the discussion of a lower standard was, by definition, dicta.</w:t>
      </w:r>
      <w:r>
        <w:t xml:space="preserve"> </w:t>
      </w:r>
      <w:r>
        <w:rPr>
          <w:i/>
          <w:iCs/>
        </w:rPr>
        <w:t xml:space="preserve">See</w:t>
      </w:r>
      <w:r>
        <w:t xml:space="preserve"> </w:t>
      </w:r>
      <w:r>
        <w:rPr>
          <w:i/>
          <w:iCs/>
        </w:rPr>
        <w:t xml:space="preserve">State v. Atwood</w:t>
      </w:r>
      <w:r>
        <w:t xml:space="preserve">, 925 N.W.2d 626, 629 (Minn. 2019) (statements not necessary to the decision in the case are non-binding dicta).</w:t>
      </w:r>
    </w:p>
    <w:p>
      <w:pPr>
        <w:pStyle w:val="BodyText"/>
      </w:pPr>
      <w:r>
        <w:t xml:space="preserve">If</w:t>
      </w:r>
      <w:r>
        <w:t xml:space="preserve"> </w:t>
      </w:r>
      <w:r>
        <w:rPr>
          <w:i/>
          <w:iCs/>
        </w:rPr>
        <w:t xml:space="preserve">Mach</w:t>
      </w:r>
      <w:r>
        <w:t xml:space="preserve"> </w:t>
      </w:r>
      <w:r>
        <w:t xml:space="preserve">truly overruled Hauschildt with regard to the established collateral estoppel standard, that would certainly be news to the Minnesota courts. Indeed, there are no fewer than 19 Minnesota Court of Appeals decisions (and one Federal District Court of Minnesota decision)</w:t>
      </w:r>
      <w:r>
        <w:rPr>
          <w:rStyle w:val="FootnoteReference"/>
        </w:rPr>
        <w:footnoteReference w:id="9"/>
      </w:r>
      <w:r>
        <w:t xml:space="preserve"> </w:t>
      </w:r>
      <w:r>
        <w:t xml:space="preserve">post-</w:t>
      </w:r>
      <w:r>
        <w:rPr>
          <w:i/>
          <w:iCs/>
        </w:rPr>
        <w:t xml:space="preserve">Mach</w:t>
      </w:r>
      <w:r>
        <w:t xml:space="preserve"> </w:t>
      </w:r>
      <w:r>
        <w:t xml:space="preserve">that have cited the (purportedly overruled) Hauschildt legal standard.</w:t>
      </w:r>
      <w:r>
        <w:t xml:space="preserve"> </w:t>
      </w:r>
      <w:r>
        <w:rPr>
          <w:i/>
          <w:iCs/>
        </w:rPr>
        <w:t xml:space="preserve">See</w:t>
      </w:r>
      <w:r>
        <w:t xml:space="preserve"> </w:t>
      </w:r>
      <w:r>
        <w:rPr>
          <w:i/>
          <w:iCs/>
        </w:rPr>
        <w:t xml:space="preserve">Kemp v. State Farm Ins. Co.</w:t>
      </w:r>
      <w:r>
        <w:t xml:space="preserve">, 2023 WL 1770431, *3 (Minn. Ct. App. 2023);</w:t>
      </w:r>
      <w:r>
        <w:t xml:space="preserve"> </w:t>
      </w:r>
      <w:r>
        <w:rPr>
          <w:i/>
          <w:iCs/>
        </w:rPr>
        <w:t xml:space="preserve">Lariat Cos. v. Wrigley</w:t>
      </w:r>
      <w:r>
        <w:t xml:space="preserve">, 2023 WL 2127379, *3 (Minn. Ct. App. 2023);</w:t>
      </w:r>
      <w:r>
        <w:t xml:space="preserve"> </w:t>
      </w:r>
      <w:r>
        <w:rPr>
          <w:i/>
          <w:iCs/>
        </w:rPr>
        <w:t xml:space="preserve">Shimota v. Klemp &amp; Stanton, PLLP</w:t>
      </w:r>
      <w:r>
        <w:t xml:space="preserve">, 2023 WL 4699769, *3 (Minn. Ct. App. 2023);</w:t>
      </w:r>
      <w:r>
        <w:t xml:space="preserve"> </w:t>
      </w:r>
      <w:r>
        <w:rPr>
          <w:i/>
          <w:iCs/>
        </w:rPr>
        <w:t xml:space="preserve">Husten v. Schnell</w:t>
      </w:r>
      <w:r>
        <w:t xml:space="preserve">, 969 N.W.2d 851, 860 (Minn. Ct. App. 2021);</w:t>
      </w:r>
      <w:r>
        <w:t xml:space="preserve"> </w:t>
      </w:r>
      <w:r>
        <w:rPr>
          <w:i/>
          <w:iCs/>
        </w:rPr>
        <w:t xml:space="preserve">Town of Denmark v. Cordes</w:t>
      </w:r>
      <w:r>
        <w:t xml:space="preserve">, 2021 WL 5441817, *4 (Minn. Ct. App. 2021);</w:t>
      </w:r>
      <w:r>
        <w:t xml:space="preserve"> </w:t>
      </w:r>
      <w:r>
        <w:rPr>
          <w:i/>
          <w:iCs/>
        </w:rPr>
        <w:t xml:space="preserve">Bradley v. Haislet</w:t>
      </w:r>
      <w:r>
        <w:t xml:space="preserve">, 2021 WL 2793723, *7 (Minn. Ct. App. 2021);</w:t>
      </w:r>
      <w:r>
        <w:t xml:space="preserve"> </w:t>
      </w:r>
      <w:r>
        <w:rPr>
          <w:i/>
          <w:iCs/>
        </w:rPr>
        <w:t xml:space="preserve">Soboleski v. Cassibo</w:t>
      </w:r>
      <w:r>
        <w:t xml:space="preserve">, 2021 WL 4145008, *4 (Minn. Ct. App. 2021);</w:t>
      </w:r>
      <w:r>
        <w:t xml:space="preserve"> </w:t>
      </w:r>
      <w:r>
        <w:rPr>
          <w:i/>
          <w:iCs/>
        </w:rPr>
        <w:t xml:space="preserve">Fagre v. Fagre</w:t>
      </w:r>
      <w:r>
        <w:t xml:space="preserve">, 2020 WL 4932842, *3 (Minn. Ct. App. 2020);</w:t>
      </w:r>
      <w:r>
        <w:t xml:space="preserve"> </w:t>
      </w:r>
      <w:r>
        <w:rPr>
          <w:i/>
          <w:iCs/>
        </w:rPr>
        <w:t xml:space="preserve">Great Plains Ed. Found., Inc. v. Student Loan Fin. Corp.</w:t>
      </w:r>
      <w:r>
        <w:t xml:space="preserve">, 954 N.W.2d 844, 852 (Minn. Ct. App. 2020);</w:t>
      </w:r>
      <w:r>
        <w:t xml:space="preserve"> </w:t>
      </w:r>
      <w:r>
        <w:rPr>
          <w:i/>
          <w:iCs/>
        </w:rPr>
        <w:t xml:space="preserve">Friends of Tower Hill Park v. Foxfire Props., LLC</w:t>
      </w:r>
      <w:r>
        <w:t xml:space="preserve">, 2020 WL 994767, *2 (Minn. Ct. App. 2020);</w:t>
      </w:r>
      <w:r>
        <w:t xml:space="preserve"> </w:t>
      </w:r>
      <w:r>
        <w:rPr>
          <w:i/>
          <w:iCs/>
        </w:rPr>
        <w:t xml:space="preserve">State v. Northrup</w:t>
      </w:r>
      <w:r>
        <w:t xml:space="preserve">, 2019 WL 6838485, *8 (Minn. Ct. App. 2019);</w:t>
      </w:r>
      <w:r>
        <w:t xml:space="preserve"> </w:t>
      </w:r>
      <w:r>
        <w:rPr>
          <w:i/>
          <w:iCs/>
        </w:rPr>
        <w:t xml:space="preserve">In re Estate of Chisolm</w:t>
      </w:r>
      <w:r>
        <w:t xml:space="preserve">, 2018 WL 492614, *5 (Minn. Ct. App. 2018);</w:t>
      </w:r>
      <w:r>
        <w:t xml:space="preserve"> </w:t>
      </w:r>
      <w:r>
        <w:rPr>
          <w:i/>
          <w:iCs/>
        </w:rPr>
        <w:t xml:space="preserve">All Finish Concrete, Inc. v. Erickson</w:t>
      </w:r>
      <w:r>
        <w:t xml:space="preserve">, 899 N.W.2d 557, 567 (Minn. Ct. App. 2017);</w:t>
      </w:r>
      <w:r>
        <w:t xml:space="preserve"> </w:t>
      </w:r>
      <w:r>
        <w:rPr>
          <w:i/>
          <w:iCs/>
        </w:rPr>
        <w:t xml:space="preserve">Isanti Pines Tree Farm, LLC v. Swanson</w:t>
      </w:r>
      <w:r>
        <w:t xml:space="preserve">, 2017 WL 1436094, *4 (Minn. Ct. App. 2017);</w:t>
      </w:r>
      <w:r>
        <w:t xml:space="preserve"> </w:t>
      </w:r>
      <w:r>
        <w:rPr>
          <w:i/>
          <w:iCs/>
        </w:rPr>
        <w:t xml:space="preserve">Reichel Investments, L.P. v. Reichel</w:t>
      </w:r>
      <w:r>
        <w:t xml:space="preserve">, 2016 WL 3884552, *5 (Minn. Ct. App. 2016);</w:t>
      </w:r>
      <w:r>
        <w:t xml:space="preserve"> </w:t>
      </w:r>
      <w:r>
        <w:rPr>
          <w:i/>
          <w:iCs/>
        </w:rPr>
        <w:t xml:space="preserve">S. Robideau Constr., Inc. v. Hiber</w:t>
      </w:r>
      <w:r>
        <w:t xml:space="preserve">, 2016 WL 4497583, *2 (Minn. Ct. App. 2016);</w:t>
      </w:r>
      <w:r>
        <w:t xml:space="preserve"> </w:t>
      </w:r>
      <w:r>
        <w:rPr>
          <w:i/>
          <w:iCs/>
        </w:rPr>
        <w:t xml:space="preserve">Johnson v. Township of Florence</w:t>
      </w:r>
      <w:r>
        <w:t xml:space="preserve">, 2016 WL 2946248, *3 (Minn. Ct. App. 2016);</w:t>
      </w:r>
      <w:r>
        <w:t xml:space="preserve"> </w:t>
      </w:r>
      <w:r>
        <w:rPr>
          <w:i/>
          <w:iCs/>
        </w:rPr>
        <w:t xml:space="preserve">Scheffler v. Comm’r of Pub. Safety</w:t>
      </w:r>
      <w:r>
        <w:t xml:space="preserve">, 2015 WL 9437562, *7 (Minn. Ct. App. 2015);</w:t>
      </w:r>
      <w:r>
        <w:t xml:space="preserve"> </w:t>
      </w:r>
      <w:r>
        <w:rPr>
          <w:i/>
          <w:iCs/>
        </w:rPr>
        <w:t xml:space="preserve">In re Trust Agreement of Johnson</w:t>
      </w:r>
      <w:r>
        <w:t xml:space="preserve">, 2015 WL 4715341, *4 (Minn. Ct. App. 2015).</w:t>
      </w:r>
    </w:p>
    <w:p>
      <w:pPr>
        <w:pStyle w:val="BodyText"/>
      </w:pPr>
      <w:r>
        <w:t xml:space="preserve">For collateral estoppel, Minnesota law requires that the issue in question be distinctly contested and directly determined in the previous action.</w:t>
      </w:r>
      <w:r>
        <w:t xml:space="preserve"> </w:t>
      </w:r>
      <w:r>
        <w:rPr>
          <w:i/>
          <w:iCs/>
        </w:rPr>
        <w:t xml:space="preserve">Hauschildt</w:t>
      </w:r>
      <w:r>
        <w:t xml:space="preserve">, 686 N.W.2d at 837. There can be no reasonable dispute that the factual issues raised in Appellant’s 1692f(1) claim were not “distinctly contested and directly determined” in state court. This alone requires reversal of the district court’s ruling.</w:t>
      </w:r>
    </w:p>
    <w:p>
      <w:pPr>
        <w:pStyle w:val="CAHeadL3S1"/>
        <w:keepNext/>
      </w:pPr>
      <w:r>
        <w:t xml:space="preserve">2.</w:t>
      </w:r>
      <w:r>
        <w:tab/>
      </w:r>
      <w:r>
        <w:t xml:space="preserve">A</w:t>
      </w:r>
      <w:r>
        <w:t xml:space="preserve"> </w:t>
      </w:r>
      <w:r>
        <w:t xml:space="preserve">County</w:t>
      </w:r>
      <w:r>
        <w:t xml:space="preserve"> </w:t>
      </w:r>
      <w:r>
        <w:t xml:space="preserve">Clerk’s</w:t>
      </w:r>
      <w:r>
        <w:t xml:space="preserve"> </w:t>
      </w:r>
      <w:r>
        <w:t xml:space="preserve">“Judgment</w:t>
      </w:r>
      <w:r>
        <w:t xml:space="preserve"> </w:t>
      </w:r>
      <w:r>
        <w:t xml:space="preserve">Roll”</w:t>
      </w:r>
      <w:r>
        <w:t xml:space="preserve"> </w:t>
      </w:r>
      <w:r>
        <w:t xml:space="preserve">Entry</w:t>
      </w:r>
      <w:r>
        <w:t xml:space="preserve"> </w:t>
      </w:r>
      <w:r>
        <w:t xml:space="preserve">Does</w:t>
      </w:r>
      <w:r>
        <w:t xml:space="preserve"> </w:t>
      </w:r>
      <w:r>
        <w:t xml:space="preserve">Not</w:t>
      </w:r>
      <w:r>
        <w:t xml:space="preserve"> </w:t>
      </w:r>
      <w:r>
        <w:t xml:space="preserve">Mean</w:t>
      </w:r>
      <w:r>
        <w:t xml:space="preserve"> </w:t>
      </w:r>
      <w:r>
        <w:t xml:space="preserve">That</w:t>
      </w:r>
      <w:r>
        <w:t xml:space="preserve"> </w:t>
      </w:r>
      <w:r>
        <w:t xml:space="preserve">All</w:t>
      </w:r>
      <w:r>
        <w:t xml:space="preserve"> </w:t>
      </w:r>
      <w:r>
        <w:t xml:space="preserve">Issues</w:t>
      </w:r>
      <w:r>
        <w:t xml:space="preserve"> </w:t>
      </w:r>
      <w:r>
        <w:t xml:space="preserve">Were</w:t>
      </w:r>
      <w:r>
        <w:t xml:space="preserve"> </w:t>
      </w:r>
      <w:r>
        <w:t xml:space="preserve">“Necessarily</w:t>
      </w:r>
      <w:r>
        <w:t xml:space="preserve"> </w:t>
      </w:r>
      <w:r>
        <w:t xml:space="preserve">Decided”</w:t>
      </w:r>
      <w:r>
        <w:t xml:space="preserve"> </w:t>
      </w:r>
      <w:r>
        <w:t xml:space="preserve">for</w:t>
      </w:r>
      <w:r>
        <w:t xml:space="preserve"> </w:t>
      </w:r>
      <w:r>
        <w:t xml:space="preserve">Collateral</w:t>
      </w:r>
      <w:r>
        <w:t xml:space="preserve"> </w:t>
      </w:r>
      <w:r>
        <w:t xml:space="preserve">Estoppel</w:t>
      </w:r>
      <w:r>
        <w:t xml:space="preserve"> </w:t>
      </w:r>
      <w:r>
        <w:t xml:space="preserve">Purposes.</w:t>
      </w:r>
    </w:p>
    <w:p>
      <w:pPr>
        <w:pStyle w:val="BodyText"/>
      </w:pPr>
      <w:r>
        <w:t xml:space="preserve">A second argument that Appellee must win in order to avoid reversal is that an unsigned “judgment roll” entry processed by a county clerk provides evidence that the issue of ownership was “necessarily decided” by the Minnesota Court. Even assuming that Mach is distorted into changing the standard set forth in Hauschildt (it did not), application of the lower standard advocated by Appellee fails as a factual matter.</w:t>
      </w:r>
    </w:p>
    <w:p>
      <w:pPr>
        <w:pStyle w:val="BodyText"/>
      </w:pPr>
      <w:r>
        <w:t xml:space="preserve">Minnesota is one of three remaining states where a lawsuit is initiated by service of the summons and complaint and not by filing the complaint.</w:t>
      </w:r>
      <w:r>
        <w:t xml:space="preserve"> </w:t>
      </w:r>
      <w:r>
        <w:rPr>
          <w:i/>
          <w:iCs/>
        </w:rPr>
        <w:t xml:space="preserve">See</w:t>
      </w:r>
      <w:r>
        <w:t xml:space="preserve"> </w:t>
      </w:r>
      <w:r>
        <w:t xml:space="preserve">Muchlinksi, Joe (2015) “Constraining Minnesota’s Hip-Pocket Regime: Too Much or Not Enough? (Or Both?) (Or Neither?)” WILLIAM MITCHEL LAW REVIEW, Vol. 41, Issue 4 at 1560. “This is colloquially referred to as ‘pocket service’ because a plaintiff may serve one or more defendants and keep the complaint ‘in his pocket’ rather than making a public filing.”</w:t>
      </w:r>
      <w:r>
        <w:t xml:space="preserve"> </w:t>
      </w:r>
      <w:r>
        <w:rPr>
          <w:i/>
          <w:iCs/>
        </w:rPr>
        <w:t xml:space="preserve">Harris v. Chase Bank USA, N.A.</w:t>
      </w:r>
      <w:r>
        <w:t xml:space="preserve">, No. 12</w:t>
      </w:r>
      <w:r>
        <w:noBreakHyphen/>
      </w:r>
      <w:r>
        <w:t xml:space="preserve">669 (JNE/​AJB), 2012 WL 1948775, at *1 (D. Minn. May 30, 2012). Because of this unique procedure, it is possible for a defendant to be in default before the complaint is ever filed with the Court (if the Defendant fails to serve an answer within the required time period).</w:t>
      </w:r>
    </w:p>
    <w:p>
      <w:pPr>
        <w:pStyle w:val="BodyText"/>
      </w:pPr>
      <w:r>
        <w:t xml:space="preserve">Minnesota procedure accounts for this situation by authorizing county clerks to enter default in substantive areas other than consumer debt where the Plaintiff submits evidence that the summons and complaint was properly served and the Defendant failed to answer.</w:t>
      </w:r>
      <w:r>
        <w:t xml:space="preserve"> </w:t>
      </w:r>
      <w:r>
        <w:rPr>
          <w:i/>
          <w:iCs/>
        </w:rPr>
        <w:t xml:space="preserve">See</w:t>
      </w:r>
      <w:r>
        <w:t xml:space="preserve"> </w:t>
      </w:r>
      <w:r>
        <w:t xml:space="preserve">Minn. R. Civ. P. 55.01(a). “Minn. R. Civ. P. 55.01(a) permits entry of judgment by the administrator in limited situations.” Advisory Comm. Comment to 1992 Amendment to Minn. Gen. R. Prac. 117.</w:t>
      </w:r>
    </w:p>
    <w:p>
      <w:pPr>
        <w:pStyle w:val="BodyText"/>
      </w:pPr>
      <w:r>
        <w:t xml:space="preserve">Concerned with the effect of this procedure on consumers, the Minnesota Legislature in 2013 adopted Minn. Stat. § 548.101. Unlike Rule 55.01(a), which only requires the Court administrator to review Plaintiff’s affidavit establishing that Defendant has “failed to plead or otherwise defend,” Minn. Stat. § 548.101 requires (among other things) “admissible evidence establishing a valid and complete chain of assignment of the debt from the original creditor to the party requesting judgment, including documentation or a bill of sale evidencing the assignment with evidence that the particular debt at issue was included in the assignment referenced in the documentation or bill of sale.” Minn. Stat. § 548.101(a)⁠(5) (emphasis added).</w:t>
      </w:r>
      <w:r>
        <w:rPr>
          <w:rStyle w:val="FootnoteReference"/>
        </w:rPr>
        <w:footnoteReference w:id="10"/>
      </w:r>
    </w:p>
    <w:p>
      <w:pPr>
        <w:pStyle w:val="BodyText"/>
      </w:pPr>
      <w:r>
        <w:t xml:space="preserve">Thus, in assigned consumer debt cases like this one, a Judge (and not a court administrator or clerk) must make legal determinations of the admissibility and the sufficiency of a debt collector plaintiff’s documentation, by reference to the Minnesota Rules of Evidence and Minnesota law. That simply did not happen in this case. The only evidence in the record is an unsigned document processed by a clerk of the Court entering judgment. App. 52; R. Doc. 16, p. 22. There was no determination, much less a “necessary determination,” by a state court judge that Appellee owns the alleged debt at issue. In other words, there is no evidence that the issue of ownership was “necessarily decided” by a state court judge (or even a court clerk).</w:t>
      </w:r>
    </w:p>
    <w:p>
      <w:pPr>
        <w:pStyle w:val="BodyText"/>
      </w:pPr>
      <w:r>
        <w:t xml:space="preserve">Instead, Appellee attempts to twist the protective “shield” requirements of 548.101 into a “sword” to use against consumers and argues without any factual support that because a judgment was improperly entered based upon an unsigned document by a court administrator, the Court “must have” followed the procedure and therefore ownership “must have” been decided. Appellee’s Brief, pp. 13</w:t>
      </w:r>
      <w:r>
        <w:noBreakHyphen/>
      </w:r>
      <w:r>
        <w:t xml:space="preserve">15. There is zero factual evidence in the record to support this conclusion. The burden in collateral estoppel in on the Appellee (</w:t>
      </w:r>
      <w:r>
        <w:rPr>
          <w:i/>
          <w:iCs/>
        </w:rPr>
        <w:t xml:space="preserve">Mach</w:t>
      </w:r>
      <w:r>
        <w:t xml:space="preserve">, 866 N.W.2d at 927), and all factual inferences are to be drawn in favor of the Appellant.</w:t>
      </w:r>
      <w:r>
        <w:t xml:space="preserve"> </w:t>
      </w:r>
      <w:r>
        <w:rPr>
          <w:i/>
          <w:iCs/>
        </w:rPr>
        <w:t xml:space="preserve">Ashley County</w:t>
      </w:r>
      <w:r>
        <w:t xml:space="preserve">, 552 F.3d at 665.</w:t>
      </w:r>
    </w:p>
    <w:p>
      <w:pPr>
        <w:pStyle w:val="CAHeadL2S0"/>
        <w:keepNext/>
      </w:pPr>
      <w:r>
        <w:t xml:space="preserve">D.</w:t>
      </w:r>
      <w:r>
        <w:tab/>
      </w:r>
      <w:r>
        <w:t xml:space="preserve">INJUSTICE</w:t>
      </w:r>
      <w:r>
        <w:t xml:space="preserve"> </w:t>
      </w:r>
      <w:r>
        <w:t xml:space="preserve">WOULD</w:t>
      </w:r>
      <w:r>
        <w:t xml:space="preserve"> </w:t>
      </w:r>
      <w:r>
        <w:t xml:space="preserve">RESULT</w:t>
      </w:r>
      <w:r>
        <w:t xml:space="preserve"> </w:t>
      </w:r>
      <w:r>
        <w:t xml:space="preserve">FROM</w:t>
      </w:r>
      <w:r>
        <w:t xml:space="preserve"> </w:t>
      </w:r>
      <w:r>
        <w:t xml:space="preserve">APPLICATION</w:t>
      </w:r>
      <w:r>
        <w:t xml:space="preserve"> </w:t>
      </w:r>
      <w:r>
        <w:t xml:space="preserve">OF</w:t>
      </w:r>
      <w:r>
        <w:t xml:space="preserve"> </w:t>
      </w:r>
      <w:r>
        <w:t xml:space="preserve">COLLATERAL</w:t>
      </w:r>
      <w:r>
        <w:t xml:space="preserve"> </w:t>
      </w:r>
      <w:r>
        <w:t xml:space="preserve">ESTOPPEL.</w:t>
      </w:r>
    </w:p>
    <w:p>
      <w:pPr>
        <w:pStyle w:val="BodyText"/>
      </w:pPr>
      <w:r>
        <w:t xml:space="preserve">Even if Appellant prevails on the issues discussed above, this Court still must reverse based on the required element of fairness in application of the doctrine of collateral estoppel. Appellee concedes that the district court failed entirely to address the required element of whether application of the collateral doctrine in this case would work an injustice upon Appellant. The problems and false assumptions identified above plague Appellee’s argument on the issue of fairness.</w:t>
      </w:r>
    </w:p>
    <w:p>
      <w:pPr>
        <w:pStyle w:val="BodyText"/>
      </w:pPr>
      <w:r>
        <w:t xml:space="preserve">For example, Appellee again seeks to use the consumer protections of Minn. Stat. § 548.101 as a sword against the consumer. Appellee’s Brief, p. 29. Appellee argues that somehow the existence of statutory protections, even though they were not applied for Appellant’s benefit in this case, render the dismissal of Appellant’s FDCPA case fair. To the contrary, the fact that Minn. Stat. § 548.101 was not applied by any judge in this case highlights the unfairness of rigidly applying the doctrine against Appellant.</w:t>
      </w:r>
    </w:p>
    <w:p>
      <w:pPr>
        <w:pStyle w:val="BodyText"/>
      </w:pPr>
      <w:r>
        <w:t xml:space="preserve">Appellee then once again argues that this is merely a “thinly veiled attempt” by Appellant to use the FDCPA as “a debt relief statute” or a “glorified game of gotcha.” Appellee’s Brief, pp. 30</w:t>
      </w:r>
      <w:r>
        <w:noBreakHyphen/>
      </w:r>
      <w:r>
        <w:t xml:space="preserve">32. In doing so, Appellee improperly urges this Court to presume that her FDCPA claim is factually meritless, when in fact this Court must presume that the facts alleged are true.</w:t>
      </w:r>
      <w:r>
        <w:t xml:space="preserve"> </w:t>
      </w:r>
      <w:r>
        <w:rPr>
          <w:i/>
          <w:iCs/>
        </w:rPr>
        <w:t xml:space="preserve">Ashley County</w:t>
      </w:r>
      <w:r>
        <w:t xml:space="preserve">, 552 F.3d at 665.</w:t>
      </w:r>
    </w:p>
    <w:p>
      <w:pPr>
        <w:pStyle w:val="BodyText"/>
      </w:pPr>
      <w:r>
        <w:t xml:space="preserve">Appellee further faults Plaintiff for failing to move to vacate the default judgment, arguing that this shows “they know full well that they could not overcome [Appellee’s] showing on the ownership issue under any circumstances.” Appellee’s Brief, p. 31. This is a mere conclusion with no support in the record whatsoever. It is simply an ad hominem attack on Appellant and her counsel. Appellee does not cite any statutory provision or controlling case to support the proposition that Appellant may not assert her FDCPA rights unless she first moves to vacate the unsupported and unproven judgment in state court. In reality, Appellee cannot, for there is no statutory provision or controlling case so holding.</w:t>
      </w:r>
      <w:r>
        <w:rPr>
          <w:rStyle w:val="FootnoteReference"/>
        </w:rPr>
        <w:footnoteReference w:id="11"/>
      </w:r>
    </w:p>
    <w:p>
      <w:pPr>
        <w:pStyle w:val="CASection"/>
        <w:keepNext/>
      </w:pPr>
      <w:r>
        <w:t xml:space="preserve">Conclusion</w:t>
      </w:r>
    </w:p>
    <w:p>
      <w:pPr>
        <w:pStyle w:val="CABodyLast"/>
      </w:pPr>
      <w:r>
        <w:t xml:space="preserve">The district court’s order dismissing this case should be REVERSED and the case remanded for Appellant Diana Delgado to pursue her claim that MCM violated her rights under 15 U.S.C. § 1692f(1).</w:t>
      </w:r>
    </w:p>
    <w:p>
      <w:pPr>
        <w:pStyle w:val="CACounsel"/>
        <w:keepNext/>
        <w:keepLines/>
        <w:spacing w:before="392" w:after="0" w:line="340" w:lineRule="exact"/>
        <w:ind w:left="4680" w:firstLine="0"/>
      </w:pPr>
      <w:r>
        <w:t xml:space="preserve">Respectfully submitted,</w:t>
      </w:r>
    </w:p>
    <w:p>
      <w:pPr>
        <w:pStyle w:val="CACounsel"/>
        <w:keepNext/>
        <w:keepLines/>
        <w:spacing w:before="336" w:after="0" w:line="340" w:lineRule="exact"/>
        <w:ind w:left="4680" w:firstLine="0"/>
      </w:pPr>
      <w:r>
        <w:t xml:space="preserve">/​s/​ </w:t>
      </w:r>
      <w:r>
        <w:t xml:space="preserve">Darren</w:t>
      </w:r>
      <w:r>
        <w:t xml:space="preserve"> </w:t>
      </w:r>
      <w:r>
        <w:t xml:space="preserve">Brayer</w:t>
      </w:r>
      <w:r>
        <w:t xml:space="preserve"> </w:t>
      </w:r>
      <w:r>
        <w:t xml:space="preserve">Schwiebert</w:t>
      </w:r>
    </w:p>
    <w:p>
      <w:pPr>
        <w:pStyle w:val="CACounsel"/>
        <w:keepNext/>
        <w:keepLines/>
        <w:spacing w:before="0" w:after="0" w:line="340" w:lineRule="exact"/>
        <w:ind w:left="4680" w:firstLine="0"/>
      </w:pPr>
      <w:r>
        <w:t xml:space="preserve">Darren</w:t>
      </w:r>
      <w:r>
        <w:t xml:space="preserve"> </w:t>
      </w:r>
      <w:r>
        <w:t xml:space="preserve">Brayer</w:t>
      </w:r>
      <w:r>
        <w:t xml:space="preserve"> </w:t>
      </w:r>
      <w:r>
        <w:t xml:space="preserve">Schwiebert</w:t>
      </w:r>
    </w:p>
    <w:p>
      <w:pPr>
        <w:pStyle w:val="CACounsel"/>
        <w:keepNext/>
        <w:keepLines/>
        <w:spacing w:before="0" w:after="0" w:line="340" w:lineRule="exact"/>
        <w:ind w:left="4680" w:firstLine="0"/>
      </w:pPr>
      <w:r>
        <w:t xml:space="preserve">DEBT</w:t>
      </w:r>
      <w:r>
        <w:t xml:space="preserve"> </w:t>
      </w:r>
      <w:r>
        <w:t xml:space="preserve">LAWSUIT</w:t>
      </w:r>
      <w:r>
        <w:t xml:space="preserve"> </w:t>
      </w:r>
      <w:r>
        <w:t xml:space="preserve">RELIEF,</w:t>
      </w:r>
      <w:r>
        <w:t xml:space="preserve"> </w:t>
      </w:r>
      <w:r>
        <w:t xml:space="preserve">INC.</w:t>
      </w:r>
    </w:p>
    <w:p>
      <w:pPr>
        <w:pStyle w:val="CACounsel"/>
        <w:keepNext/>
        <w:keepLines/>
        <w:spacing w:before="0" w:after="0" w:line="340" w:lineRule="exact"/>
        <w:ind w:left="4680" w:firstLine="0"/>
      </w:pPr>
      <w:r>
        <w:t xml:space="preserve">301</w:t>
      </w:r>
      <w:r>
        <w:t xml:space="preserve"> </w:t>
      </w:r>
      <w:r>
        <w:t xml:space="preserve">Fourth</w:t>
      </w:r>
      <w:r>
        <w:t xml:space="preserve"> </w:t>
      </w:r>
      <w:r>
        <w:t xml:space="preserve">Avenue</w:t>
      </w:r>
      <w:r>
        <w:t xml:space="preserve"> </w:t>
      </w:r>
      <w:r>
        <w:t xml:space="preserve">South,</w:t>
      </w:r>
      <w:r>
        <w:t xml:space="preserve"> </w:t>
      </w:r>
      <w:r>
        <w:t xml:space="preserve">Ste</w:t>
      </w:r>
      <w:r>
        <w:t xml:space="preserve"> </w:t>
      </w:r>
      <w:r>
        <w:t xml:space="preserve">280N</w:t>
      </w:r>
    </w:p>
    <w:p>
      <w:pPr>
        <w:pStyle w:val="CACounsel"/>
        <w:keepNext/>
        <w:keepLines/>
        <w:spacing w:before="0" w:after="0" w:line="340" w:lineRule="exact"/>
        <w:ind w:left="4680" w:firstLine="0"/>
      </w:pPr>
      <w:r>
        <w:t xml:space="preserve">Minneapolis,</w:t>
      </w:r>
      <w:r>
        <w:t xml:space="preserve"> </w:t>
      </w:r>
      <w:r>
        <w:t xml:space="preserve">MN</w:t>
      </w:r>
      <w:r>
        <w:t xml:space="preserve"> </w:t>
      </w:r>
      <w:r>
        <w:t xml:space="preserve">55415</w:t>
      </w:r>
    </w:p>
    <w:p>
      <w:pPr>
        <w:pStyle w:val="CACounsel"/>
        <w:keepNext/>
        <w:keepLines/>
        <w:spacing w:before="0" w:after="0" w:line="340" w:lineRule="exact"/>
        <w:ind w:left="4680" w:firstLine="0"/>
      </w:pPr>
      <w:r>
        <w:t xml:space="preserve">Counsel</w:t>
      </w:r>
      <w:r>
        <w:t xml:space="preserve"> </w:t>
      </w:r>
      <w:r>
        <w:t xml:space="preserve">for</w:t>
      </w:r>
      <w:r>
        <w:t xml:space="preserve"> </w:t>
      </w:r>
      <w:r>
        <w:t xml:space="preserve">Appellant</w:t>
      </w:r>
    </w:p>
    <w:p>
      <w:pPr>
        <w:pStyle w:val="CACounsel"/>
        <w:keepNext/>
        <w:keepLines/>
        <w:spacing w:before="224" w:after="0" w:line="340" w:lineRule="exact"/>
        <w:ind w:left="4680" w:firstLine="0"/>
      </w:pPr>
      <w:r>
        <w:t xml:space="preserve">John</w:t>
      </w:r>
      <w:r>
        <w:t xml:space="preserve"> </w:t>
      </w:r>
      <w:r>
        <w:t xml:space="preserve">M.</w:t>
      </w:r>
      <w:r>
        <w:t xml:space="preserve"> </w:t>
      </w:r>
      <w:r>
        <w:t xml:space="preserve">Buhta</w:t>
      </w:r>
    </w:p>
    <w:p>
      <w:pPr>
        <w:pStyle w:val="CACounsel"/>
        <w:keepNext/>
        <w:keepLines/>
        <w:spacing w:before="0" w:after="0" w:line="340" w:lineRule="exact"/>
        <w:ind w:left="4680" w:firstLine="0"/>
      </w:pPr>
      <w:r>
        <w:t xml:space="preserve">SOUTHERN</w:t>
      </w:r>
      <w:r>
        <w:t xml:space="preserve"> </w:t>
      </w:r>
      <w:r>
        <w:t xml:space="preserve">MINNESOTA</w:t>
      </w:r>
      <w:r>
        <w:t xml:space="preserve"> </w:t>
      </w:r>
      <w:r>
        <w:t xml:space="preserve">REGIONAL</w:t>
      </w:r>
      <w:r>
        <w:t xml:space="preserve"> </w:t>
      </w:r>
      <w:r>
        <w:t xml:space="preserve">LEGAL</w:t>
      </w:r>
      <w:r>
        <w:t xml:space="preserve"> </w:t>
      </w:r>
      <w:r>
        <w:t xml:space="preserve">SERVICES,</w:t>
      </w:r>
      <w:r>
        <w:t xml:space="preserve"> </w:t>
      </w:r>
      <w:r>
        <w:t xml:space="preserve">INC.</w:t>
      </w:r>
    </w:p>
    <w:p>
      <w:pPr>
        <w:pStyle w:val="CACounsel"/>
        <w:keepNext/>
        <w:keepLines/>
        <w:spacing w:before="0" w:after="0" w:line="340" w:lineRule="exact"/>
        <w:ind w:left="4680" w:firstLine="0"/>
      </w:pPr>
      <w:r>
        <w:t xml:space="preserve">903</w:t>
      </w:r>
      <w:r>
        <w:t xml:space="preserve"> </w:t>
      </w:r>
      <w:r>
        <w:t xml:space="preserve">West</w:t>
      </w:r>
      <w:r>
        <w:t xml:space="preserve"> </w:t>
      </w:r>
      <w:r>
        <w:t xml:space="preserve">Center</w:t>
      </w:r>
      <w:r>
        <w:t xml:space="preserve"> </w:t>
      </w:r>
      <w:r>
        <w:t xml:space="preserve">Street,</w:t>
      </w:r>
      <w:r>
        <w:t xml:space="preserve"> </w:t>
      </w:r>
      <w:r>
        <w:t xml:space="preserve">Ste</w:t>
      </w:r>
      <w:r>
        <w:t xml:space="preserve"> </w:t>
      </w:r>
      <w:r>
        <w:t xml:space="preserve">230</w:t>
      </w:r>
    </w:p>
    <w:p>
      <w:pPr>
        <w:pStyle w:val="CACounsel"/>
        <w:keepNext/>
        <w:keepLines/>
        <w:spacing w:before="0" w:after="0" w:line="340" w:lineRule="exact"/>
        <w:ind w:left="4680" w:firstLine="0"/>
      </w:pPr>
      <w:r>
        <w:t xml:space="preserve">Rochester,</w:t>
      </w:r>
      <w:r>
        <w:t xml:space="preserve"> </w:t>
      </w:r>
      <w:r>
        <w:t xml:space="preserve">MN</w:t>
      </w:r>
      <w:r>
        <w:t xml:space="preserve"> </w:t>
      </w:r>
      <w:r>
        <w:t xml:space="preserve">55902</w:t>
      </w:r>
    </w:p>
    <w:p>
      <w:pPr>
        <w:pStyle w:val="CACounsel"/>
        <w:keepNext/>
        <w:keepLines/>
        <w:spacing w:before="0" w:after="0" w:line="340" w:lineRule="exact"/>
        <w:ind w:left="4680" w:firstLine="0"/>
      </w:pPr>
      <w:r>
        <w:t xml:space="preserve">Counsel</w:t>
      </w:r>
      <w:r>
        <w:t xml:space="preserve"> </w:t>
      </w:r>
      <w:r>
        <w:t xml:space="preserve">for</w:t>
      </w:r>
      <w:r>
        <w:t xml:space="preserve"> </w:t>
      </w:r>
      <w:r>
        <w:t xml:space="preserve">Appellant</w:t>
      </w:r>
    </w:p>
    <w:p>
      <w:pPr>
        <w:pStyle w:val="CACounsel"/>
        <w:keepNext/>
        <w:keepLines/>
        <w:spacing w:before="224" w:after="0" w:line="340" w:lineRule="exact"/>
      </w:pPr>
      <w:r>
        <w:t xml:space="preserve">September</w:t>
      </w:r>
      <w:r>
        <w:t xml:space="preserve"> </w:t>
      </w:r>
      <w:r>
        <w:t xml:space="preserve">6,</w:t>
      </w:r>
      <w:r>
        <w:t xml:space="preserve"> </w:t>
      </w:r>
      <w:r>
        <w:t xml:space="preserve">2024</w:t>
      </w:r>
    </w:p>
    <w:p>
      <w:pPr>
        <w:pStyle w:val="CACounsel"/>
        <w:keepLines/>
        <w:spacing w:before="224" w:after="0" w:line="340" w:lineRule="exact"/>
      </w:pPr>
      <w:r>
        <w:t xml:space="preserve">DEBT</w:t>
      </w:r>
      <w:r>
        <w:t xml:space="preserve"> </w:t>
      </w:r>
      <w:r>
        <w:t xml:space="preserve">LAWSUIT</w:t>
      </w:r>
      <w:r>
        <w:t xml:space="preserve"> </w:t>
      </w:r>
      <w:r>
        <w:t xml:space="preserve">RELIEF,</w:t>
      </w:r>
      <w:r>
        <w:t xml:space="preserve"> </w:t>
      </w:r>
      <w:r>
        <w:t xml:space="preserve">INC.</w:t>
      </w:r>
      <w:r>
        <w:t xml:space="preserve"> </w:t>
      </w:r>
      <w:r>
        <w:t xml:space="preserve">is</w:t>
      </w:r>
      <w:r>
        <w:t xml:space="preserve"> </w:t>
      </w:r>
      <w:r>
        <w:t xml:space="preserve">a</w:t>
      </w:r>
      <w:r>
        <w:t xml:space="preserve"> </w:t>
      </w:r>
      <w:r>
        <w:t xml:space="preserve">501(c)⁠(3)</w:t>
      </w:r>
      <w:r>
        <w:t xml:space="preserve"> </w:t>
      </w:r>
      <w:r>
        <w:t xml:space="preserve">non-profit</w:t>
      </w:r>
      <w:r>
        <w:t xml:space="preserve"> </w:t>
      </w:r>
      <w:r>
        <w:t xml:space="preserve">organization.</w:t>
      </w:r>
      <w:r>
        <w:t xml:space="preserve"> </w:t>
      </w:r>
      <w:r>
        <w:t xml:space="preserve">The</w:t>
      </w:r>
      <w:r>
        <w:t xml:space="preserve"> </w:t>
      </w:r>
      <w:r>
        <w:t xml:space="preserve">purpose</w:t>
      </w:r>
      <w:r>
        <w:t xml:space="preserve"> </w:t>
      </w:r>
      <w:r>
        <w:t xml:space="preserve">of</w:t>
      </w:r>
      <w:r>
        <w:t xml:space="preserve"> </w:t>
      </w:r>
      <w:r>
        <w:t xml:space="preserve">this</w:t>
      </w:r>
      <w:r>
        <w:t xml:space="preserve"> </w:t>
      </w:r>
      <w:r>
        <w:t xml:space="preserve">corporation</w:t>
      </w:r>
      <w:r>
        <w:t xml:space="preserve"> </w:t>
      </w:r>
      <w:r>
        <w:t xml:space="preserve">is</w:t>
      </w:r>
      <w:r>
        <w:t xml:space="preserve"> </w:t>
      </w:r>
      <w:r>
        <w:t xml:space="preserve">providing</w:t>
      </w:r>
      <w:r>
        <w:t xml:space="preserve"> </w:t>
      </w:r>
      <w:r>
        <w:t xml:space="preserve">relief</w:t>
      </w:r>
      <w:r>
        <w:t xml:space="preserve"> </w:t>
      </w:r>
      <w:r>
        <w:t xml:space="preserve">to</w:t>
      </w:r>
      <w:r>
        <w:t xml:space="preserve"> </w:t>
      </w:r>
      <w:r>
        <w:t xml:space="preserve">the</w:t>
      </w:r>
      <w:r>
        <w:t xml:space="preserve"> </w:t>
      </w:r>
      <w:r>
        <w:t xml:space="preserve">poor</w:t>
      </w:r>
      <w:r>
        <w:t xml:space="preserve"> </w:t>
      </w:r>
      <w:r>
        <w:t xml:space="preserve">and</w:t>
      </w:r>
      <w:r>
        <w:t xml:space="preserve"> </w:t>
      </w:r>
      <w:r>
        <w:t xml:space="preserve">distressed</w:t>
      </w:r>
      <w:r>
        <w:t xml:space="preserve"> </w:t>
      </w:r>
      <w:r>
        <w:t xml:space="preserve">by</w:t>
      </w:r>
      <w:r>
        <w:t xml:space="preserve"> </w:t>
      </w:r>
      <w:r>
        <w:t xml:space="preserve">providing</w:t>
      </w:r>
      <w:r>
        <w:t xml:space="preserve"> </w:t>
      </w:r>
      <w:r>
        <w:t xml:space="preserve">legal</w:t>
      </w:r>
      <w:r>
        <w:t xml:space="preserve"> </w:t>
      </w:r>
      <w:r>
        <w:t xml:space="preserve">services</w:t>
      </w:r>
      <w:r>
        <w:t xml:space="preserve"> </w:t>
      </w:r>
      <w:r>
        <w:t xml:space="preserve">to</w:t>
      </w:r>
      <w:r>
        <w:t xml:space="preserve"> </w:t>
      </w:r>
      <w:r>
        <w:t xml:space="preserve">persons</w:t>
      </w:r>
      <w:r>
        <w:t xml:space="preserve"> </w:t>
      </w:r>
      <w:r>
        <w:t xml:space="preserve">who</w:t>
      </w:r>
      <w:r>
        <w:t xml:space="preserve"> </w:t>
      </w:r>
      <w:r>
        <w:t xml:space="preserve">were</w:t>
      </w:r>
      <w:r>
        <w:t xml:space="preserve"> </w:t>
      </w:r>
      <w:r>
        <w:t xml:space="preserve">otherwise</w:t>
      </w:r>
      <w:r>
        <w:t xml:space="preserve"> </w:t>
      </w:r>
      <w:r>
        <w:t xml:space="preserve">financially</w:t>
      </w:r>
      <w:r>
        <w:t xml:space="preserve"> </w:t>
      </w:r>
      <w:r>
        <w:t xml:space="preserve">incapable</w:t>
      </w:r>
      <w:r>
        <w:t xml:space="preserve"> </w:t>
      </w:r>
      <w:r>
        <w:t xml:space="preserve">of</w:t>
      </w:r>
      <w:r>
        <w:t xml:space="preserve"> </w:t>
      </w:r>
      <w:r>
        <w:t xml:space="preserve">obtaining</w:t>
      </w:r>
      <w:r>
        <w:t xml:space="preserve"> </w:t>
      </w:r>
      <w:r>
        <w:t xml:space="preserve">such</w:t>
      </w:r>
      <w:r>
        <w:t xml:space="preserve"> </w:t>
      </w:r>
      <w:r>
        <w:t xml:space="preserve">services.</w:t>
      </w:r>
      <w:r>
        <w:t xml:space="preserve"> </w:t>
      </w:r>
      <w:r>
        <w:t xml:space="preserve">SOUTHERN</w:t>
      </w:r>
      <w:r>
        <w:t xml:space="preserve"> </w:t>
      </w:r>
      <w:r>
        <w:t xml:space="preserve">MINNESOTA</w:t>
      </w:r>
      <w:r>
        <w:t xml:space="preserve"> </w:t>
      </w:r>
      <w:r>
        <w:t xml:space="preserve">REGIONAL</w:t>
      </w:r>
      <w:r>
        <w:t xml:space="preserve"> </w:t>
      </w:r>
      <w:r>
        <w:t xml:space="preserve">LEGAL</w:t>
      </w:r>
      <w:r>
        <w:t xml:space="preserve"> </w:t>
      </w:r>
      <w:r>
        <w:t xml:space="preserve">SERVICES,</w:t>
      </w:r>
      <w:r>
        <w:t xml:space="preserve"> </w:t>
      </w:r>
      <w:r>
        <w:t xml:space="preserve">INC.</w:t>
      </w:r>
      <w:r>
        <w:t xml:space="preserve"> </w:t>
      </w:r>
      <w:r>
        <w:t xml:space="preserve">(SMRLS)</w:t>
      </w:r>
      <w:r>
        <w:t xml:space="preserve"> </w:t>
      </w:r>
      <w:r>
        <w:t xml:space="preserve">is</w:t>
      </w:r>
      <w:r>
        <w:t xml:space="preserve"> </w:t>
      </w:r>
      <w:r>
        <w:t xml:space="preserve">a</w:t>
      </w:r>
      <w:r>
        <w:t xml:space="preserve"> </w:t>
      </w:r>
      <w:r>
        <w:t xml:space="preserve">501(c)⁠(3)</w:t>
      </w:r>
      <w:r>
        <w:t xml:space="preserve"> </w:t>
      </w:r>
      <w:r>
        <w:t xml:space="preserve">non-profit</w:t>
      </w:r>
      <w:r>
        <w:t xml:space="preserve"> </w:t>
      </w:r>
      <w:r>
        <w:t xml:space="preserve">organization</w:t>
      </w:r>
      <w:r>
        <w:t xml:space="preserve"> </w:t>
      </w:r>
      <w:r>
        <w:t xml:space="preserve">that</w:t>
      </w:r>
      <w:r>
        <w:t xml:space="preserve"> </w:t>
      </w:r>
      <w:r>
        <w:t xml:space="preserve">provides</w:t>
      </w:r>
      <w:r>
        <w:t xml:space="preserve"> </w:t>
      </w:r>
      <w:r>
        <w:t xml:space="preserve">legal</w:t>
      </w:r>
      <w:r>
        <w:t xml:space="preserve"> </w:t>
      </w:r>
      <w:r>
        <w:t xml:space="preserve">help</w:t>
      </w:r>
      <w:r>
        <w:t xml:space="preserve"> </w:t>
      </w:r>
      <w:r>
        <w:t xml:space="preserve">to</w:t>
      </w:r>
      <w:r>
        <w:t xml:space="preserve"> </w:t>
      </w:r>
      <w:r>
        <w:t xml:space="preserve">low-income</w:t>
      </w:r>
      <w:r>
        <w:t xml:space="preserve"> </w:t>
      </w:r>
      <w:r>
        <w:t xml:space="preserve">people</w:t>
      </w:r>
      <w:r>
        <w:t xml:space="preserve"> </w:t>
      </w:r>
      <w:r>
        <w:t xml:space="preserve">in</w:t>
      </w:r>
      <w:r>
        <w:t xml:space="preserve"> </w:t>
      </w:r>
      <w:r>
        <w:t xml:space="preserve">critical</w:t>
      </w:r>
      <w:r>
        <w:t xml:space="preserve"> </w:t>
      </w:r>
      <w:r>
        <w:t xml:space="preserve">civil</w:t>
      </w:r>
      <w:r>
        <w:t xml:space="preserve"> </w:t>
      </w:r>
      <w:r>
        <w:t xml:space="preserve">matters.</w:t>
      </w:r>
    </w:p>
    <w:p>
      <w:pPr>
        <w:pStyle w:val="CASection"/>
        <w:pageBreakBefore/>
        <w:spacing w:before="0" w:after="308" w:line="340" w:lineRule="exact"/>
      </w:pPr>
      <w:r>
        <w:t xml:space="preserve">Certificate of Compliance</w:t>
      </w:r>
    </w:p>
    <w:p>
      <w:pPr>
        <w:pStyle w:val="CACounsel"/>
        <w:spacing w:before="280" w:after="0" w:line="340" w:lineRule="exact"/>
      </w:pPr>
      <w:r>
        <w:t xml:space="preserve">I certify that this brief complies with the type-volume limitation of Fed. R. App. P. 32(a)⁠(7)⁠(B) because it contains 2,557 words, excluding the parts of the brief exempted by Fed. R. App. P. 32(f). The brief complies with the typeface requirements of Fed. R. App. P. 32(a)⁠(5) and the type-style requirements of Fed. R. App. P. 32(a)⁠(6) because it has been prepared in a proportionally spaced typeface (Times New Roman, 14-point).</w:t>
      </w:r>
    </w:p>
    <w:p>
      <w:pPr>
        <w:pStyle w:val="CACounsel"/>
        <w:spacing w:before="280" w:after="0" w:line="340" w:lineRule="exact"/>
      </w:pPr>
      <w:r>
        <w:t xml:space="preserve">Pursuant to Circuit Rule 28A(h), I also certify that the electronic files of this brief have been submitted to the Clerk through the Court’s CM/​ECF system and have been scanned for viruses and are virus-free.</w:t>
      </w:r>
    </w:p>
    <w:p>
      <w:pPr>
        <w:pStyle w:val="CACounsel"/>
        <w:keepNext/>
        <w:spacing w:before="392" w:after="0" w:line="340" w:lineRule="exact"/>
        <w:ind w:left="4680" w:firstLine="0"/>
      </w:pPr>
      <w:r>
        <w:t xml:space="preserve">/​s/​ </w:t>
      </w:r>
      <w:r>
        <w:t xml:space="preserve">Darren</w:t>
      </w:r>
      <w:r>
        <w:t xml:space="preserve"> </w:t>
      </w:r>
      <w:r>
        <w:t xml:space="preserve">Brayer</w:t>
      </w:r>
      <w:r>
        <w:t xml:space="preserve"> </w:t>
      </w:r>
      <w:r>
        <w:t xml:space="preserve">Schwiebert</w:t>
      </w:r>
    </w:p>
    <w:p>
      <w:pPr>
        <w:pStyle w:val="CACounsel"/>
        <w:keepNext/>
        <w:spacing w:before="0" w:after="0" w:line="340" w:lineRule="exact"/>
        <w:ind w:left="4680" w:firstLine="0"/>
      </w:pPr>
      <w:r>
        <w:t xml:space="preserve">Darren</w:t>
      </w:r>
      <w:r>
        <w:t xml:space="preserve"> </w:t>
      </w:r>
      <w:r>
        <w:t xml:space="preserve">Brayer</w:t>
      </w:r>
      <w:r>
        <w:t xml:space="preserve"> </w:t>
      </w:r>
      <w:r>
        <w:t xml:space="preserve">Schwiebert</w:t>
      </w:r>
    </w:p>
    <w:p>
      <w:pPr>
        <w:pStyle w:val="CACounsel"/>
        <w:spacing w:before="0" w:after="0" w:line="340" w:lineRule="exact"/>
        <w:ind w:left="4680" w:firstLine="0"/>
      </w:pPr>
      <w:r>
        <w:t xml:space="preserve">Counsel for Appellant</w:t>
      </w:r>
    </w:p>
    <w:p>
      <w:pPr>
        <w:pStyle w:val="CASection"/>
        <w:pageBreakBefore/>
        <w:spacing w:before="0" w:after="308" w:line="340" w:lineRule="exact"/>
      </w:pPr>
      <w:r>
        <w:t xml:space="preserve">Certificate of Service</w:t>
      </w:r>
    </w:p>
    <w:p>
      <w:pPr>
        <w:pStyle w:val="CACounsel"/>
        <w:spacing w:before="280" w:after="0" w:line="340" w:lineRule="exact"/>
      </w:pPr>
      <w:r>
        <w:t xml:space="preserve">Pursuant to Fed. R. App. P. 25 and Circuit Rule 25A(a), I hereby certify that on </w:t>
      </w:r>
      <w:r>
        <w:t xml:space="preserve">September</w:t>
      </w:r>
      <w:r>
        <w:t xml:space="preserve"> </w:t>
      </w:r>
      <w:r>
        <w:t xml:space="preserve">6,</w:t>
      </w:r>
      <w:r>
        <w:t xml:space="preserve"> </w:t>
      </w:r>
      <w:r>
        <w:t xml:space="preserve">2024</w:t>
      </w:r>
      <w:r>
        <w:t xml:space="preserve">, I filed a copy of the Reply Brief of Appellant with the Clerk of the Court through the Court’s CM/​ECF system, which will serve electronic copies on all registered counsel.</w:t>
      </w:r>
    </w:p>
    <w:p>
      <w:pPr>
        <w:pStyle w:val="CACounsel"/>
        <w:keepNext/>
        <w:spacing w:before="392" w:after="0" w:line="340" w:lineRule="exact"/>
        <w:ind w:left="4680" w:firstLine="0"/>
      </w:pPr>
      <w:r>
        <w:t xml:space="preserve">/​s/​ </w:t>
      </w:r>
      <w:r>
        <w:t xml:space="preserve">Darren</w:t>
      </w:r>
      <w:r>
        <w:t xml:space="preserve"> </w:t>
      </w:r>
      <w:r>
        <w:t xml:space="preserve">Brayer</w:t>
      </w:r>
      <w:r>
        <w:t xml:space="preserve"> </w:t>
      </w:r>
      <w:r>
        <w:t xml:space="preserve">Schwiebert</w:t>
      </w:r>
    </w:p>
    <w:p>
      <w:pPr>
        <w:pStyle w:val="CACounsel"/>
        <w:keepNext/>
        <w:spacing w:before="0" w:after="0" w:line="340" w:lineRule="exact"/>
        <w:ind w:left="4680" w:firstLine="0"/>
      </w:pPr>
      <w:r>
        <w:t xml:space="preserve">Darren</w:t>
      </w:r>
      <w:r>
        <w:t xml:space="preserve"> </w:t>
      </w:r>
      <w:r>
        <w:t xml:space="preserve">Brayer</w:t>
      </w:r>
      <w:r>
        <w:t xml:space="preserve"> </w:t>
      </w:r>
      <w:r>
        <w:t xml:space="preserve">Schwiebert</w:t>
      </w:r>
    </w:p>
    <w:p>
      <w:pPr>
        <w:pStyle w:val="CACounsel"/>
        <w:spacing w:before="0" w:after="0" w:line="340" w:lineRule="exact"/>
        <w:ind w:left="4680" w:firstLine="0"/>
      </w:pPr>
      <w:r>
        <w:t xml:space="preserve">Counsel for Appellant</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w:t>
      </w:r>
      <w:r>
        <w:t xml:space="preserve"> </w:t>
      </w:r>
      <w:r>
        <w:rPr>
          <w:i/>
          <w:iCs/>
        </w:rPr>
        <w:t xml:space="preserve">Heroux v. Callidus Portfolio Mgmt., Inc.</w:t>
      </w:r>
      <w:r>
        <w:t xml:space="preserve">, 2018 WL 2018069, *3 (D. Minn. 2018) (Doty, J.).</w:t>
      </w:r>
    </w:p>
  </w:footnote>
  <w:footnote w:id="10">
    <w:p>
      <w:pPr>
        <w:pStyle w:val="FootnoteText"/>
      </w:pPr>
      <w:r>
        <w:rPr>
          <w:rStyle w:val="FootnoteReference"/>
        </w:rPr>
        <w:footnoteRef/>
      </w:r>
      <w:r>
        <w:t xml:space="preserve"> </w:t>
      </w:r>
      <w:r>
        <w:t xml:space="preserve">Appellee relies on</w:t>
      </w:r>
      <w:r>
        <w:t xml:space="preserve"> </w:t>
      </w:r>
      <w:r>
        <w:rPr>
          <w:i/>
          <w:iCs/>
        </w:rPr>
        <w:t xml:space="preserve">Adams v. Adams</w:t>
      </w:r>
      <w:r>
        <w:t xml:space="preserve">, 21 Minn. 515, 516 (Minn. 1875) for the proposition that “a judgment by default is equivalent to a confession of the material facts alleged in the complaint…and, on principle, should conclude the party as to all matters so confessed as though there had been a verdict for the plaintiff.” Appellee’s Brief, p. 21. Even if this 19th century holding survived subsequent Supreme Court rulings imposing a “distinctly contested” requirement, the Minnesota legislature has unambiguously stepped in to create an exception for assigned consumer debt cases like this one. Minn. Stat. § 548.101 makes clear that a mere default by a consumer defendant is not equivalent to a confession of all the material facts.</w:t>
      </w:r>
    </w:p>
  </w:footnote>
  <w:footnote w:id="11">
    <w:p>
      <w:pPr>
        <w:pStyle w:val="FootnoteText"/>
      </w:pPr>
      <w:r>
        <w:rPr>
          <w:rStyle w:val="FootnoteReference"/>
        </w:rPr>
        <w:footnoteRef/>
      </w:r>
      <w:r>
        <w:t xml:space="preserve"> </w:t>
      </w:r>
      <w:r>
        <w:t xml:space="preserve">As discussed in Appellant’s Opening Brief, the effective result of the district court’s holding that the decision not to litigate a debt collection lawsuit in state court (for whatever reason) precludes a consumer from bringing a claim against the debt collector for a violation of their federal rights would result in an injustice not just on Appellant, but also on countless other consumers who have default judgments in consumer debt cases in Minnesota. Appellant’s Opening Brief, pp. 24</w:t>
      </w:r>
      <w:r>
        <w:noBreakHyphen/>
      </w:r>
      <w:r>
        <w:t xml:space="preserve">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420" w:after="308" w:line="340" w:lineRule="exact"/>
      <w:ind w:firstLine="0"/>
      <w:jc w:val="center"/>
      <w:outlineLvl w:val="0"/>
    </w:pPr>
    <w:rPr>
      <w:b/>
      <w:caps/>
    </w:rPr>
  </w:style>
  <w:style w:type="paragraph" w:customStyle="1" w:styleId="CAHeadL2S0">
    <w:name w:val="CA Heading L2 S0"/>
    <w:basedOn w:val="Normal"/>
    <w:qFormat/>
    <w:pPr>
      <w:keepNext/>
      <w:keepLines/>
      <w:tabs>
        <w:tab w:val="left" w:pos="720"/>
      </w:tabs>
      <w:spacing w:before="308" w:after="252" w:line="34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308" w:after="252" w:line="34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308" w:after="252" w:line="34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308" w:after="252" w:line="34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308" w:after="252" w:line="34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308" w:after="252" w:line="34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308" w:after="252" w:line="34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308" w:after="252" w:line="34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308" w:after="252" w:line="34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308" w:after="252" w:line="34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308" w:after="252" w:line="340" w:lineRule="exact"/>
      <w:ind w:left="720" w:hanging="720"/>
      <w:jc w:val="left"/>
      <w:outlineLvl w:val="3"/>
    </w:pPr>
    <w:rPr>
      <w:b/>
    </w:rPr>
  </w:style>
  <w:style w:type="paragraph" w:customStyle="1" w:styleId="CAHeadL4S1">
    <w:name w:val="CA Heading L4 S1"/>
    <w:basedOn w:val="Normal"/>
    <w:qFormat/>
    <w:pPr>
      <w:keepNext/>
      <w:keepLines/>
      <w:tabs>
        <w:tab w:val="left" w:pos="1440"/>
      </w:tabs>
      <w:spacing w:before="308" w:after="252" w:line="340" w:lineRule="exact"/>
      <w:ind w:left="1440" w:hanging="720"/>
      <w:jc w:val="left"/>
      <w:outlineLvl w:val="3"/>
    </w:pPr>
    <w:rPr>
      <w:b/>
    </w:rPr>
  </w:style>
  <w:style w:type="paragraph" w:customStyle="1" w:styleId="CAHeadL4S2">
    <w:name w:val="CA Heading L4 S2"/>
    <w:basedOn w:val="Normal"/>
    <w:qFormat/>
    <w:pPr>
      <w:keepNext/>
      <w:keepLines/>
      <w:tabs>
        <w:tab w:val="left" w:pos="2160"/>
      </w:tabs>
      <w:spacing w:before="308" w:after="252" w:line="340" w:lineRule="exact"/>
      <w:ind w:left="2160" w:hanging="720"/>
      <w:jc w:val="left"/>
      <w:outlineLvl w:val="3"/>
    </w:pPr>
    <w:rPr>
      <w:b/>
    </w:rPr>
  </w:style>
  <w:style w:type="paragraph" w:customStyle="1" w:styleId="CAHeadL4S3">
    <w:name w:val="CA Heading L4 S3"/>
    <w:basedOn w:val="Normal"/>
    <w:qFormat/>
    <w:pPr>
      <w:keepNext/>
      <w:keepLines/>
      <w:tabs>
        <w:tab w:val="left" w:pos="2880"/>
      </w:tabs>
      <w:spacing w:before="308" w:after="252" w:line="340" w:lineRule="exact"/>
      <w:ind w:left="2880" w:hanging="720"/>
      <w:jc w:val="left"/>
      <w:outlineLvl w:val="3"/>
    </w:pPr>
    <w:rPr>
      <w:b/>
    </w:rPr>
  </w:style>
  <w:style w:type="paragraph" w:customStyle="1" w:styleId="CAHeadL4S4">
    <w:name w:val="CA Heading L4 S4"/>
    <w:basedOn w:val="Normal"/>
    <w:qFormat/>
    <w:pPr>
      <w:keepNext/>
      <w:keepLines/>
      <w:tabs>
        <w:tab w:val="left" w:pos="3600"/>
      </w:tabs>
      <w:spacing w:before="308" w:after="252" w:line="340" w:lineRule="exact"/>
      <w:ind w:left="3600" w:hanging="720"/>
      <w:jc w:val="left"/>
      <w:outlineLvl w:val="3"/>
    </w:pPr>
    <w:rPr>
      <w:b/>
    </w:rPr>
  </w:style>
  <w:style w:type="paragraph" w:customStyle="1" w:styleId="CAHeadL5S0">
    <w:name w:val="CA Heading L5 S0"/>
    <w:basedOn w:val="Normal"/>
    <w:qFormat/>
    <w:pPr>
      <w:keepNext/>
      <w:keepLines/>
      <w:tabs>
        <w:tab w:val="left" w:pos="720"/>
      </w:tabs>
      <w:spacing w:before="308" w:after="252" w:line="340" w:lineRule="exact"/>
      <w:ind w:left="720" w:hanging="720"/>
      <w:jc w:val="left"/>
      <w:outlineLvl w:val="4"/>
    </w:pPr>
    <w:rPr>
      <w:b/>
    </w:rPr>
  </w:style>
  <w:style w:type="paragraph" w:customStyle="1" w:styleId="CAHeadL5S1">
    <w:name w:val="CA Heading L5 S1"/>
    <w:basedOn w:val="Normal"/>
    <w:qFormat/>
    <w:pPr>
      <w:keepNext/>
      <w:keepLines/>
      <w:tabs>
        <w:tab w:val="left" w:pos="1440"/>
      </w:tabs>
      <w:spacing w:before="308" w:after="252" w:line="340" w:lineRule="exact"/>
      <w:ind w:left="1440" w:hanging="720"/>
      <w:jc w:val="left"/>
      <w:outlineLvl w:val="4"/>
    </w:pPr>
    <w:rPr>
      <w:b/>
    </w:rPr>
  </w:style>
  <w:style w:type="paragraph" w:customStyle="1" w:styleId="CAHeadL5S2">
    <w:name w:val="CA Heading L5 S2"/>
    <w:basedOn w:val="Normal"/>
    <w:qFormat/>
    <w:pPr>
      <w:keepNext/>
      <w:keepLines/>
      <w:tabs>
        <w:tab w:val="left" w:pos="2160"/>
      </w:tabs>
      <w:spacing w:before="308" w:after="252" w:line="340" w:lineRule="exact"/>
      <w:ind w:left="2160" w:hanging="720"/>
      <w:jc w:val="left"/>
      <w:outlineLvl w:val="4"/>
    </w:pPr>
    <w:rPr>
      <w:b/>
    </w:rPr>
  </w:style>
  <w:style w:type="paragraph" w:customStyle="1" w:styleId="CAHeadL5S3">
    <w:name w:val="CA Heading L5 S3"/>
    <w:basedOn w:val="Normal"/>
    <w:qFormat/>
    <w:pPr>
      <w:keepNext/>
      <w:keepLines/>
      <w:tabs>
        <w:tab w:val="left" w:pos="2880"/>
      </w:tabs>
      <w:spacing w:before="308" w:after="252" w:line="340" w:lineRule="exact"/>
      <w:ind w:left="2880" w:hanging="720"/>
      <w:jc w:val="left"/>
      <w:outlineLvl w:val="4"/>
    </w:pPr>
    <w:rPr>
      <w:b/>
    </w:rPr>
  </w:style>
  <w:style w:type="paragraph" w:customStyle="1" w:styleId="CAHeadL5S4">
    <w:name w:val="CA Heading L5 S4"/>
    <w:basedOn w:val="Normal"/>
    <w:qFormat/>
    <w:pPr>
      <w:keepNext/>
      <w:keepLines/>
      <w:tabs>
        <w:tab w:val="left" w:pos="3600"/>
      </w:tabs>
      <w:spacing w:before="308" w:after="252" w:line="340" w:lineRule="exact"/>
      <w:ind w:left="3600" w:hanging="720"/>
      <w:jc w:val="left"/>
      <w:outlineLvl w:val="4"/>
    </w:pPr>
    <w:rPr>
      <w:b/>
    </w:rPr>
  </w:style>
  <w:style w:type="paragraph" w:customStyle="1" w:styleId="CACentered">
    <w:name w:val="CA Centered"/>
    <w:basedOn w:val="Normal"/>
    <w:qFormat/>
    <w:pPr>
      <w:spacing w:before="0" w:after="0" w:line="340" w:lineRule="exact"/>
      <w:ind w:firstLine="0"/>
      <w:jc w:val="center"/>
    </w:pPr>
    <w:rPr/>
  </w:style>
  <w:style w:type="paragraph" w:customStyle="1" w:styleId="CACounsel">
    <w:name w:val="CA Counsel"/>
    <w:basedOn w:val="Normal"/>
    <w:qFormat/>
    <w:pPr>
      <w:spacing w:before="0" w:after="0" w:line="340" w:lineRule="exact"/>
      <w:ind w:firstLine="0"/>
      <w:jc w:val="left"/>
    </w:pPr>
    <w:rPr/>
  </w:style>
  <w:style w:type="paragraph" w:customStyle="1" w:styleId="CATocTop">
    <w:name w:val="CA TOC 1"/>
    <w:basedOn w:val="Normal"/>
    <w:qFormat/>
    <w:pPr>
      <w:keepLines/>
      <w:tabs>
        <w:tab w:val="right" w:leader="dot" w:pos="9360"/>
      </w:tabs>
      <w:spacing w:before="168" w:after="0" w:line="34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34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34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34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34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340" w:lineRule="exact"/>
      <w:ind w:left="3600" w:right="720" w:hanging="720"/>
    </w:pPr>
    <w:rPr/>
  </w:style>
  <w:style w:type="paragraph" w:customStyle="1" w:styleId="CATocPage">
    <w:name w:val="CA TOC Page"/>
    <w:basedOn w:val="Normal"/>
    <w:qFormat/>
    <w:pPr>
      <w:keepNext/>
      <w:spacing w:before="84" w:after="0" w:line="340" w:lineRule="exact"/>
      <w:ind w:firstLine="0"/>
      <w:jc w:val="right"/>
    </w:pPr>
    <w:rPr>
      <w:b/>
      <w:u w:val="single"/>
    </w:rPr>
  </w:style>
  <w:style w:type="paragraph" w:customStyle="1" w:styleId="CAToaGroup">
    <w:name w:val="CA TOA Group"/>
    <w:basedOn w:val="Normal"/>
    <w:qFormat/>
    <w:pPr>
      <w:keepNext/>
      <w:tabs>
        <w:tab w:val="right" w:pos="9360"/>
      </w:tabs>
      <w:spacing w:before="392" w:after="56" w:line="340" w:lineRule="exact"/>
      <w:ind w:firstLine="0"/>
    </w:pPr>
    <w:rPr>
      <w:b/>
    </w:rPr>
  </w:style>
  <w:style w:type="paragraph" w:customStyle="1" w:styleId="CAToaEntry">
    <w:name w:val="CA TOA Entry"/>
    <w:basedOn w:val="Normal"/>
    <w:qFormat/>
    <w:pPr>
      <w:keepLines/>
      <w:tabs>
        <w:tab w:val="right" w:leader="dot" w:pos="9360"/>
      </w:tabs>
      <w:spacing w:before="140" w:after="0" w:line="34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