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roman.xml" ContentType="application/vnd.openxmlformats-officedocument.wordprocessingml.footer+xml"/>
  <Override PartName="/word/footer-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spacing w:before="168" w:after="0" w:line="322" w:lineRule="exact"/>
        <w:ind w:left="0" w:firstLine="0"/>
        <w:jc w:val="center"/>
      </w:pPr>
      <w:r>
        <w:rPr>
          <w:b/>
          <w:bCs/>
        </w:rPr>
        <w:t xml:space="preserve">2026</w:t>
        <w:noBreakHyphen/>
        <w:t xml:space="preserve">1333</w:t>
      </w:r>
    </w:p>
    <w:p>
      <w:pPr>
        <w:keepNext/>
        <w:pBdr>
          <w:top w:val="double" w:sz="6" w:space="1" w:color="000000"/>
        </w:pBdr>
        <w:spacing w:before="280" w:after="280" w:line="120" w:lineRule="exact"/>
        <w:ind w:left="0" w:firstLine="0"/>
      </w:pPr>
    </w:p>
    <w:p>
      <w:pPr>
        <w:keepNext/>
        <w:spacing w:before="0" w:after="0" w:line="322" w:lineRule="exact"/>
        <w:ind w:left="0" w:firstLine="0"/>
        <w:jc w:val="center"/>
      </w:pPr>
      <w:r>
        <w:rPr>
          <w:b/>
          <w:bCs/>
        </w:rPr>
        <w:t xml:space="preserve">UNITED STATES COURT OF APPEALS FOR THE FEDERAL CIRCUIT</w:t>
      </w:r>
    </w:p>
    <w:p>
      <w:pPr>
        <w:keepNext/>
        <w:pBdr>
          <w:bottom w:val="single" w:sz="6" w:space="1" w:color="000000"/>
        </w:pBdr>
        <w:spacing w:before="280" w:after="280" w:line="120" w:lineRule="exact"/>
        <w:ind w:left="3240" w:right="3240" w:firstLine="0"/>
      </w:pPr>
    </w:p>
    <w:p>
      <w:pPr>
        <w:keepNext/>
        <w:spacing w:before="0" w:after="0" w:line="322" w:lineRule="exact"/>
        <w:ind w:left="0" w:firstLine="0"/>
        <w:jc w:val="center"/>
      </w:pPr>
      <w:r>
        <w:t xml:space="preserve">IN</w:t>
      </w:r>
      <w:r>
        <w:t xml:space="preserve"> </w:t>
      </w:r>
      <w:r>
        <w:t xml:space="preserve">RE</w:t>
      </w:r>
      <w:r>
        <w:t xml:space="preserve"> </w:t>
      </w:r>
      <w:r>
        <w:t xml:space="preserve">ABLYNX</w:t>
      </w:r>
      <w:r>
        <w:t xml:space="preserve"> </w:t>
      </w:r>
      <w:r>
        <w:t xml:space="preserve">N.V.,</w:t>
      </w:r>
      <w:r>
        <w:t xml:space="preserve"> </w:t>
      </w:r>
      <w:r>
        <w:t xml:space="preserve">SANOFI,</w:t>
      </w:r>
    </w:p>
    <w:p>
      <w:pPr>
        <w:keepNext/>
        <w:spacing w:before="98" w:after="0" w:line="322" w:lineRule="exact"/>
        <w:ind w:left="4680" w:firstLine="0"/>
      </w:pPr>
      <w:r>
        <w:t xml:space="preserve">Appellants</w:t>
      </w:r>
    </w:p>
    <w:p>
      <w:pPr>
        <w:keepNext/>
        <w:pBdr>
          <w:bottom w:val="single" w:sz="6" w:space="1" w:color="000000"/>
        </w:pBdr>
        <w:spacing w:before="280" w:after="280" w:line="120" w:lineRule="exact"/>
        <w:ind w:left="3240" w:right="3240" w:firstLine="0"/>
      </w:pPr>
    </w:p>
    <w:p>
      <w:pPr>
        <w:keepNext/>
        <w:spacing w:before="0"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Patent</w:t>
      </w:r>
      <w:r>
        <w:t xml:space="preserve"> </w:t>
      </w:r>
      <w:r>
        <w:t xml:space="preserve">and</w:t>
      </w:r>
      <w:r>
        <w:t xml:space="preserve"> </w:t>
      </w:r>
      <w:r>
        <w:t xml:space="preserve">Trademark</w:t>
      </w:r>
      <w:r>
        <w:t xml:space="preserve"> </w:t>
      </w:r>
      <w:r>
        <w:t xml:space="preserve">Office,</w:t>
      </w:r>
      <w:r>
        <w:t xml:space="preserve"> </w:t>
      </w:r>
      <w:r>
        <w:t xml:space="preserve">Patent</w:t>
      </w:r>
      <w:r>
        <w:t xml:space="preserve"> </w:t>
      </w:r>
      <w:r>
        <w:t xml:space="preserve">Trial</w:t>
      </w:r>
      <w:r>
        <w:t xml:space="preserve"> </w:t>
      </w:r>
      <w:r>
        <w:t xml:space="preserve">and</w:t>
      </w:r>
      <w:r>
        <w:t xml:space="preserve"> </w:t>
      </w:r>
      <w:r>
        <w:t xml:space="preserve">Appeal</w:t>
      </w:r>
      <w:r>
        <w:t xml:space="preserve"> </w:t>
      </w:r>
      <w:r>
        <w:t xml:space="preserve">Board</w:t>
      </w:r>
      <w:r>
        <w:t xml:space="preserve"> </w:t>
      </w:r>
      <w:r>
        <w:t xml:space="preserve">in</w:t>
      </w:r>
      <w:r>
        <w:t xml:space="preserve"> </w:t>
      </w:r>
      <w:r>
        <w:t xml:space="preserve">Serial</w:t>
      </w:r>
      <w:r>
        <w:t xml:space="preserve"> </w:t>
      </w:r>
      <w:r>
        <w:t xml:space="preserve">No.</w:t>
      </w:r>
      <w:r>
        <w:t xml:space="preserve"> </w:t>
      </w:r>
      <w:r>
        <w:t xml:space="preserve">17/409,019.</w:t>
      </w:r>
    </w:p>
    <w:p>
      <w:pPr>
        <w:keepNext/>
        <w:pBdr>
          <w:bottom w:val="single" w:sz="6" w:space="1" w:color="000000"/>
        </w:pBdr>
        <w:spacing w:before="280" w:after="280" w:line="120" w:lineRule="exact"/>
        <w:ind w:left="3240" w:right="3240" w:firstLine="0"/>
      </w:pPr>
    </w:p>
    <w:p>
      <w:pPr>
        <w:keepNext/>
        <w:spacing w:before="0" w:after="0" w:line="322" w:lineRule="exact"/>
        <w:ind w:left="0" w:firstLine="0"/>
        <w:jc w:val="center"/>
      </w:pPr>
      <w:r>
        <w:rPr>
          <w:b/>
          <w:bCs/>
        </w:rPr>
        <w:t xml:space="preserve">BRIEF</w:t>
      </w:r>
      <w:r>
        <w:rPr>
          <w:b/>
          <w:bCs/>
        </w:rPr>
        <w:t xml:space="preserve"> </w:t>
      </w:r>
      <w:r>
        <w:rPr>
          <w:b/>
          <w:bCs/>
        </w:rPr>
        <w:t xml:space="preserve">FOR</w:t>
      </w:r>
      <w:r>
        <w:rPr>
          <w:b/>
          <w:bCs/>
        </w:rPr>
        <w:t xml:space="preserve"> </w:t>
      </w:r>
      <w:r>
        <w:rPr>
          <w:b/>
          <w:bCs/>
        </w:rPr>
        <w:t xml:space="preserve">APPELLEE,</w:t>
      </w:r>
      <w:r>
        <w:rPr>
          <w:b/>
          <w:bCs/>
        </w:rPr>
        <w:t xml:space="preserve"> </w:t>
      </w:r>
      <w:r>
        <w:rPr>
          <w:b/>
          <w:bCs/>
        </w:rPr>
        <w:t xml:space="preserve">DIRECTOR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PATENT</w:t>
      </w:r>
      <w:r>
        <w:rPr>
          <w:b/>
          <w:bCs/>
        </w:rPr>
        <w:t xml:space="preserve"> </w:t>
      </w:r>
      <w:r>
        <w:rPr>
          <w:b/>
          <w:bCs/>
        </w:rPr>
        <w:t xml:space="preserve">AND</w:t>
      </w:r>
      <w:r>
        <w:rPr>
          <w:b/>
          <w:bCs/>
        </w:rPr>
        <w:t xml:space="preserve"> </w:t>
      </w:r>
      <w:r>
        <w:rPr>
          <w:b/>
          <w:bCs/>
        </w:rPr>
        <w:t xml:space="preserve">TRADEMARK</w:t>
      </w:r>
      <w:r>
        <w:rPr>
          <w:b/>
          <w:bCs/>
        </w:rPr>
        <w:t xml:space="preserve"> </w:t>
      </w:r>
      <w:r>
        <w:rPr>
          <w:b/>
          <w:bCs/>
        </w:rPr>
        <w:t xml:space="preserve">OFFICE</w:t>
      </w:r>
    </w:p>
    <w:p>
      <w:pPr>
        <w:keepNext/>
        <w:pBdr>
          <w:bottom w:val="single" w:sz="6" w:space="1" w:color="000000"/>
        </w:pBdr>
        <w:spacing w:before="280" w:after="280" w:line="120" w:lineRule="exact"/>
        <w:ind w:left="3240" w:right="3240" w:firstLine="0"/>
      </w:pPr>
    </w:p>
    <w:p>
      <w:pPr>
        <w:keepNext/>
        <w:spacing w:before="0" w:after="0" w:line="322" w:lineRule="exact"/>
        <w:ind w:left="4680" w:firstLine="0"/>
      </w:pPr>
      <w:r>
        <w:t xml:space="preserve">AUSTIN</w:t>
      </w:r>
      <w:r>
        <w:t xml:space="preserve"> </w:t>
      </w:r>
      <w:r>
        <w:t xml:space="preserve">P.</w:t>
      </w:r>
      <w:r>
        <w:t xml:space="preserve"> </w:t>
      </w:r>
      <w:r>
        <w:t xml:space="preserve">MAYRON</w:t>
      </w:r>
    </w:p>
    <w:p>
      <w:pPr>
        <w:keepNext/>
        <w:spacing w:before="0" w:after="0" w:line="322" w:lineRule="exact"/>
        <w:ind w:left="4820" w:firstLine="0"/>
      </w:pPr>
      <w:r>
        <w:t xml:space="preserve">Deputy</w:t>
      </w:r>
      <w:r>
        <w:t xml:space="preserve"> </w:t>
      </w:r>
      <w:r>
        <w:t xml:space="preserve">Solicitor</w:t>
      </w:r>
    </w:p>
    <w:p>
      <w:pPr>
        <w:keepNext/>
        <w:spacing w:before="140" w:after="0" w:line="322" w:lineRule="exact"/>
        <w:ind w:left="4680" w:firstLine="0"/>
      </w:pPr>
      <w:r>
        <w:t xml:space="preserve">ROBERT</w:t>
      </w:r>
      <w:r>
        <w:t xml:space="preserve"> </w:t>
      </w:r>
      <w:r>
        <w:t xml:space="preserve">J.</w:t>
      </w:r>
      <w:r>
        <w:t xml:space="preserve"> </w:t>
      </w:r>
      <w:r>
        <w:t xml:space="preserve">MCMANUS</w:t>
      </w:r>
    </w:p>
    <w:p>
      <w:pPr>
        <w:keepNext/>
        <w:spacing w:before="0" w:after="0" w:line="322" w:lineRule="exact"/>
        <w:ind w:left="4820" w:firstLine="0"/>
      </w:pPr>
      <w:r>
        <w:t xml:space="preserve">Senior</w:t>
      </w:r>
      <w:r>
        <w:t xml:space="preserve"> </w:t>
      </w:r>
      <w:r>
        <w:t xml:space="preserve">IP</w:t>
      </w:r>
      <w:r>
        <w:t xml:space="preserve"> </w:t>
      </w:r>
      <w:r>
        <w:t xml:space="preserve">Legal</w:t>
      </w:r>
      <w:r>
        <w:t xml:space="preserve"> </w:t>
      </w:r>
      <w:r>
        <w:t xml:space="preserve">Counsel</w:t>
      </w:r>
    </w:p>
    <w:p>
      <w:pPr>
        <w:keepNext/>
        <w:spacing w:before="140" w:after="0" w:line="322" w:lineRule="exact"/>
        <w:ind w:left="4680" w:firstLine="0"/>
      </w:pPr>
      <w:r>
        <w:t xml:space="preserve">KAKOLI</w:t>
      </w:r>
      <w:r>
        <w:t xml:space="preserve"> </w:t>
      </w:r>
      <w:r>
        <w:t xml:space="preserve">CAPRIHAN</w:t>
      </w:r>
    </w:p>
    <w:p>
      <w:pPr>
        <w:keepNext/>
        <w:spacing w:before="0" w:after="0" w:line="322" w:lineRule="exact"/>
        <w:ind w:left="4680" w:firstLine="0"/>
      </w:pPr>
      <w:r>
        <w:t xml:space="preserve">JUSTIN</w:t>
      </w:r>
      <w:r>
        <w:t xml:space="preserve"> </w:t>
      </w:r>
      <w:r>
        <w:t xml:space="preserve">BOVA</w:t>
      </w:r>
    </w:p>
    <w:p>
      <w:pPr>
        <w:keepNext/>
        <w:spacing w:before="0" w:after="0" w:line="322" w:lineRule="exact"/>
        <w:ind w:left="4680" w:firstLine="0"/>
      </w:pPr>
      <w:r>
        <w:t xml:space="preserve">MAUREEN</w:t>
      </w:r>
      <w:r>
        <w:t xml:space="preserve"> </w:t>
      </w:r>
      <w:r>
        <w:t xml:space="preserve">D.</w:t>
      </w:r>
      <w:r>
        <w:t xml:space="preserve"> </w:t>
      </w:r>
      <w:r>
        <w:t xml:space="preserve">QUELER</w:t>
      </w:r>
    </w:p>
    <w:p>
      <w:pPr>
        <w:keepNext/>
        <w:spacing w:before="0" w:after="0" w:line="322" w:lineRule="exact"/>
        <w:ind w:left="4820" w:firstLine="0"/>
      </w:pPr>
      <w:r>
        <w:t xml:space="preserve">Associate</w:t>
      </w:r>
      <w:r>
        <w:t xml:space="preserve"> </w:t>
      </w:r>
      <w:r>
        <w:t xml:space="preserve">Solicitors</w:t>
      </w:r>
    </w:p>
    <w:p>
      <w:pPr>
        <w:keepNext/>
        <w:spacing w:before="0" w:after="0" w:line="322" w:lineRule="exact"/>
        <w:ind w:left="4820" w:firstLine="0"/>
      </w:pPr>
      <w:r>
        <w:t xml:space="preserve">Office</w:t>
      </w:r>
      <w:r>
        <w:t xml:space="preserve"> </w:t>
      </w:r>
      <w:r>
        <w:t xml:space="preserve">of</w:t>
      </w:r>
      <w:r>
        <w:t xml:space="preserve"> </w:t>
      </w:r>
      <w:r>
        <w:t xml:space="preserve">the</w:t>
      </w:r>
      <w:r>
        <w:t xml:space="preserve"> </w:t>
      </w:r>
      <w:r>
        <w:t xml:space="preserve">Solicitor</w:t>
      </w:r>
    </w:p>
    <w:p>
      <w:pPr>
        <w:keepNext/>
        <w:spacing w:before="0" w:after="0" w:line="322" w:lineRule="exact"/>
        <w:ind w:left="4820" w:firstLine="0"/>
      </w:pPr>
      <w:r>
        <w:t xml:space="preserve">U.S.</w:t>
      </w:r>
      <w:r>
        <w:t xml:space="preserve"> </w:t>
      </w:r>
      <w:r>
        <w:t xml:space="preserve">Patent</w:t>
      </w:r>
      <w:r>
        <w:t xml:space="preserve"> </w:t>
      </w:r>
      <w:r>
        <w:t xml:space="preserve">and</w:t>
      </w:r>
      <w:r>
        <w:t xml:space="preserve"> </w:t>
      </w:r>
      <w:r>
        <w:t xml:space="preserve">Trademark</w:t>
      </w:r>
      <w:r>
        <w:t xml:space="preserve"> </w:t>
      </w:r>
      <w:r>
        <w:t xml:space="preserve">Office</w:t>
      </w:r>
    </w:p>
    <w:p>
      <w:pPr>
        <w:keepNext/>
        <w:spacing w:before="0" w:after="0" w:line="322" w:lineRule="exact"/>
        <w:ind w:left="4820" w:firstLine="0"/>
      </w:pPr>
      <w:r>
        <w:t xml:space="preserve">Mail</w:t>
      </w:r>
      <w:r>
        <w:t xml:space="preserve"> </w:t>
      </w:r>
      <w:r>
        <w:t xml:space="preserve">Stop</w:t>
      </w:r>
      <w:r>
        <w:t xml:space="preserve"> </w:t>
      </w:r>
      <w:r>
        <w:t xml:space="preserve">8,</w:t>
      </w:r>
      <w:r>
        <w:t xml:space="preserve"> </w:t>
      </w:r>
      <w:r>
        <w:t xml:space="preserve">P.O.</w:t>
      </w:r>
      <w:r>
        <w:t xml:space="preserve"> </w:t>
      </w:r>
      <w:r>
        <w:t xml:space="preserve">Box</w:t>
      </w:r>
      <w:r>
        <w:t xml:space="preserve"> </w:t>
      </w:r>
      <w:r>
        <w:t xml:space="preserve">1450</w:t>
      </w:r>
    </w:p>
    <w:p>
      <w:pPr>
        <w:keepNext/>
        <w:spacing w:before="0" w:after="0" w:line="322" w:lineRule="exact"/>
        <w:ind w:left="4820" w:firstLine="0"/>
      </w:pPr>
      <w:r>
        <w:t xml:space="preserve">Alexandria,</w:t>
      </w:r>
      <w:r>
        <w:t xml:space="preserve"> </w:t>
      </w:r>
      <w:r>
        <w:t xml:space="preserve">Virginia</w:t>
      </w:r>
      <w:r>
        <w:t xml:space="preserve"> </w:t>
      </w:r>
      <w:r>
        <w:t xml:space="preserve">22313</w:t>
      </w:r>
    </w:p>
    <w:p>
      <w:pPr>
        <w:keepNext/>
        <w:spacing w:before="0" w:after="0" w:line="322" w:lineRule="exact"/>
        <w:ind w:left="4820" w:firstLine="0"/>
      </w:pPr>
      <w:r>
        <w:t xml:space="preserve">Attorneys</w:t>
      </w:r>
      <w:r>
        <w:t xml:space="preserve"> </w:t>
      </w:r>
      <w:r>
        <w:t xml:space="preserve">for</w:t>
      </w:r>
      <w:r>
        <w:t xml:space="preserve"> </w:t>
      </w:r>
      <w:r>
        <w:t xml:space="preserve">the</w:t>
      </w:r>
      <w:r>
        <w:t xml:space="preserve"> </w:t>
      </w:r>
      <w:r>
        <w:t xml:space="preserve">Director</w:t>
      </w:r>
      <w:r>
        <w:t xml:space="preserve"> </w:t>
      </w:r>
      <w:r>
        <w:t xml:space="preserve">of</w:t>
      </w:r>
      <w:r>
        <w:t xml:space="preserve"> </w:t>
      </w:r>
      <w:r>
        <w:t xml:space="preserve">the</w:t>
      </w:r>
      <w:r>
        <w:t xml:space="preserve"> </w:t>
      </w:r>
      <w:r>
        <w:t xml:space="preserve">U.S.</w:t>
      </w:r>
      <w:r>
        <w:t xml:space="preserve"> </w:t>
      </w:r>
      <w:r>
        <w:t xml:space="preserve">Patent</w:t>
      </w:r>
      <w:r>
        <w:t xml:space="preserve"> </w:t>
      </w:r>
      <w:r>
        <w:t xml:space="preserve">and</w:t>
      </w:r>
      <w:r>
        <w:t xml:space="preserve"> </w:t>
      </w:r>
      <w:r>
        <w:t xml:space="preserve">Trademark</w:t>
      </w:r>
      <w:r>
        <w:t xml:space="preserve"> </w:t>
      </w:r>
      <w:r>
        <w:t xml:space="preserve">Office</w:t>
      </w:r>
    </w:p>
    <w:p>
      <w:pPr>
        <w:keepNext/>
        <w:spacing w:before="0" w:after="0" w:line="322" w:lineRule="exact"/>
        <w:ind w:left="4820" w:firstLine="0"/>
      </w:pPr>
      <w:r>
        <w:t xml:space="preserve">(571)</w:t>
      </w:r>
      <w:r>
        <w:t xml:space="preserve"> </w:t>
      </w:r>
      <w:r>
        <w:t xml:space="preserve">272</w:t>
        <w:noBreakHyphen/>
        <w:t xml:space="preserve">9035</w:t>
      </w:r>
    </w:p>
    <w:p>
      <w:pPr>
        <w:keepNext/>
        <w:spacing w:before="280" w:after="0" w:line="322" w:lineRule="exact"/>
        <w:ind w:left="4680" w:firstLine="0"/>
      </w:pPr>
      <w:r>
        <w:t xml:space="preserve">August</w:t>
      </w:r>
      <w:r>
        <w:t xml:space="preserve"> </w:t>
      </w:r>
      <w:r>
        <w:t xml:space="preserve">14,</w:t>
      </w:r>
      <w:r>
        <w:t xml:space="preserve"> </w:t>
      </w:r>
      <w:r>
        <w:t xml:space="preserve">2026</w:t>
      </w:r>
    </w:p>
    <w:p>
      <w:pPr>
        <w:keepNext/>
        <w:pBdr>
          <w:top w:val="double" w:sz="6" w:space="1" w:color="000000"/>
        </w:pBdr>
        <w:spacing w:before="280" w:after="0" w:line="120" w:lineRule="exact"/>
        <w:ind w:left="0" w:firstLine="0"/>
      </w:pPr>
    </w:p>
    <w:p>
      <w:pPr>
        <w:keepNext/>
        <w:keepLines/>
        <w:pageBreakBefore/>
        <w:spacing w:before="0" w:after="308" w:line="322" w:lineRule="exact"/>
        <w:ind w:left="0" w:firstLine="0"/>
        <w:jc w:val="center"/>
      </w:pPr>
      <w:r>
        <w:rPr>
          <w:b/>
          <w:bCs/>
        </w:rPr>
        <w:t xml:space="preserve">REPRESENTATIVE</w:t>
      </w:r>
      <w:r>
        <w:rPr>
          <w:b/>
          <w:bCs/>
        </w:rPr>
        <w:t xml:space="preserve"> </w:t>
      </w:r>
      <w:r>
        <w:rPr>
          <w:b/>
          <w:bCs/>
        </w:rPr>
        <w:t xml:space="preserve">CLAIM</w:t>
      </w:r>
    </w:p>
    <w:p>
      <w:pPr>
        <w:spacing w:before="0" w:after="0" w:line="322" w:lineRule="exact"/>
        <w:ind w:left="0" w:firstLine="0"/>
      </w:pPr>
      <w:r>
        <w:t xml:space="preserve">51.</w:t>
      </w:r>
      <w:r>
        <w:t xml:space="preserve"> </w:t>
      </w:r>
      <w:r>
        <w:t xml:space="preserve">A</w:t>
      </w:r>
      <w:r>
        <w:t xml:space="preserve"> </w:t>
      </w:r>
      <w:r>
        <w:t xml:space="preserve">fusion</w:t>
      </w:r>
      <w:r>
        <w:t xml:space="preserve"> </w:t>
      </w:r>
      <w:r>
        <w:t xml:space="preserve">protein</w:t>
      </w:r>
      <w:r>
        <w:t xml:space="preserve"> </w:t>
      </w:r>
      <w:r>
        <w:t xml:space="preserve">comprising</w:t>
      </w:r>
      <w:r>
        <w:t xml:space="preserve"> </w:t>
      </w:r>
      <w:r>
        <w:t xml:space="preserve">at</w:t>
      </w:r>
      <w:r>
        <w:t xml:space="preserve"> </w:t>
      </w:r>
      <w:r>
        <w:t xml:space="preserve">least</w:t>
      </w:r>
      <w:r>
        <w:t xml:space="preserve"> </w:t>
      </w:r>
      <w:r>
        <w:t xml:space="preserve">two</w:t>
      </w:r>
      <w:r>
        <w:t xml:space="preserve"> </w:t>
      </w:r>
      <w:r>
        <w:t xml:space="preserve">immunoglobulin</w:t>
      </w:r>
      <w:r>
        <w:t xml:space="preserve"> </w:t>
      </w:r>
      <w:r>
        <w:t xml:space="preserve">single</w:t>
      </w:r>
      <w:r>
        <w:t xml:space="preserve"> </w:t>
      </w:r>
      <w:r>
        <w:t xml:space="preserve">variable</w:t>
      </w:r>
      <w:r>
        <w:t xml:space="preserve"> </w:t>
      </w:r>
      <w:r>
        <w:t xml:space="preserve">domains</w:t>
      </w:r>
      <w:r>
        <w:t xml:space="preserve"> </w:t>
      </w:r>
      <w:r>
        <w:t xml:space="preserve">(ISV),</w:t>
      </w:r>
      <w:r>
        <w:t xml:space="preserve"> </w:t>
      </w:r>
      <w:r>
        <w:t xml:space="preserve">wherein</w:t>
      </w:r>
      <w:r>
        <w:t xml:space="preserve"> </w:t>
      </w:r>
      <w:r>
        <w:t xml:space="preserve">one</w:t>
      </w:r>
      <w:r>
        <w:t xml:space="preserve"> </w:t>
      </w:r>
      <w:r>
        <w:t xml:space="preserve">of</w:t>
      </w:r>
      <w:r>
        <w:t xml:space="preserve"> </w:t>
      </w:r>
      <w:r>
        <w:t xml:space="preserve">the</w:t>
      </w:r>
      <w:r>
        <w:t xml:space="preserve"> </w:t>
      </w:r>
      <w:r>
        <w:t xml:space="preserve">at</w:t>
      </w:r>
      <w:r>
        <w:t xml:space="preserve"> </w:t>
      </w:r>
      <w:r>
        <w:t xml:space="preserve">least</w:t>
      </w:r>
      <w:r>
        <w:t xml:space="preserve"> </w:t>
      </w:r>
      <w:r>
        <w:t xml:space="preserve">two</w:t>
      </w:r>
      <w:r>
        <w:t xml:space="preserve"> </w:t>
      </w:r>
      <w:r>
        <w:t xml:space="preserve">ISVs</w:t>
      </w:r>
      <w:r>
        <w:t xml:space="preserve"> </w:t>
      </w:r>
      <w:r>
        <w:t xml:space="preserve">is</w:t>
      </w:r>
      <w:r>
        <w:t xml:space="preserve"> </w:t>
      </w:r>
      <w:r>
        <w:t xml:space="preserve">at</w:t>
      </w:r>
      <w:r>
        <w:t xml:space="preserve"> </w:t>
      </w:r>
      <w:r>
        <w:t xml:space="preserve">the</w:t>
      </w:r>
      <w:r>
        <w:t xml:space="preserve"> </w:t>
      </w:r>
      <w:r>
        <w:t xml:space="preserve">C-terminal</w:t>
      </w:r>
      <w:r>
        <w:t xml:space="preserve"> </w:t>
      </w:r>
      <w:r>
        <w:t xml:space="preserve">end</w:t>
      </w:r>
      <w:r>
        <w:t xml:space="preserve"> </w:t>
      </w:r>
      <w:r>
        <w:t xml:space="preserve">of</w:t>
      </w:r>
      <w:r>
        <w:t xml:space="preserve"> </w:t>
      </w:r>
      <w:r>
        <w:t xml:space="preserve">the</w:t>
      </w:r>
      <w:r>
        <w:t xml:space="preserve"> </w:t>
      </w:r>
      <w:r>
        <w:t xml:space="preserve">fusion</w:t>
      </w:r>
      <w:r>
        <w:t xml:space="preserve"> </w:t>
      </w:r>
      <w:r>
        <w:t xml:space="preserve">protein,</w:t>
      </w:r>
      <w:r>
        <w:t xml:space="preserve"> </w:t>
      </w:r>
      <w:r>
        <w:t xml:space="preserve">wherein</w:t>
      </w:r>
      <w:r>
        <w:t xml:space="preserve"> </w:t>
      </w:r>
      <w:r>
        <w:t xml:space="preserve">the</w:t>
      </w:r>
      <w:r>
        <w:t xml:space="preserve"> </w:t>
      </w:r>
      <w:r>
        <w:t xml:space="preserve">ISV</w:t>
      </w:r>
      <w:r>
        <w:t xml:space="preserve"> </w:t>
      </w:r>
      <w:r>
        <w:t xml:space="preserve">at</w:t>
      </w:r>
      <w:r>
        <w:t xml:space="preserve"> </w:t>
      </w:r>
      <w:r>
        <w:t xml:space="preserve">the</w:t>
      </w:r>
      <w:r>
        <w:t xml:space="preserve"> </w:t>
      </w:r>
      <w:r>
        <w:t xml:space="preserve">C-terminal</w:t>
      </w:r>
      <w:r>
        <w:t xml:space="preserve"> </w:t>
      </w:r>
      <w:r>
        <w:t xml:space="preserve">end</w:t>
      </w:r>
      <w:r>
        <w:t xml:space="preserve"> </w:t>
      </w:r>
      <w:r>
        <w:t xml:space="preserve">of</w:t>
      </w:r>
      <w:r>
        <w:t xml:space="preserve"> </w:t>
      </w:r>
      <w:r>
        <w:t xml:space="preserve">the</w:t>
      </w:r>
      <w:r>
        <w:t xml:space="preserve"> </w:t>
      </w:r>
      <w:r>
        <w:t xml:space="preserve">fusion</w:t>
      </w:r>
      <w:r>
        <w:t xml:space="preserve"> </w:t>
      </w:r>
      <w:r>
        <w:t xml:space="preserve">protein</w:t>
      </w:r>
      <w:r>
        <w:t xml:space="preserve"> </w:t>
      </w:r>
      <w:r>
        <w:t xml:space="preserve">is</w:t>
      </w:r>
      <w:r>
        <w:t xml:space="preserve"> </w:t>
      </w:r>
      <w:r>
        <w:t xml:space="preserve">a</w:t>
      </w:r>
      <w:r>
        <w:t xml:space="preserve"> </w:t>
      </w:r>
      <w:r>
        <w:t xml:space="preserve">VHH,</w:t>
      </w:r>
      <w:r>
        <w:t xml:space="preserve"> </w:t>
      </w:r>
      <w:r>
        <w:t xml:space="preserve">a</w:t>
      </w:r>
      <w:r>
        <w:t xml:space="preserve"> </w:t>
      </w:r>
      <w:r>
        <w:t xml:space="preserve">humanized</w:t>
      </w:r>
      <w:r>
        <w:t xml:space="preserve"> </w:t>
      </w:r>
      <w:r>
        <w:t xml:space="preserve">VHH,</w:t>
      </w:r>
      <w:r>
        <w:t xml:space="preserve"> </w:t>
      </w:r>
      <w:r>
        <w:t xml:space="preserve">a</w:t>
      </w:r>
      <w:r>
        <w:t xml:space="preserve"> </w:t>
      </w:r>
      <w:r>
        <w:t xml:space="preserve">VH,</w:t>
      </w:r>
      <w:r>
        <w:t xml:space="preserve"> </w:t>
      </w:r>
      <w:r>
        <w:t xml:space="preserve">or</w:t>
      </w:r>
      <w:r>
        <w:t xml:space="preserve"> </w:t>
      </w:r>
      <w:r>
        <w:t xml:space="preserve">a</w:t>
      </w:r>
      <w:r>
        <w:t xml:space="preserve"> </w:t>
      </w:r>
      <w:r>
        <w:t xml:space="preserve">camelized</w:t>
      </w:r>
      <w:r>
        <w:t xml:space="preserve"> </w:t>
      </w:r>
      <w:r>
        <w:t xml:space="preserve">VH</w:t>
      </w:r>
      <w:r>
        <w:t xml:space="preserve"> </w:t>
      </w:r>
      <w:r>
        <w:t xml:space="preserve">that:</w:t>
      </w:r>
      <w:r>
        <w:t xml:space="preserve"> </w:t>
      </w:r>
      <w:r>
        <w:t xml:space="preserve">does</w:t>
      </w:r>
      <w:r>
        <w:t xml:space="preserve"> </w:t>
      </w:r>
      <w:r>
        <w:t xml:space="preserve">not</w:t>
      </w:r>
      <w:r>
        <w:t xml:space="preserve"> </w:t>
      </w:r>
      <w:r>
        <w:t xml:space="preserve">bind</w:t>
      </w:r>
      <w:r>
        <w:t xml:space="preserve"> </w:t>
      </w:r>
      <w:r>
        <w:t xml:space="preserve">to</w:t>
      </w:r>
      <w:r>
        <w:t xml:space="preserve"> </w:t>
      </w:r>
      <w:r>
        <w:t xml:space="preserve">serum</w:t>
      </w:r>
      <w:r>
        <w:t xml:space="preserve"> </w:t>
      </w:r>
      <w:r>
        <w:t xml:space="preserve">albumin;</w:t>
      </w:r>
      <w:r>
        <w:t xml:space="preserve"> </w:t>
      </w:r>
      <w:r>
        <w:t xml:space="preserve">and</w:t>
      </w:r>
      <w:r>
        <w:t xml:space="preserve"> </w:t>
      </w:r>
      <w:r>
        <w:t xml:space="preserve">has</w:t>
      </w:r>
      <w:r>
        <w:t xml:space="preserve"> </w:t>
      </w:r>
      <w:r>
        <w:t xml:space="preserve">a</w:t>
      </w:r>
      <w:r>
        <w:t xml:space="preserve"> </w:t>
      </w:r>
      <w:r>
        <w:t xml:space="preserve">C-terminal</w:t>
      </w:r>
      <w:r>
        <w:t xml:space="preserve"> </w:t>
      </w:r>
      <w:r>
        <w:t xml:space="preserve">end</w:t>
      </w:r>
      <w:r>
        <w:t xml:space="preserve"> </w:t>
      </w:r>
      <w:r>
        <w:t xml:space="preserve">of</w:t>
      </w:r>
      <w:r>
        <w:t xml:space="preserve"> </w:t>
      </w:r>
      <w:r>
        <w:t xml:space="preserve">the</w:t>
      </w:r>
      <w:r>
        <w:t xml:space="preserve"> </w:t>
      </w:r>
      <w:r>
        <w:t xml:space="preserve">sequence</w:t>
      </w:r>
      <w:r>
        <w:t xml:space="preserve"> </w:t>
      </w:r>
      <w:r>
        <w:t xml:space="preserve">VTVSS(X)n</w:t>
      </w:r>
      <w:r>
        <w:t xml:space="preserve"> </w:t>
      </w:r>
      <w:r>
        <w:t xml:space="preserve">(SEQ</w:t>
      </w:r>
      <w:r>
        <w:t xml:space="preserve"> </w:t>
      </w:r>
      <w:r>
        <w:t xml:space="preserve">ID</w:t>
      </w:r>
      <w:r>
        <w:t xml:space="preserve"> </w:t>
      </w:r>
      <w:r>
        <w:t xml:space="preserve">NO:</w:t>
      </w:r>
      <w:r>
        <w:t xml:space="preserve"> </w:t>
      </w:r>
      <w:r>
        <w:t xml:space="preserve">34),</w:t>
      </w:r>
      <w:r>
        <w:t xml:space="preserve"> </w:t>
      </w:r>
      <w:r>
        <w:t xml:space="preserve">in</w:t>
      </w:r>
      <w:r>
        <w:t xml:space="preserve"> </w:t>
      </w:r>
      <w:r>
        <w:t xml:space="preserve">which</w:t>
      </w:r>
      <w:r>
        <w:t xml:space="preserve"> </w:t>
      </w:r>
      <w:r>
        <w:t xml:space="preserve">n</w:t>
      </w:r>
      <w:r>
        <w:t xml:space="preserve"> </w:t>
      </w:r>
      <w:r>
        <w:t xml:space="preserve">is</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or</w:t>
      </w:r>
      <w:r>
        <w:t xml:space="preserve"> </w:t>
      </w:r>
      <w:r>
        <w:t xml:space="preserve">5,</w:t>
      </w:r>
      <w:r>
        <w:t xml:space="preserve"> </w:t>
      </w:r>
      <w:r>
        <w:t xml:space="preserve">and</w:t>
      </w:r>
      <w:r>
        <w:t xml:space="preserve"> </w:t>
      </w:r>
      <w:r>
        <w:t xml:space="preserve">in</w:t>
      </w:r>
      <w:r>
        <w:t xml:space="preserve"> </w:t>
      </w:r>
      <w:r>
        <w:t xml:space="preserve">which</w:t>
      </w:r>
      <w:r>
        <w:t xml:space="preserve"> </w:t>
      </w:r>
      <w:r>
        <w:t xml:space="preserve">each</w:t>
      </w:r>
      <w:r>
        <w:t xml:space="preserve"> </w:t>
      </w:r>
      <w:r>
        <w:t xml:space="preserve">X</w:t>
      </w:r>
      <w:r>
        <w:t xml:space="preserve"> </w:t>
      </w:r>
      <w:r>
        <w:t xml:space="preserve">is</w:t>
      </w:r>
      <w:r>
        <w:t xml:space="preserve"> </w:t>
      </w:r>
      <w:r>
        <w:t xml:space="preserve">chosen</w:t>
      </w:r>
      <w:r>
        <w:t xml:space="preserve"> </w:t>
      </w:r>
      <w:r>
        <w:t xml:space="preserve">from</w:t>
      </w:r>
      <w:r>
        <w:t xml:space="preserve"> </w:t>
      </w:r>
      <w:r>
        <w:t xml:space="preserve">the</w:t>
      </w:r>
      <w:r>
        <w:t xml:space="preserve"> </w:t>
      </w:r>
      <w:r>
        <w:t xml:space="preserve">group</w:t>
      </w:r>
      <w:r>
        <w:t xml:space="preserve"> </w:t>
      </w:r>
      <w:r>
        <w:t xml:space="preserve">consisting</w:t>
      </w:r>
      <w:r>
        <w:t xml:space="preserve"> </w:t>
      </w:r>
      <w:r>
        <w:t xml:space="preserve">of</w:t>
      </w:r>
      <w:r>
        <w:t xml:space="preserve"> </w:t>
      </w:r>
      <w:r>
        <w:t xml:space="preserve">alanine</w:t>
      </w:r>
      <w:r>
        <w:t xml:space="preserve"> </w:t>
      </w:r>
      <w:r>
        <w:t xml:space="preserve">(A),</w:t>
      </w:r>
      <w:r>
        <w:t xml:space="preserve"> </w:t>
      </w:r>
      <w:r>
        <w:t xml:space="preserve">glycine</w:t>
      </w:r>
      <w:r>
        <w:t xml:space="preserve"> </w:t>
      </w:r>
      <w:r>
        <w:t xml:space="preserve">(G),</w:t>
      </w:r>
      <w:r>
        <w:t xml:space="preserve"> </w:t>
      </w:r>
      <w:r>
        <w:t xml:space="preserve">valine</w:t>
      </w:r>
      <w:r>
        <w:t xml:space="preserve"> </w:t>
      </w:r>
      <w:r>
        <w:t xml:space="preserve">(V),</w:t>
      </w:r>
      <w:r>
        <w:t xml:space="preserve"> </w:t>
      </w:r>
      <w:r>
        <w:t xml:space="preserve">leucine</w:t>
      </w:r>
      <w:r>
        <w:t xml:space="preserve"> </w:t>
      </w:r>
      <w:r>
        <w:t xml:space="preserve">(L),</w:t>
      </w:r>
      <w:r>
        <w:t xml:space="preserve"> </w:t>
      </w:r>
      <w:r>
        <w:t xml:space="preserve">and</w:t>
      </w:r>
      <w:r>
        <w:t xml:space="preserve"> </w:t>
      </w:r>
      <w:r>
        <w:t xml:space="preserve">isoleucine</w:t>
      </w:r>
      <w:r>
        <w:t xml:space="preserve"> </w:t>
      </w:r>
      <w:r>
        <w:t xml:space="preserve">(I),</w:t>
      </w:r>
      <w:r>
        <w:t xml:space="preserve"> </w:t>
      </w:r>
      <w:r>
        <w:t xml:space="preserve">except</w:t>
      </w:r>
      <w:r>
        <w:t xml:space="preserve"> </w:t>
      </w:r>
      <w:r>
        <w:t xml:space="preserve">with</w:t>
      </w:r>
      <w:r>
        <w:t xml:space="preserve"> </w:t>
      </w:r>
      <w:r>
        <w:t xml:space="preserve">the</w:t>
      </w:r>
      <w:r>
        <w:t xml:space="preserve"> </w:t>
      </w:r>
      <w:r>
        <w:t xml:space="preserve">proviso</w:t>
      </w:r>
      <w:r>
        <w:t xml:space="preserve"> </w:t>
      </w:r>
      <w:r>
        <w:t xml:space="preserve">that</w:t>
      </w:r>
      <w:r>
        <w:t xml:space="preserve"> </w:t>
      </w:r>
      <w:r>
        <w:t xml:space="preserve">when</w:t>
      </w:r>
      <w:r>
        <w:t xml:space="preserve"> </w:t>
      </w:r>
      <w:r>
        <w:t xml:space="preserve">n</w:t>
      </w:r>
      <w:r>
        <w:t xml:space="preserve"> </w:t>
      </w:r>
      <w:r>
        <w:t xml:space="preserve">is</w:t>
      </w:r>
      <w:r>
        <w:t xml:space="preserve"> </w:t>
      </w:r>
      <w:r>
        <w:t xml:space="preserve">3,</w:t>
      </w:r>
      <w:r>
        <w:t xml:space="preserve"> </w:t>
      </w:r>
      <w:r>
        <w:t xml:space="preserve">each</w:t>
      </w:r>
      <w:r>
        <w:t xml:space="preserve"> </w:t>
      </w:r>
      <w:r>
        <w:t xml:space="preserve">X</w:t>
      </w:r>
      <w:r>
        <w:t xml:space="preserve"> </w:t>
      </w:r>
      <w:r>
        <w:t xml:space="preserve">is</w:t>
      </w:r>
      <w:r>
        <w:t xml:space="preserve"> </w:t>
      </w:r>
      <w:r>
        <w:t xml:space="preserve">chosen</w:t>
      </w:r>
      <w:r>
        <w:t xml:space="preserve"> </w:t>
      </w:r>
      <w:r>
        <w:t xml:space="preserve">from</w:t>
      </w:r>
      <w:r>
        <w:t xml:space="preserve"> </w:t>
      </w:r>
      <w:r>
        <w:t xml:space="preserve">the</w:t>
      </w:r>
      <w:r>
        <w:t xml:space="preserve"> </w:t>
      </w:r>
      <w:r>
        <w:t xml:space="preserve">group</w:t>
      </w:r>
      <w:r>
        <w:t xml:space="preserve"> </w:t>
      </w:r>
      <w:r>
        <w:t xml:space="preserve">consisting</w:t>
      </w:r>
      <w:r>
        <w:t xml:space="preserve"> </w:t>
      </w:r>
      <w:r>
        <w:t xml:space="preserve">of</w:t>
      </w:r>
      <w:r>
        <w:t xml:space="preserve"> </w:t>
      </w:r>
      <w:r>
        <w:t xml:space="preserve">glycine</w:t>
      </w:r>
      <w:r>
        <w:t xml:space="preserve"> </w:t>
      </w:r>
      <w:r>
        <w:t xml:space="preserve">(G),</w:t>
      </w:r>
      <w:r>
        <w:t xml:space="preserve"> </w:t>
      </w:r>
      <w:r>
        <w:t xml:space="preserve">valine</w:t>
      </w:r>
      <w:r>
        <w:t xml:space="preserve"> </w:t>
      </w:r>
      <w:r>
        <w:t xml:space="preserve">(V),</w:t>
      </w:r>
      <w:r>
        <w:t xml:space="preserve"> </w:t>
      </w:r>
      <w:r>
        <w:t xml:space="preserve">leucine</w:t>
      </w:r>
      <w:r>
        <w:t xml:space="preserve"> </w:t>
      </w:r>
      <w:r>
        <w:t xml:space="preserve">(L),</w:t>
      </w:r>
      <w:r>
        <w:t xml:space="preserve"> </w:t>
      </w:r>
      <w:r>
        <w:t xml:space="preserve">and</w:t>
      </w:r>
      <w:r>
        <w:t xml:space="preserve"> </w:t>
      </w:r>
      <w:r>
        <w:t xml:space="preserve">isoleucine</w:t>
      </w:r>
      <w:r>
        <w:t xml:space="preserve"> </w:t>
      </w:r>
      <w:r>
        <w:t xml:space="preserve">(I),</w:t>
      </w:r>
      <w:r>
        <w:t xml:space="preserve"> </w:t>
      </w:r>
      <w:r>
        <w:t xml:space="preserve">wherein</w:t>
      </w:r>
      <w:r>
        <w:t xml:space="preserve"> </w:t>
      </w:r>
      <w:r>
        <w:t xml:space="preserve">the</w:t>
      </w:r>
      <w:r>
        <w:t xml:space="preserve"> </w:t>
      </w:r>
      <w:r>
        <w:t xml:space="preserve">fusion</w:t>
      </w:r>
      <w:r>
        <w:t xml:space="preserve"> </w:t>
      </w:r>
      <w:r>
        <w:t xml:space="preserve">protein</w:t>
      </w:r>
      <w:r>
        <w:t xml:space="preserve"> </w:t>
      </w:r>
      <w:r>
        <w:t xml:space="preserve">does</w:t>
      </w:r>
      <w:r>
        <w:t xml:space="preserve"> </w:t>
      </w:r>
      <w:r>
        <w:t xml:space="preserve">not</w:t>
      </w:r>
      <w:r>
        <w:t xml:space="preserve"> </w:t>
      </w:r>
      <w:r>
        <w:t xml:space="preserve">comprise</w:t>
      </w:r>
      <w:r>
        <w:t xml:space="preserve"> </w:t>
      </w:r>
      <w:r>
        <w:t xml:space="preserve">an</w:t>
      </w:r>
      <w:r>
        <w:t xml:space="preserve"> </w:t>
      </w:r>
      <w:r>
        <w:t xml:space="preserve">ISV</w:t>
      </w:r>
      <w:r>
        <w:t xml:space="preserve"> </w:t>
      </w:r>
      <w:r>
        <w:t xml:space="preserve">that</w:t>
      </w:r>
      <w:r>
        <w:t xml:space="preserve"> </w:t>
      </w:r>
      <w:r>
        <w:t xml:space="preserve">binds</w:t>
      </w:r>
      <w:r>
        <w:t xml:space="preserve"> </w:t>
      </w:r>
      <w:r>
        <w:t xml:space="preserve">IL</w:t>
        <w:noBreakHyphen/>
        <w:t xml:space="preserve">23</w:t>
      </w:r>
      <w:r>
        <w:t xml:space="preserve"> </w:t>
      </w:r>
      <w:r>
        <w:t xml:space="preserve">or</w:t>
      </w:r>
      <w:r>
        <w:t xml:space="preserve"> </w:t>
      </w:r>
      <w:r>
        <w:t xml:space="preserve">other</w:t>
      </w:r>
      <w:r>
        <w:t xml:space="preserve"> </w:t>
      </w:r>
      <w:r>
        <w:t xml:space="preserve">interleukins.</w:t>
      </w:r>
    </w:p>
    <w:p>
      <w:pPr>
        <w:spacing w:before="280" w:after="0" w:line="322" w:lineRule="exact"/>
        <w:ind w:left="0" w:firstLine="0"/>
      </w:pPr>
      <w:r>
        <w:t xml:space="preserve">Appx151.</w:t>
      </w:r>
    </w:p>
    <w:p>
      <w:pPr>
        <w:spacing w:before="0" w:after="0" w:line="20" w:lineRule="exact"/>
        <w:sectPr>
          <w:pgSz w:w="12240" w:h="15840"/>
          <w:pgMar w:top="1440" w:right="1440" w:bottom="1440" w:left="1440" w:header="720" w:footer="686" w:gutter="0"/>
        </w:sectPr>
      </w:pPr>
    </w:p>
    <w:p>
      <w:pPr>
        <w:keepNext/>
        <w:keepLines/>
        <w:spacing w:before="0" w:after="308" w:line="322" w:lineRule="exact"/>
        <w:ind w:left="0" w:firstLine="0"/>
        <w:jc w:val="center"/>
      </w:pPr>
      <w:r>
        <w:rPr>
          <w:b/>
          <w:bCs/>
        </w:rPr>
        <w:t xml:space="preserve">TABLE OF CONTENTS</w:t>
      </w:r>
    </w:p>
    <w:p>
      <w:pPr>
        <w:keepNext/>
        <w:spacing w:before="84" w:after="0" w:line="322" w:lineRule="exact"/>
        <w:ind w:left="0" w:firstLine="0"/>
        <w:jc w:val="right"/>
      </w:pPr>
      <w:r>
        <w:rPr>
          <w:b/>
          <w:bCs/>
          <w:u w:val="single"/>
        </w:rPr>
        <w:t xml:space="preserve">Page</w:t>
      </w:r>
    </w:p>
    <w:p>
      <w:pPr>
        <w:keepLines/>
        <w:tabs>
          <w:tab w:val="left" w:pos="720"/>
          <w:tab w:val="right" w:leader="dot" w:pos="9360"/>
        </w:tabs>
        <w:spacing w:before="168" w:after="0" w:line="322" w:lineRule="exact"/>
        <w:ind w:left="720" w:right="720" w:hanging="720"/>
      </w:pPr>
      <w:r>
        <w:t xml:space="preserve">I.</w:t>
      </w:r>
      <w:r>
        <w:tab/>
      </w:r>
      <w:r>
        <w:t xml:space="preserve">Statement</w:t>
      </w:r>
      <w:r>
        <w:t xml:space="preserve"> </w:t>
      </w:r>
      <w:r>
        <w:t xml:space="preserve">of</w:t>
      </w:r>
      <w:r>
        <w:t xml:space="preserve"> </w:t>
      </w:r>
      <w:r>
        <w:t xml:space="preserve">the</w:t>
      </w:r>
      <w:r>
        <w:t xml:space="preserve"> </w:t>
      </w:r>
      <w:r>
        <w:t xml:space="preserve">Issue</w:t>
      </w:r>
      <w:r>
        <w:t xml:space="preserve">   </w:t>
      </w:r>
      <w:r>
        <w:tab/>
      </w:r>
      <w:r>
        <w:t xml:space="preserve">1</w:t>
      </w:r>
    </w:p>
    <w:p>
      <w:pPr>
        <w:keepLines/>
        <w:tabs>
          <w:tab w:val="left" w:pos="720"/>
          <w:tab w:val="right" w:leader="dot" w:pos="9360"/>
        </w:tabs>
        <w:spacing w:before="168" w:after="0" w:line="322" w:lineRule="exact"/>
        <w:ind w:left="720" w:right="720" w:hanging="720"/>
      </w:pPr>
      <w:r>
        <w:t xml:space="preserve">II.</w:t>
      </w:r>
      <w:r>
        <w:tab/>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left" w:pos="1440"/>
          <w:tab w:val="right" w:leader="dot" w:pos="9360"/>
        </w:tabs>
        <w:spacing w:before="98" w:after="0" w:line="322" w:lineRule="exact"/>
        <w:ind w:left="1440" w:right="720" w:hanging="720"/>
      </w:pPr>
      <w:r>
        <w:t xml:space="preserve">A.</w:t>
      </w:r>
      <w:r>
        <w:tab/>
      </w:r>
      <w:r>
        <w:t xml:space="preserve">Appellants</w:t>
      </w:r>
      <w:r>
        <w:t xml:space="preserve"> </w:t>
      </w:r>
      <w:r>
        <w:t xml:space="preserve">admit</w:t>
      </w:r>
      <w:r>
        <w:t xml:space="preserve"> </w:t>
      </w:r>
      <w:r>
        <w:t xml:space="preserve">their</w:t>
      </w:r>
      <w:r>
        <w:t xml:space="preserve"> </w:t>
      </w:r>
      <w:r>
        <w:t xml:space="preserve">pending</w:t>
      </w:r>
      <w:r>
        <w:t xml:space="preserve"> </w:t>
      </w:r>
      <w:r>
        <w:t xml:space="preserve">claims</w:t>
      </w:r>
      <w:r>
        <w:t xml:space="preserve"> </w:t>
      </w:r>
      <w:r>
        <w:t xml:space="preserve">are</w:t>
      </w:r>
      <w:r>
        <w:t xml:space="preserve"> </w:t>
      </w:r>
      <w:r>
        <w:t xml:space="preserve">not</w:t>
      </w:r>
      <w:r>
        <w:t xml:space="preserve"> </w:t>
      </w:r>
      <w:r>
        <w:t xml:space="preserve">patentably</w:t>
      </w:r>
      <w:r>
        <w:t xml:space="preserve"> </w:t>
      </w:r>
      <w:r>
        <w:t xml:space="preserve">distinct</w:t>
      </w:r>
      <w:r>
        <w:t xml:space="preserve"> </w:t>
      </w:r>
      <w:r>
        <w:t xml:space="preserve">over</w:t>
      </w:r>
      <w:r>
        <w:t xml:space="preserve"> </w:t>
      </w:r>
      <w:r>
        <w:t xml:space="preserve">their</w:t>
      </w:r>
      <w:r>
        <w:t xml:space="preserve"> </w:t>
      </w:r>
      <w:r>
        <w:t xml:space="preserve">issued</w:t>
      </w:r>
      <w:r>
        <w:t xml:space="preserve"> </w:t>
      </w:r>
      <w:r>
        <w:t xml:space="preserve">patent</w:t>
      </w:r>
      <w:r>
        <w:t xml:space="preserve"> </w:t>
      </w:r>
      <w:r>
        <w:t xml:space="preserve">claims.</w:t>
      </w:r>
      <w:r>
        <w:t xml:space="preserve">   </w:t>
      </w:r>
      <w:r>
        <w:tab/>
      </w:r>
      <w:r>
        <w:t xml:space="preserve">2</w:t>
      </w:r>
    </w:p>
    <w:p>
      <w:pPr>
        <w:keepLines/>
        <w:tabs>
          <w:tab w:val="left" w:pos="1440"/>
          <w:tab w:val="right" w:leader="dot" w:pos="9360"/>
        </w:tabs>
        <w:spacing w:before="98" w:after="0" w:line="322" w:lineRule="exact"/>
        <w:ind w:left="1440" w:right="720" w:hanging="720"/>
      </w:pPr>
      <w:r>
        <w:t xml:space="preserve">B.</w:t>
      </w:r>
      <w:r>
        <w:tab/>
      </w:r>
      <w:r>
        <w:t xml:space="preserve">The</w:t>
      </w:r>
      <w:r>
        <w:t xml:space="preserve"> </w:t>
      </w:r>
      <w:r>
        <w:t xml:space="preserve">Board</w:t>
      </w:r>
      <w:r>
        <w:t xml:space="preserve"> </w:t>
      </w:r>
      <w:r>
        <w:t xml:space="preserve">affirmed</w:t>
      </w:r>
      <w:r>
        <w:t xml:space="preserve"> </w:t>
      </w:r>
      <w:r>
        <w:t xml:space="preserve">the</w:t>
      </w:r>
      <w:r>
        <w:t xml:space="preserve"> </w:t>
      </w:r>
      <w:r>
        <w:t xml:space="preserve">Examiner’s</w:t>
      </w:r>
      <w:r>
        <w:t xml:space="preserve"> </w:t>
      </w:r>
      <w:r>
        <w:t xml:space="preserve">ODP</w:t>
      </w:r>
      <w:r>
        <w:t xml:space="preserve"> </w:t>
      </w:r>
      <w:r>
        <w:t xml:space="preserve">rejections</w:t>
      </w:r>
      <w:r>
        <w:t xml:space="preserve"> </w:t>
      </w:r>
      <w:r>
        <w:t xml:space="preserve">of</w:t>
      </w:r>
      <w:r>
        <w:t xml:space="preserve"> </w:t>
      </w:r>
      <w:r>
        <w:t xml:space="preserve">Appellants’</w:t>
      </w:r>
      <w:r>
        <w:t xml:space="preserve"> </w:t>
      </w:r>
      <w:r>
        <w:t xml:space="preserve">pending</w:t>
      </w:r>
      <w:r>
        <w:t xml:space="preserve"> </w:t>
      </w:r>
      <w:r>
        <w:t xml:space="preserve">claims.</w:t>
      </w:r>
      <w:r>
        <w:t xml:space="preserve">   </w:t>
      </w:r>
      <w:r>
        <w:tab/>
      </w:r>
      <w:r>
        <w:t xml:space="preserve">3</w:t>
      </w:r>
    </w:p>
    <w:p>
      <w:pPr>
        <w:keepLines/>
        <w:tabs>
          <w:tab w:val="left" w:pos="720"/>
          <w:tab w:val="right" w:leader="dot" w:pos="9360"/>
        </w:tabs>
        <w:spacing w:before="168" w:after="0" w:line="322" w:lineRule="exact"/>
        <w:ind w:left="720" w:right="720" w:hanging="720"/>
      </w:pPr>
      <w:r>
        <w:t xml:space="preserve">III.</w:t>
      </w:r>
      <w:r>
        <w:tab/>
      </w: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4</w:t>
      </w:r>
    </w:p>
    <w:p>
      <w:pPr>
        <w:keepLines/>
        <w:tabs>
          <w:tab w:val="left" w:pos="720"/>
          <w:tab w:val="right" w:leader="dot" w:pos="9360"/>
        </w:tabs>
        <w:spacing w:before="168" w:after="0" w:line="322" w:lineRule="exact"/>
        <w:ind w:left="720" w:right="720" w:hanging="720"/>
      </w:pPr>
      <w:r>
        <w:t xml:space="preserve">IV.</w:t>
      </w:r>
      <w:r>
        <w:tab/>
      </w:r>
      <w:r>
        <w:t xml:space="preserve">Argument</w:t>
      </w:r>
      <w:r>
        <w:t xml:space="preserve">   </w:t>
      </w:r>
      <w:r>
        <w:tab/>
      </w:r>
      <w:r>
        <w:t xml:space="preserve">4</w:t>
      </w:r>
    </w:p>
    <w:p>
      <w:pPr>
        <w:keepLines/>
        <w:tabs>
          <w:tab w:val="left" w:pos="1440"/>
          <w:tab w:val="right" w:leader="dot" w:pos="9360"/>
        </w:tabs>
        <w:spacing w:before="98" w:after="0" w:line="322" w:lineRule="exact"/>
        <w:ind w:left="1440" w:right="720" w:hanging="720"/>
      </w:pPr>
      <w:r>
        <w:t xml:space="preserve">A.</w:t>
      </w:r>
      <w:r>
        <w:tab/>
      </w:r>
      <w:r>
        <w:t xml:space="preserve">Standard</w:t>
      </w:r>
      <w:r>
        <w:t xml:space="preserve"> </w:t>
      </w:r>
      <w:r>
        <w:t xml:space="preserve">Of</w:t>
      </w:r>
      <w:r>
        <w:t xml:space="preserve"> </w:t>
      </w:r>
      <w:r>
        <w:t xml:space="preserve">Review</w:t>
      </w:r>
      <w:r>
        <w:t xml:space="preserve">   </w:t>
      </w:r>
      <w:r>
        <w:tab/>
      </w:r>
      <w:r>
        <w:t xml:space="preserve">4</w:t>
      </w:r>
    </w:p>
    <w:p>
      <w:pPr>
        <w:keepLines/>
        <w:tabs>
          <w:tab w:val="left" w:pos="1440"/>
          <w:tab w:val="right" w:leader="dot" w:pos="9360"/>
        </w:tabs>
        <w:spacing w:before="98" w:after="0" w:line="322" w:lineRule="exact"/>
        <w:ind w:left="1440" w:right="720" w:hanging="720"/>
      </w:pPr>
      <w:r>
        <w:t xml:space="preserve">B.</w:t>
      </w:r>
      <w:r>
        <w:tab/>
      </w:r>
      <w:r>
        <w:t xml:space="preserve">The</w:t>
      </w:r>
      <w:r>
        <w:t xml:space="preserve"> </w:t>
      </w:r>
      <w:r>
        <w:t xml:space="preserve">Board</w:t>
      </w:r>
      <w:r>
        <w:t xml:space="preserve"> </w:t>
      </w:r>
      <w:r>
        <w:t xml:space="preserve">correctly</w:t>
      </w:r>
      <w:r>
        <w:t xml:space="preserve"> </w:t>
      </w:r>
      <w:r>
        <w:t xml:space="preserve">determined</w:t>
      </w:r>
      <w:r>
        <w:t xml:space="preserve"> </w:t>
      </w:r>
      <w:r>
        <w:t xml:space="preserve">that</w:t>
      </w:r>
      <w:r>
        <w:t xml:space="preserve"> </w:t>
      </w:r>
      <w:r>
        <w:t xml:space="preserve">the</w:t>
      </w:r>
      <w:r>
        <w:t xml:space="preserve"> </w:t>
      </w:r>
      <w:r>
        <w:t xml:space="preserve">cited</w:t>
      </w:r>
      <w:r>
        <w:t xml:space="preserve"> </w:t>
      </w:r>
      <w:r>
        <w:t xml:space="preserve">reference</w:t>
      </w:r>
      <w:r>
        <w:t xml:space="preserve"> </w:t>
      </w:r>
      <w:r>
        <w:t xml:space="preserve">patents</w:t>
      </w:r>
      <w:r>
        <w:t xml:space="preserve"> </w:t>
      </w:r>
      <w:r>
        <w:t xml:space="preserve">render</w:t>
      </w:r>
      <w:r>
        <w:t xml:space="preserve"> </w:t>
      </w:r>
      <w:r>
        <w:t xml:space="preserve">Appellants’</w:t>
      </w:r>
      <w:r>
        <w:t xml:space="preserve"> </w:t>
      </w:r>
      <w:r>
        <w:t xml:space="preserve">pending</w:t>
      </w:r>
      <w:r>
        <w:t xml:space="preserve"> </w:t>
      </w:r>
      <w:r>
        <w:t xml:space="preserve">claims</w:t>
      </w:r>
      <w:r>
        <w:t xml:space="preserve"> </w:t>
      </w:r>
      <w:r>
        <w:t xml:space="preserve">unpatentable</w:t>
      </w:r>
      <w:r>
        <w:t xml:space="preserve"> </w:t>
      </w:r>
      <w:r>
        <w:t xml:space="preserve">for</w:t>
      </w:r>
      <w:r>
        <w:t xml:space="preserve"> </w:t>
      </w:r>
      <w:r>
        <w:t xml:space="preserve">ODP.</w:t>
      </w:r>
      <w:r>
        <w:t xml:space="preserve">   </w:t>
      </w:r>
      <w:r>
        <w:tab/>
      </w:r>
      <w:r>
        <w:t xml:space="preserve">5</w:t>
      </w:r>
    </w:p>
    <w:p>
      <w:pPr>
        <w:keepLines/>
        <w:tabs>
          <w:tab w:val="left" w:pos="2160"/>
          <w:tab w:val="right" w:leader="dot" w:pos="9360"/>
        </w:tabs>
        <w:spacing w:before="98" w:after="0" w:line="322" w:lineRule="exact"/>
        <w:ind w:left="2160" w:right="720" w:hanging="720"/>
      </w:pPr>
      <w:r>
        <w:t xml:space="preserve">1.</w:t>
      </w:r>
      <w:r>
        <w:tab/>
      </w:r>
      <w:r>
        <w:t xml:space="preserve">This</w:t>
      </w:r>
      <w:r>
        <w:t xml:space="preserve"> </w:t>
      </w:r>
      <w:r>
        <w:t xml:space="preserve">Court’s</w:t>
      </w:r>
      <w:r>
        <w:t xml:space="preserve"> </w:t>
      </w:r>
      <w:r>
        <w:t xml:space="preserve">precedent</w:t>
      </w:r>
      <w:r>
        <w:t xml:space="preserve"> </w:t>
      </w:r>
      <w:r>
        <w:t xml:space="preserve">mandates</w:t>
      </w:r>
      <w:r>
        <w:t xml:space="preserve"> </w:t>
      </w:r>
      <w:r>
        <w:t xml:space="preserve">that</w:t>
      </w:r>
      <w:r>
        <w:t xml:space="preserve"> </w:t>
      </w:r>
      <w:r>
        <w:t xml:space="preserve">the</w:t>
      </w:r>
      <w:r>
        <w:t xml:space="preserve"> </w:t>
      </w:r>
      <w:r>
        <w:t xml:space="preserve">USPTO</w:t>
      </w:r>
      <w:r>
        <w:t xml:space="preserve"> </w:t>
      </w:r>
      <w:r>
        <w:t xml:space="preserve">reject</w:t>
      </w:r>
      <w:r>
        <w:t xml:space="preserve"> </w:t>
      </w:r>
      <w:r>
        <w:t xml:space="preserve">Appellants’</w:t>
      </w:r>
      <w:r>
        <w:t xml:space="preserve"> </w:t>
      </w:r>
      <w:r>
        <w:t xml:space="preserve">pending</w:t>
      </w:r>
      <w:r>
        <w:t xml:space="preserve"> </w:t>
      </w:r>
      <w:r>
        <w:t xml:space="preserve">claims</w:t>
      </w:r>
      <w:r>
        <w:t xml:space="preserve"> </w:t>
      </w:r>
      <w:r>
        <w:t xml:space="preserve">even</w:t>
      </w:r>
      <w:r>
        <w:t xml:space="preserve"> </w:t>
      </w:r>
      <w:r>
        <w:t xml:space="preserve">when</w:t>
      </w:r>
      <w:r>
        <w:t xml:space="preserve"> </w:t>
      </w:r>
      <w:r>
        <w:t xml:space="preserve">there</w:t>
      </w:r>
      <w:r>
        <w:t xml:space="preserve"> </w:t>
      </w:r>
      <w:r>
        <w:t xml:space="preserve">is</w:t>
      </w:r>
      <w:r>
        <w:t xml:space="preserve"> </w:t>
      </w:r>
      <w:r>
        <w:t xml:space="preserve">no</w:t>
      </w:r>
      <w:r>
        <w:t xml:space="preserve"> </w:t>
      </w:r>
      <w:r>
        <w:t xml:space="preserve">unjustified</w:t>
      </w:r>
      <w:r>
        <w:t xml:space="preserve"> </w:t>
      </w:r>
      <w:r>
        <w:t xml:space="preserve">time-wise</w:t>
      </w:r>
      <w:r>
        <w:t xml:space="preserve"> </w:t>
      </w:r>
      <w:r>
        <w:t xml:space="preserve">extension</w:t>
      </w:r>
      <w:r>
        <w:t xml:space="preserve"> </w:t>
      </w:r>
      <w:r>
        <w:t xml:space="preserve">because</w:t>
      </w:r>
      <w:r>
        <w:t xml:space="preserve"> </w:t>
      </w:r>
      <w:r>
        <w:t xml:space="preserve">a</w:t>
      </w:r>
      <w:r>
        <w:t xml:space="preserve"> </w:t>
      </w:r>
      <w:r>
        <w:t xml:space="preserve">risk</w:t>
      </w:r>
      <w:r>
        <w:t xml:space="preserve"> </w:t>
      </w:r>
      <w:r>
        <w:t xml:space="preserve">of</w:t>
      </w:r>
      <w:r>
        <w:t xml:space="preserve"> </w:t>
      </w:r>
      <w:r>
        <w:t xml:space="preserve">harassment</w:t>
      </w:r>
      <w:r>
        <w:t xml:space="preserve"> </w:t>
      </w:r>
      <w:r>
        <w:t xml:space="preserve">remains.</w:t>
      </w:r>
      <w:r>
        <w:t xml:space="preserve">   </w:t>
      </w:r>
      <w:r>
        <w:tab/>
      </w:r>
      <w:r>
        <w:t xml:space="preserve">6</w:t>
      </w:r>
    </w:p>
    <w:p>
      <w:pPr>
        <w:keepLines/>
        <w:tabs>
          <w:tab w:val="left" w:pos="720"/>
          <w:tab w:val="right" w:leader="dot" w:pos="9360"/>
        </w:tabs>
        <w:spacing w:before="168" w:after="0" w:line="322" w:lineRule="exact"/>
        <w:ind w:left="720" w:right="720" w:hanging="720"/>
      </w:pPr>
      <w:r>
        <w:t xml:space="preserve">V.</w:t>
      </w:r>
      <w:r>
        <w:tab/>
      </w:r>
      <w:r>
        <w:t xml:space="preserve">Conclusion</w:t>
      </w:r>
      <w:r>
        <w:t xml:space="preserve">   </w:t>
      </w:r>
      <w:r>
        <w:tab/>
      </w:r>
      <w:r>
        <w:t xml:space="preserve">8</w:t>
      </w:r>
    </w:p>
    <w:p>
      <w:pPr>
        <w:keepNext/>
        <w:keepLines/>
        <w:pageBreakBefore/>
        <w:spacing w:before="0" w:after="308" w:line="322" w:lineRule="exact"/>
        <w:ind w:left="0" w:firstLine="0"/>
        <w:jc w:val="center"/>
      </w:pPr>
      <w:r>
        <w:rPr>
          <w:b/>
          <w:bCs/>
        </w:rPr>
        <w:t xml:space="preserve">TABLE OF AUTHORITIES</w:t>
      </w:r>
    </w:p>
    <w:p>
      <w:pPr>
        <w:keepNext/>
        <w:tabs>
          <w:tab w:val="right" w:pos="9360"/>
        </w:tabs>
        <w:spacing w:before="280" w:after="56" w:line="322" w:lineRule="exact"/>
        <w:ind w:left="0" w:firstLine="0"/>
      </w:pPr>
      <w:r>
        <w:rPr>
          <w:b/>
          <w:bCs/>
        </w:rPr>
        <w:t xml:space="preserve">Cases:</w:t>
      </w:r>
      <w:r>
        <w:tab/>
      </w:r>
      <w:r>
        <w:rPr>
          <w:b/>
          <w:bCs/>
          <w:u w:val="single"/>
        </w:rPr>
        <w:t xml:space="preserve">Page(s)</w:t>
      </w:r>
    </w:p>
    <w:p>
      <w:pPr>
        <w:keepLines/>
        <w:tabs>
          <w:tab w:val="right" w:leader="dot" w:pos="9360"/>
        </w:tabs>
        <w:spacing w:before="196" w:after="0" w:line="322" w:lineRule="exact"/>
        <w:ind w:left="504" w:right="1120" w:hanging="504"/>
      </w:pPr>
      <w:r>
        <w:rPr>
          <w:i/>
          <w:iCs/>
        </w:rPr>
        <w:t xml:space="preserve">Abbvie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Mathilda</w:t>
      </w:r>
      <w:r>
        <w:rPr>
          <w:i/>
          <w:iCs/>
        </w:rPr>
        <w:t xml:space="preserve"> </w:t>
      </w:r>
      <w:r>
        <w:rPr>
          <w:i/>
          <w:iCs/>
        </w:rPr>
        <w:t xml:space="preserve">&amp;</w:t>
      </w:r>
      <w:r>
        <w:rPr>
          <w:i/>
          <w:iCs/>
        </w:rPr>
        <w:t xml:space="preserve"> </w:t>
      </w:r>
      <w:r>
        <w:rPr>
          <w:i/>
          <w:iCs/>
        </w:rPr>
        <w:t xml:space="preserve">Terence</w:t>
      </w:r>
      <w:r>
        <w:rPr>
          <w:i/>
          <w:iCs/>
        </w:rPr>
        <w:t xml:space="preserve"> </w:t>
      </w:r>
      <w:r>
        <w:rPr>
          <w:i/>
          <w:iCs/>
        </w:rPr>
        <w:t xml:space="preserve">Kennedy</w:t>
      </w:r>
      <w:r>
        <w:rPr>
          <w:i/>
          <w:iCs/>
        </w:rPr>
        <w:t xml:space="preserve"> </w:t>
      </w:r>
      <w:r>
        <w:rPr>
          <w:i/>
          <w:iCs/>
        </w:rPr>
        <w:t xml:space="preserve">Inst.</w:t>
      </w:r>
      <w:r>
        <w:rPr>
          <w:i/>
          <w:iCs/>
        </w:rPr>
        <w:t xml:space="preserve"> </w:t>
      </w:r>
      <w:r>
        <w:rPr>
          <w:i/>
          <w:iCs/>
        </w:rPr>
        <w:t xml:space="preserve">of</w:t>
      </w:r>
      <w:r>
        <w:rPr>
          <w:i/>
          <w:iCs/>
        </w:rPr>
        <w:t xml:space="preserve"> </w:t>
      </w:r>
      <w:r>
        <w:rPr>
          <w:i/>
          <w:iCs/>
        </w:rPr>
        <w:t xml:space="preserve">Rheumatology</w:t>
      </w:r>
      <w:r>
        <w:rPr>
          <w:i/>
          <w:iCs/>
        </w:rPr>
        <w:t xml:space="preserve"> </w:t>
      </w:r>
      <w:r>
        <w:rPr>
          <w:i/>
          <w:iCs/>
        </w:rPr>
        <w:t xml:space="preserve">Tr.</w:t>
      </w:r>
      <w:r>
        <w:t xml:space="preserve">,</w:t>
      </w:r>
      <w:r>
        <w:br/>
      </w:r>
      <w:r>
        <w:t xml:space="preserve">764</w:t>
      </w:r>
      <w:r>
        <w:t xml:space="preserve"> </w:t>
      </w:r>
      <w:r>
        <w:t xml:space="preserve">F.3d</w:t>
      </w:r>
      <w:r>
        <w:t xml:space="preserve"> </w:t>
      </w:r>
      <w:r>
        <w:t xml:space="preserve">1366</w:t>
      </w:r>
      <w:r>
        <w:t xml:space="preserve"> </w:t>
      </w:r>
      <w:r>
        <w:t xml:space="preserve">(Fed.</w:t>
      </w:r>
      <w:r>
        <w:t xml:space="preserve"> </w:t>
      </w:r>
      <w:r>
        <w:t xml:space="preserve">Cir.</w:t>
      </w:r>
      <w:r>
        <w:t xml:space="preserve"> </w:t>
      </w:r>
      <w:r>
        <w:t xml:space="preserve">2014)</w:t>
      </w:r>
      <w:r>
        <w:t xml:space="preserve">   </w:t>
      </w:r>
      <w:r>
        <w:tab/>
      </w:r>
      <w:r>
        <w:t xml:space="preserve">5</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Emert</w:t>
      </w:r>
      <w:r>
        <w:t xml:space="preserve">,</w:t>
      </w:r>
      <w:r>
        <w:br/>
      </w:r>
      <w:r>
        <w:t xml:space="preserve">124</w:t>
      </w:r>
      <w:r>
        <w:t xml:space="preserve"> </w:t>
      </w:r>
      <w:r>
        <w:t xml:space="preserve">F.3d</w:t>
      </w:r>
      <w:r>
        <w:t xml:space="preserve"> </w:t>
      </w:r>
      <w:r>
        <w:t xml:space="preserve">1458</w:t>
      </w:r>
      <w:r>
        <w:t xml:space="preserve"> </w:t>
      </w:r>
      <w:r>
        <w:t xml:space="preserve">(Fed.</w:t>
      </w:r>
      <w:r>
        <w:t xml:space="preserve"> </w:t>
      </w:r>
      <w:r>
        <w:t xml:space="preserve">Cir.</w:t>
      </w:r>
      <w:r>
        <w:t xml:space="preserve"> </w:t>
      </w:r>
      <w:r>
        <w:t xml:space="preserve">1997)</w:t>
      </w:r>
      <w:r>
        <w:t xml:space="preserve">   </w:t>
      </w:r>
      <w:r>
        <w:tab/>
      </w:r>
      <w:r>
        <w:t xml:space="preserve">4</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Fallaux</w:t>
      </w:r>
      <w:r>
        <w:t xml:space="preserve">,</w:t>
      </w:r>
      <w:r>
        <w:br/>
      </w:r>
      <w:r>
        <w:t xml:space="preserve">564</w:t>
      </w:r>
      <w:r>
        <w:t xml:space="preserve"> </w:t>
      </w:r>
      <w:r>
        <w:t xml:space="preserve">F.3d</w:t>
      </w:r>
      <w:r>
        <w:t xml:space="preserve"> </w:t>
      </w:r>
      <w:r>
        <w:t xml:space="preserve">1313</w:t>
      </w:r>
      <w:r>
        <w:t xml:space="preserve"> </w:t>
      </w:r>
      <w:r>
        <w:t xml:space="preserve">(Fed.</w:t>
      </w:r>
      <w:r>
        <w:t xml:space="preserve"> </w:t>
      </w:r>
      <w:r>
        <w:t xml:space="preserve">Cir.</w:t>
      </w:r>
      <w:r>
        <w:t xml:space="preserve"> </w:t>
      </w:r>
      <w:r>
        <w:t xml:space="preserve">2009)</w:t>
      </w:r>
      <w:r>
        <w:t xml:space="preserve">   </w:t>
      </w:r>
      <w:r>
        <w:tab/>
      </w:r>
      <w:r>
        <w:t xml:space="preserve">3, 5, 6</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Hubbell</w:t>
      </w:r>
      <w:r>
        <w:t xml:space="preserve">,</w:t>
      </w:r>
      <w:r>
        <w:br/>
      </w:r>
      <w:r>
        <w:t xml:space="preserve">709</w:t>
      </w:r>
      <w:r>
        <w:t xml:space="preserve"> </w:t>
      </w:r>
      <w:r>
        <w:t xml:space="preserve">F.3d</w:t>
      </w:r>
      <w:r>
        <w:t xml:space="preserve"> </w:t>
      </w:r>
      <w:r>
        <w:t xml:space="preserve">1140</w:t>
      </w:r>
      <w:r>
        <w:t xml:space="preserve"> </w:t>
      </w:r>
      <w:r>
        <w:t xml:space="preserve">(Fed.</w:t>
      </w:r>
      <w:r>
        <w:t xml:space="preserve"> </w:t>
      </w:r>
      <w:r>
        <w:t xml:space="preserve">Cir.</w:t>
      </w:r>
      <w:r>
        <w:t xml:space="preserve"> </w:t>
      </w:r>
      <w:r>
        <w:t xml:space="preserve">2013)</w:t>
      </w:r>
      <w:r>
        <w:t xml:space="preserve">   </w:t>
      </w:r>
      <w:r>
        <w:tab/>
      </w:r>
      <w:r>
        <w:t xml:space="preserve">5</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Van</w:t>
      </w:r>
      <w:r>
        <w:rPr>
          <w:i/>
          <w:iCs/>
        </w:rPr>
        <w:t xml:space="preserve"> </w:t>
      </w:r>
      <w:r>
        <w:rPr>
          <w:i/>
          <w:iCs/>
        </w:rPr>
        <w:t xml:space="preserve">Ornum</w:t>
      </w:r>
      <w:r>
        <w:t xml:space="preserve">,</w:t>
      </w:r>
      <w:r>
        <w:br/>
      </w:r>
      <w:r>
        <w:t xml:space="preserve">686</w:t>
      </w:r>
      <w:r>
        <w:t xml:space="preserve"> </w:t>
      </w:r>
      <w:r>
        <w:t xml:space="preserve">F.2d</w:t>
      </w:r>
      <w:r>
        <w:t xml:space="preserve"> </w:t>
      </w:r>
      <w:r>
        <w:t xml:space="preserve">937</w:t>
      </w:r>
      <w:r>
        <w:t xml:space="preserve"> </w:t>
      </w:r>
      <w:r>
        <w:t xml:space="preserve">(C.C.P.A.</w:t>
      </w:r>
      <w:r>
        <w:t xml:space="preserve"> </w:t>
      </w:r>
      <w:r>
        <w:t xml:space="preserve">1982)</w:t>
      </w:r>
      <w:r>
        <w:t xml:space="preserve">   </w:t>
      </w:r>
      <w:r>
        <w:tab/>
      </w:r>
      <w:r>
        <w:t xml:space="preserve">5, 6</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Watts</w:t>
      </w:r>
      <w:r>
        <w:t xml:space="preserve">,</w:t>
      </w:r>
      <w:r>
        <w:br/>
      </w:r>
      <w:r>
        <w:t xml:space="preserve">354</w:t>
      </w:r>
      <w:r>
        <w:t xml:space="preserve"> </w:t>
      </w:r>
      <w:r>
        <w:t xml:space="preserve">F.3d</w:t>
      </w:r>
      <w:r>
        <w:t xml:space="preserve"> </w:t>
      </w:r>
      <w:r>
        <w:t xml:space="preserve">1362</w:t>
      </w:r>
      <w:r>
        <w:t xml:space="preserve"> </w:t>
      </w:r>
      <w:r>
        <w:t xml:space="preserve">(Fed.</w:t>
      </w:r>
      <w:r>
        <w:t xml:space="preserve"> </w:t>
      </w:r>
      <w:r>
        <w:t xml:space="preserve">Cir.</w:t>
      </w:r>
      <w:r>
        <w:t xml:space="preserve"> </w:t>
      </w:r>
      <w:r>
        <w:t xml:space="preserve">2004)</w:t>
      </w:r>
      <w:r>
        <w:t xml:space="preserve">   </w:t>
      </w:r>
      <w:r>
        <w:tab/>
      </w:r>
      <w:r>
        <w:t xml:space="preserve">4</w:t>
      </w:r>
    </w:p>
    <w:p>
      <w:pPr>
        <w:keepNext/>
        <w:tabs>
          <w:tab w:val="right" w:pos="9360"/>
        </w:tabs>
        <w:spacing w:before="392" w:after="56" w:line="322" w:lineRule="exact"/>
        <w:ind w:left="0" w:firstLine="0"/>
      </w:pPr>
      <w:r>
        <w:rPr>
          <w:b/>
          <w:bCs/>
        </w:rPr>
        <w:t xml:space="preserve">Statutes:</w:t>
      </w:r>
    </w:p>
    <w:p>
      <w:pPr>
        <w:keepLines/>
        <w:tabs>
          <w:tab w:val="right" w:leader="dot" w:pos="9360"/>
        </w:tabs>
        <w:spacing w:before="196" w:after="0" w:line="322" w:lineRule="exact"/>
        <w:ind w:left="504" w:right="1120" w:hanging="504"/>
      </w:pPr>
      <w:r>
        <w:t xml:space="preserve">35</w:t>
      </w:r>
      <w:r>
        <w:t xml:space="preserve"> </w:t>
      </w:r>
      <w:r>
        <w:t xml:space="preserve">U.S.C.</w:t>
      </w:r>
      <w:r>
        <w:t xml:space="preserve"> </w:t>
      </w:r>
      <w:r>
        <w:t xml:space="preserve">§</w:t>
      </w:r>
      <w:r>
        <w:t xml:space="preserve"> </w:t>
      </w:r>
      <w:r>
        <w:t xml:space="preserve">101</w:t>
      </w:r>
      <w:r>
        <w:t xml:space="preserve">   </w:t>
      </w:r>
      <w:r>
        <w:tab/>
      </w:r>
      <w:r>
        <w:t xml:space="preserve">5</w:t>
      </w:r>
    </w:p>
    <w:p>
      <w:pPr>
        <w:keepNext/>
        <w:keepLines/>
        <w:pageBreakBefore/>
        <w:spacing w:before="0" w:after="308" w:line="322" w:lineRule="exact"/>
        <w:ind w:left="0" w:firstLine="0"/>
        <w:jc w:val="center"/>
      </w:pPr>
      <w:r>
        <w:rPr>
          <w:b/>
          <w:bCs/>
        </w:rPr>
        <w:t xml:space="preserve">STATEMENT OF RELATED CASES</w:t>
      </w:r>
    </w:p>
    <w:p>
      <w:pPr>
        <w:spacing w:before="0" w:after="0" w:line="644" w:lineRule="exact"/>
        <w:ind w:left="0" w:firstLine="720"/>
      </w:pPr>
      <w:r>
        <w:t xml:space="preserve">The</w:t>
      </w:r>
      <w:r>
        <w:t xml:space="preserve"> </w:t>
      </w:r>
      <w:r>
        <w:t xml:space="preserve">Director</w:t>
      </w:r>
      <w:r>
        <w:t xml:space="preserve"> </w:t>
      </w:r>
      <w:r>
        <w:t xml:space="preserve">is</w:t>
      </w:r>
      <w:r>
        <w:t xml:space="preserve"> </w:t>
      </w:r>
      <w:r>
        <w:t xml:space="preserve">not</w:t>
      </w:r>
      <w:r>
        <w:t xml:space="preserve"> </w:t>
      </w:r>
      <w:r>
        <w:t xml:space="preserve">aware</w:t>
      </w:r>
      <w:r>
        <w:t xml:space="preserve"> </w:t>
      </w:r>
      <w:r>
        <w:t xml:space="preserve">of</w:t>
      </w:r>
      <w:r>
        <w:t xml:space="preserve"> </w:t>
      </w:r>
      <w:r>
        <w:t xml:space="preserve">any</w:t>
      </w:r>
      <w:r>
        <w:t xml:space="preserve"> </w:t>
      </w:r>
      <w:r>
        <w:t xml:space="preserve">other</w:t>
      </w:r>
      <w:r>
        <w:t xml:space="preserve"> </w:t>
      </w:r>
      <w:r>
        <w:t xml:space="preserve">appeal</w:t>
      </w:r>
      <w:r>
        <w:t xml:space="preserve"> </w:t>
      </w:r>
      <w:r>
        <w:t xml:space="preserve">in</w:t>
      </w:r>
      <w:r>
        <w:t xml:space="preserve"> </w:t>
      </w:r>
      <w:r>
        <w:t xml:space="preserve">connection</w:t>
      </w:r>
      <w:r>
        <w:t xml:space="preserve"> </w:t>
      </w:r>
      <w:r>
        <w:t xml:space="preserve">with</w:t>
      </w:r>
      <w:r>
        <w:t xml:space="preserve"> </w:t>
      </w:r>
      <w:r>
        <w:t xml:space="preserve">the</w:t>
      </w:r>
      <w:r>
        <w:t xml:space="preserve"> </w:t>
      </w:r>
      <w:r>
        <w:t xml:space="preserve">Patent</w:t>
      </w:r>
      <w:r>
        <w:t xml:space="preserve"> </w:t>
      </w:r>
      <w:r>
        <w:t xml:space="preserve">Trial</w:t>
      </w:r>
      <w:r>
        <w:t xml:space="preserve"> </w:t>
      </w:r>
      <w:r>
        <w:t xml:space="preserve">and</w:t>
      </w:r>
      <w:r>
        <w:t xml:space="preserve"> </w:t>
      </w:r>
      <w:r>
        <w:t xml:space="preserve">Appeal</w:t>
      </w:r>
      <w:r>
        <w:t xml:space="preserve"> </w:t>
      </w:r>
      <w:r>
        <w:t xml:space="preserve">Board</w:t>
      </w:r>
      <w:r>
        <w:t xml:space="preserve"> </w:t>
      </w:r>
      <w:r>
        <w:t xml:space="preserve">(“Board”)</w:t>
      </w:r>
      <w:r>
        <w:t xml:space="preserve"> </w:t>
      </w:r>
      <w:r>
        <w:t xml:space="preserve">proceeding</w:t>
      </w:r>
      <w:r>
        <w:t xml:space="preserve"> </w:t>
      </w:r>
      <w:r>
        <w:t xml:space="preserve">below</w:t>
      </w:r>
      <w:r>
        <w:t xml:space="preserve"> </w:t>
      </w:r>
      <w:r>
        <w:t xml:space="preserve">that</w:t>
      </w:r>
      <w:r>
        <w:t xml:space="preserve"> </w:t>
      </w:r>
      <w:r>
        <w:t xml:space="preserve">is</w:t>
      </w:r>
      <w:r>
        <w:t xml:space="preserve"> </w:t>
      </w:r>
      <w:r>
        <w:t xml:space="preserve">before</w:t>
      </w:r>
      <w:r>
        <w:t xml:space="preserve"> </w:t>
      </w:r>
      <w:r>
        <w:t xml:space="preserve">this</w:t>
      </w:r>
      <w:r>
        <w:t xml:space="preserve"> </w:t>
      </w:r>
      <w:r>
        <w:t xml:space="preserve">or</w:t>
      </w:r>
      <w:r>
        <w:t xml:space="preserve"> </w:t>
      </w:r>
      <w:r>
        <w:t xml:space="preserve">any</w:t>
      </w:r>
      <w:r>
        <w:t xml:space="preserve"> </w:t>
      </w:r>
      <w:r>
        <w:t xml:space="preserve">other</w:t>
      </w:r>
      <w:r>
        <w:t xml:space="preserve"> </w:t>
      </w:r>
      <w:r>
        <w:t xml:space="preserve">court.</w:t>
      </w:r>
      <w:r>
        <w:t xml:space="preserve"> </w:t>
      </w:r>
      <w:r>
        <w:t xml:space="preserve">The</w:t>
      </w:r>
      <w:r>
        <w:t xml:space="preserve"> </w:t>
      </w:r>
      <w:r>
        <w:t xml:space="preserve">Director</w:t>
      </w:r>
      <w:r>
        <w:t xml:space="preserve"> </w:t>
      </w:r>
      <w:r>
        <w:t xml:space="preserve">is</w:t>
      </w:r>
      <w:r>
        <w:t xml:space="preserve"> </w:t>
      </w:r>
      <w:r>
        <w:t xml:space="preserve">also</w:t>
      </w:r>
      <w:r>
        <w:t xml:space="preserve"> </w:t>
      </w:r>
      <w:r>
        <w:t xml:space="preserve">unaware</w:t>
      </w:r>
      <w:r>
        <w:t xml:space="preserve"> </w:t>
      </w:r>
      <w:r>
        <w:t xml:space="preserve">of</w:t>
      </w:r>
      <w:r>
        <w:t xml:space="preserve"> </w:t>
      </w:r>
      <w:r>
        <w:t xml:space="preserve">any</w:t>
      </w:r>
      <w:r>
        <w:t xml:space="preserve"> </w:t>
      </w:r>
      <w:r>
        <w:t xml:space="preserve">other</w:t>
      </w:r>
      <w:r>
        <w:t xml:space="preserve"> </w:t>
      </w:r>
      <w:r>
        <w:t xml:space="preserve">case</w:t>
      </w:r>
      <w:r>
        <w:t xml:space="preserve"> </w:t>
      </w:r>
      <w:r>
        <w:t xml:space="preserve">pending</w:t>
      </w:r>
      <w:r>
        <w:t xml:space="preserve"> </w:t>
      </w:r>
      <w:r>
        <w:t xml:space="preserve">in</w:t>
      </w:r>
      <w:r>
        <w:t xml:space="preserve"> </w:t>
      </w:r>
      <w:r>
        <w:t xml:space="preserve">this</w:t>
      </w:r>
      <w:r>
        <w:t xml:space="preserve"> </w:t>
      </w:r>
      <w:r>
        <w:t xml:space="preserve">or</w:t>
      </w:r>
      <w:r>
        <w:t xml:space="preserve"> </w:t>
      </w:r>
      <w:r>
        <w:t xml:space="preserve">any</w:t>
      </w:r>
      <w:r>
        <w:t xml:space="preserve"> </w:t>
      </w:r>
      <w:r>
        <w:t xml:space="preserve">other</w:t>
      </w:r>
      <w:r>
        <w:t xml:space="preserve"> </w:t>
      </w:r>
      <w:r>
        <w:t xml:space="preserve">court</w:t>
      </w:r>
      <w:r>
        <w:t xml:space="preserve"> </w:t>
      </w:r>
      <w:r>
        <w:t xml:space="preserve">that</w:t>
      </w:r>
      <w:r>
        <w:t xml:space="preserve"> </w:t>
      </w:r>
      <w:r>
        <w:t xml:space="preserve">will</w:t>
      </w:r>
      <w:r>
        <w:t xml:space="preserve"> </w:t>
      </w:r>
      <w:r>
        <w:t xml:space="preserve">directly</w:t>
      </w:r>
      <w:r>
        <w:t xml:space="preserve"> </w:t>
      </w:r>
      <w:r>
        <w:t xml:space="preserve">affect,</w:t>
      </w:r>
      <w:r>
        <w:t xml:space="preserve"> </w:t>
      </w:r>
      <w:r>
        <w:t xml:space="preserve">or</w:t>
      </w:r>
      <w:r>
        <w:t xml:space="preserve"> </w:t>
      </w:r>
      <w:r>
        <w:t xml:space="preserve">be</w:t>
      </w:r>
      <w:r>
        <w:t xml:space="preserve"> </w:t>
      </w:r>
      <w:r>
        <w:t xml:space="preserve">directly</w:t>
      </w:r>
      <w:r>
        <w:t xml:space="preserve"> </w:t>
      </w:r>
      <w:r>
        <w:t xml:space="preserve">affected</w:t>
      </w:r>
      <w:r>
        <w:t xml:space="preserve"> </w:t>
      </w:r>
      <w:r>
        <w:t xml:space="preserve">by,</w:t>
      </w:r>
      <w:r>
        <w:t xml:space="preserve"> </w:t>
      </w:r>
      <w:r>
        <w:t xml:space="preserve">the</w:t>
      </w:r>
      <w:r>
        <w:t xml:space="preserve"> </w:t>
      </w:r>
      <w:r>
        <w:t xml:space="preserve">Court’s</w:t>
      </w:r>
      <w:r>
        <w:t xml:space="preserve"> </w:t>
      </w:r>
      <w:r>
        <w:t xml:space="preserve">decision</w:t>
      </w:r>
      <w:r>
        <w:t xml:space="preserve"> </w:t>
      </w:r>
      <w:r>
        <w:t xml:space="preserve">in</w:t>
      </w:r>
      <w:r>
        <w:t xml:space="preserve"> </w:t>
      </w:r>
      <w:r>
        <w:t xml:space="preserve">this</w:t>
      </w:r>
      <w:r>
        <w:t xml:space="preserve"> </w:t>
      </w:r>
      <w:r>
        <w:t xml:space="preserve">appeal.</w:t>
      </w:r>
    </w:p>
    <w:p>
      <w:pPr>
        <w:spacing w:before="0" w:after="0" w:line="20" w:lineRule="exact"/>
        <w:sectPr>
          <w:footerReference w:type="default" r:id="rIdRomanFtr"/>
          <w:pgSz w:w="12240" w:h="15840"/>
          <w:pgMar w:top="1440" w:right="1440" w:bottom="1440" w:left="1440" w:header="720" w:footer="686" w:gutter="0"/>
          <w:pgNumType w:fmt="lowerRoman" w:start="1"/>
        </w:sectPr>
      </w:pPr>
    </w:p>
    <w:p>
      <w:pPr>
        <w:keepNext/>
        <w:keepLines/>
        <w:tabs>
          <w:tab w:val="left" w:pos="720"/>
        </w:tabs>
        <w:spacing w:before="0" w:after="252" w:line="322" w:lineRule="exact"/>
        <w:ind w:left="720" w:hanging="720"/>
      </w:pPr>
      <w:r>
        <w:rPr>
          <w:b/>
          <w:bCs/>
        </w:rPr>
        <w:t xml:space="preserve">I.</w:t>
      </w:r>
      <w:r>
        <w:tab/>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p>
    <w:p>
      <w:pPr>
        <w:pStyle w:val="FirstParagraph"/>
      </w:pPr>
      <w:r>
        <w:t xml:space="preserve">Appellants Ablynx N.V. and Sanofi seek claims to a fusion protein that they admit are patentably indistinct from claims in six prior-issued patents owned, in whole or in part, by one or both Appellants. The claims were rejected for obviousness-type double patenting (ODP) based on this Court’s precedent applying ODP to address concerns over divided ownership and the risk of harassment by multiple assignees. There is no dispute that any patent that would issue from the underlying application will not result in extending the term of Appellants’ six other patents. The issue on appeal is straightforward: whether this Court’s precedent supports an ODP rejection based solely on the risk of harassment by multiple assignees.</w:t>
      </w:r>
    </w:p>
    <w:p>
      <w:pPr>
        <w:keepNext/>
        <w:keepLines/>
        <w:tabs>
          <w:tab w:val="left" w:pos="720"/>
        </w:tabs>
        <w:spacing w:before="308" w:after="252" w:line="322" w:lineRule="exact"/>
        <w:ind w:left="720" w:hanging="720"/>
      </w:pPr>
      <w:r>
        <w:rPr>
          <w:b/>
          <w:bCs/>
        </w:rPr>
        <w:t xml:space="preserve">II.</w:t>
      </w:r>
      <w:r>
        <w:tab/>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This appeal arises from the examination of application serial no. 17/409,019 (the ’019 application or Appellants’ application), which is assigned to Appellants Ablynx N.V. and Sanofi. Appx20</w:t>
      </w:r>
      <w:r>
        <w:noBreakHyphen/>
      </w:r>
      <w:r>
        <w:t xml:space="preserve">151; Appx1169</w:t>
      </w:r>
      <w:r>
        <w:noBreakHyphen/>
      </w:r>
      <w:r>
        <w:t xml:space="preserve">1171.</w:t>
      </w:r>
      <w:r>
        <w:rPr>
          <w:rStyle w:val="FootnoteReference"/>
        </w:rPr>
        <w:footnoteReference w:id="9"/>
      </w:r>
      <w:r>
        <w:t xml:space="preserve"> </w:t>
      </w:r>
      <w:r>
        <w:t xml:space="preserve">The Examiner rejected pending claims 51 and 54</w:t>
      </w:r>
      <w:r>
        <w:noBreakHyphen/>
      </w:r>
      <w:r>
        <w:t xml:space="preserve">56 for ODP as being unpatentable over claims of six reference patents. Appx4; Appx3424</w:t>
      </w:r>
      <w:r>
        <w:noBreakHyphen/>
      </w:r>
      <w:r>
        <w:t xml:space="preserve">3441; Appx4789</w:t>
      </w:r>
      <w:r>
        <w:noBreakHyphen/>
      </w:r>
      <w:r>
        <w:t xml:space="preserve">4808. Ablynx owns, alone or in part, all six reference patents, whereas Sanofi (or Merck) shares ownership for some of the six reference patents. Each reference patent also shares at least one common inventor to the ’019 application. The Board affirmed the Examiner’s ODP rejections (Appx1</w:t>
      </w:r>
      <w:r>
        <w:noBreakHyphen/>
      </w:r>
      <w:r>
        <w:t xml:space="preserve">19), and this appeal followed.</w:t>
      </w:r>
    </w:p>
    <w:p>
      <w:pPr>
        <w:keepNext/>
        <w:keepLines/>
        <w:tabs>
          <w:tab w:val="left" w:pos="1440"/>
        </w:tabs>
        <w:spacing w:before="308" w:after="252" w:line="322" w:lineRule="exact"/>
        <w:ind w:left="1440" w:hanging="720"/>
      </w:pPr>
      <w:r>
        <w:rPr>
          <w:b/>
          <w:bCs/>
        </w:rPr>
        <w:t xml:space="preserve">A.</w:t>
      </w:r>
      <w:r>
        <w:tab/>
      </w:r>
      <w:r>
        <w:rPr>
          <w:b/>
          <w:bCs/>
        </w:rPr>
        <w:t xml:space="preserve">Appellants</w:t>
      </w:r>
      <w:r>
        <w:rPr>
          <w:b/>
          <w:bCs/>
        </w:rPr>
        <w:t xml:space="preserve"> </w:t>
      </w:r>
      <w:r>
        <w:rPr>
          <w:b/>
          <w:bCs/>
        </w:rPr>
        <w:t xml:space="preserve">admit</w:t>
      </w:r>
      <w:r>
        <w:rPr>
          <w:b/>
          <w:bCs/>
        </w:rPr>
        <w:t xml:space="preserve"> </w:t>
      </w:r>
      <w:r>
        <w:rPr>
          <w:b/>
          <w:bCs/>
        </w:rPr>
        <w:t xml:space="preserve">their</w:t>
      </w:r>
      <w:r>
        <w:rPr>
          <w:b/>
          <w:bCs/>
        </w:rPr>
        <w:t xml:space="preserve"> </w:t>
      </w:r>
      <w:r>
        <w:rPr>
          <w:b/>
          <w:bCs/>
        </w:rPr>
        <w:t xml:space="preserve">pending</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patentably</w:t>
      </w:r>
      <w:r>
        <w:rPr>
          <w:b/>
          <w:bCs/>
        </w:rPr>
        <w:t xml:space="preserve"> </w:t>
      </w:r>
      <w:r>
        <w:rPr>
          <w:b/>
          <w:bCs/>
        </w:rPr>
        <w:t xml:space="preserve">distinct</w:t>
      </w:r>
      <w:r>
        <w:rPr>
          <w:b/>
          <w:bCs/>
        </w:rPr>
        <w:t xml:space="preserve"> </w:t>
      </w:r>
      <w:r>
        <w:rPr>
          <w:b/>
          <w:bCs/>
        </w:rPr>
        <w:t xml:space="preserve">over</w:t>
      </w:r>
      <w:r>
        <w:rPr>
          <w:b/>
          <w:bCs/>
        </w:rPr>
        <w:t xml:space="preserve"> </w:t>
      </w:r>
      <w:r>
        <w:rPr>
          <w:b/>
          <w:bCs/>
        </w:rPr>
        <w:t xml:space="preserve">their</w:t>
      </w:r>
      <w:r>
        <w:rPr>
          <w:b/>
          <w:bCs/>
        </w:rPr>
        <w:t xml:space="preserve"> </w:t>
      </w:r>
      <w:r>
        <w:rPr>
          <w:b/>
          <w:bCs/>
        </w:rPr>
        <w:t xml:space="preserve">issued</w:t>
      </w:r>
      <w:r>
        <w:rPr>
          <w:b/>
          <w:bCs/>
        </w:rPr>
        <w:t xml:space="preserve"> </w:t>
      </w:r>
      <w:r>
        <w:rPr>
          <w:b/>
          <w:bCs/>
        </w:rPr>
        <w:t xml:space="preserve">patent</w:t>
      </w:r>
      <w:r>
        <w:rPr>
          <w:b/>
          <w:bCs/>
        </w:rPr>
        <w:t xml:space="preserve"> </w:t>
      </w:r>
      <w:r>
        <w:rPr>
          <w:b/>
          <w:bCs/>
        </w:rPr>
        <w:t xml:space="preserve">claims.</w:t>
      </w:r>
    </w:p>
    <w:p>
      <w:pPr>
        <w:pStyle w:val="BodyText"/>
      </w:pPr>
      <w:r>
        <w:t xml:space="preserve">The ’019 application was filed on August 23, 2021, and is a continuation application in a series of applications that claim priority to International Application PCT/​EP2012/062251, filed June 25, 2012. Appx20. Appellants rely on that PCT application date as the patent-term filing date for their application (i.e., the date from which their 20-year patent term is calculated). Br. at 3. The first-filed application in the series of applications was filed June 25, 2012, as Application No. 14/128,681 (the ’681 application), the national stage entry of PCT/​EP2012/062251. Appx12; Appx190;</w:t>
      </w:r>
      <w:r>
        <w:t xml:space="preserve"> </w:t>
      </w:r>
      <w:r>
        <w:rPr>
          <w:i/>
          <w:iCs/>
        </w:rPr>
        <w:t xml:space="preserve">see</w:t>
      </w:r>
      <w:r>
        <w:t xml:space="preserve"> </w:t>
      </w:r>
      <w:r>
        <w:t xml:space="preserve">35 U.S.C. § 363.</w:t>
      </w:r>
    </w:p>
    <w:p>
      <w:pPr>
        <w:pStyle w:val="BodyText"/>
      </w:pPr>
      <w:r>
        <w:t xml:space="preserve">Prior to filing the ’019 application, Appellants filed at least five other continuation applications in the same family, claiming priority to that first-filed ’681 application, resulting in the grant of four patents (which are not part of the underlying rejections here).</w:t>
      </w:r>
    </w:p>
    <w:p>
      <w:pPr>
        <w:keepNext/>
        <w:keepLines/>
        <w:tabs>
          <w:tab w:val="left" w:pos="1440"/>
        </w:tabs>
        <w:spacing w:before="308" w:after="252" w:line="322" w:lineRule="exact"/>
        <w:ind w:left="1440" w:hanging="720"/>
      </w:pPr>
      <w:r>
        <w:rPr>
          <w:b/>
          <w:bCs/>
        </w:rPr>
        <w:t xml:space="preserve">B.</w:t>
      </w:r>
      <w:r>
        <w:tab/>
      </w:r>
      <w:r>
        <w:rPr>
          <w:b/>
          <w:bCs/>
        </w:rPr>
        <w:t xml:space="preserve">The</w:t>
      </w:r>
      <w:r>
        <w:rPr>
          <w:b/>
          <w:bCs/>
        </w:rPr>
        <w:t xml:space="preserve"> </w:t>
      </w:r>
      <w:r>
        <w:rPr>
          <w:b/>
          <w:bCs/>
        </w:rPr>
        <w:t xml:space="preserve">Board</w:t>
      </w:r>
      <w:r>
        <w:rPr>
          <w:b/>
          <w:bCs/>
        </w:rPr>
        <w:t xml:space="preserve"> </w:t>
      </w:r>
      <w:r>
        <w:rPr>
          <w:b/>
          <w:bCs/>
        </w:rPr>
        <w:t xml:space="preserve">affirmed</w:t>
      </w:r>
      <w:r>
        <w:rPr>
          <w:b/>
          <w:bCs/>
        </w:rPr>
        <w:t xml:space="preserve"> </w:t>
      </w:r>
      <w:r>
        <w:rPr>
          <w:b/>
          <w:bCs/>
        </w:rPr>
        <w:t xml:space="preserve">the</w:t>
      </w:r>
      <w:r>
        <w:rPr>
          <w:b/>
          <w:bCs/>
        </w:rPr>
        <w:t xml:space="preserve"> </w:t>
      </w:r>
      <w:r>
        <w:rPr>
          <w:b/>
          <w:bCs/>
        </w:rPr>
        <w:t xml:space="preserve">Examiner’s</w:t>
      </w:r>
      <w:r>
        <w:rPr>
          <w:b/>
          <w:bCs/>
        </w:rPr>
        <w:t xml:space="preserve"> </w:t>
      </w:r>
      <w:r>
        <w:rPr>
          <w:b/>
          <w:bCs/>
        </w:rPr>
        <w:t xml:space="preserve">ODP</w:t>
      </w:r>
      <w:r>
        <w:rPr>
          <w:b/>
          <w:bCs/>
        </w:rPr>
        <w:t xml:space="preserve"> </w:t>
      </w:r>
      <w:r>
        <w:rPr>
          <w:b/>
          <w:bCs/>
        </w:rPr>
        <w:t xml:space="preserve">rejections</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pending</w:t>
      </w:r>
      <w:r>
        <w:rPr>
          <w:b/>
          <w:bCs/>
        </w:rPr>
        <w:t xml:space="preserve"> </w:t>
      </w:r>
      <w:r>
        <w:rPr>
          <w:b/>
          <w:bCs/>
        </w:rPr>
        <w:t xml:space="preserve">claims.</w:t>
      </w:r>
    </w:p>
    <w:p>
      <w:pPr>
        <w:pStyle w:val="BodyText"/>
      </w:pPr>
      <w:r>
        <w:t xml:space="preserve">The Board affirmed the Examiner’s rejection of Appellants’ pending claims as being unpatentable under ODP over claims in the six reference patents. The Board determined that this Court’s decision in</w:t>
      </w:r>
      <w:r>
        <w:t xml:space="preserve"> </w:t>
      </w:r>
      <w:r>
        <w:rPr>
          <w:i/>
          <w:iCs/>
        </w:rPr>
        <w:t xml:space="preserve">In re Fallaux</w:t>
      </w:r>
      <w:r>
        <w:t xml:space="preserve">, 564 F.3d 1313 (Fed. Cir. 2009) “is directly on point” to the instant case, and under that binding precedent, it was appropriate for the Examiner to reject the pending claims under ODP. The Board explained that although any patent granted on the ’019 application would expire before the reference patents, the Examiner’s rejection was proper because “there is a second justification for obviousness-type double patenting—harassment by multiple assignees.”</w:t>
      </w:r>
    </w:p>
    <w:p>
      <w:pPr>
        <w:pStyle w:val="BodyText"/>
      </w:pPr>
      <w:r>
        <w:t xml:space="preserve">Appellants did not contest that the ’019 application claims subject matter that is patentably indistinct from their six prior-issued reference patents. Instead, Appellants argued that (1) the reference patents do not qualify as ODP references because they have a later patent-term filing date than the ’019 application; (2) the two-way test for an ODP rejection should apply when the reference patent’s patent-term filing date is later than that of the challenged application; and (3) that principles of equity favor no ODP rejection. The Board was not persuaded.</w:t>
      </w:r>
    </w:p>
    <w:p>
      <w:pPr>
        <w:keepNext/>
        <w:keepLines/>
        <w:tabs>
          <w:tab w:val="left" w:pos="720"/>
        </w:tabs>
        <w:spacing w:before="308" w:after="252" w:line="322" w:lineRule="exact"/>
        <w:ind w:left="720" w:hanging="720"/>
      </w:pPr>
      <w:r>
        <w:rPr>
          <w:b/>
          <w:bCs/>
        </w:rPr>
        <w:t xml:space="preserve">III.</w:t>
      </w:r>
      <w:r>
        <w:tab/>
      </w: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Board correctly determined that Appellants’ pending claims are unpatentable for ODP. Appellants concede they already own at least six patents that claim subject matter that is patentably indistinct from the claims on appeal. The doctrine of ODP places limits on an inventor’s ability to obtain multiple patents on a single invention or obvious variant thereof. Appellants’ approach would limit ODP only to scenarios where patent issuance would result in unjustified patent term extension. Appellants circumvent the anti-harassment rationale for ODP that this Court has repeatedly endorsed as a mechanism to avoid separate ownership and enforcement of multiple patents on essentially the same invention. The Board’s decision properly applied this Court’s binding precedents on ODP. This Court should affirm.</w:t>
      </w:r>
    </w:p>
    <w:p>
      <w:pPr>
        <w:keepNext/>
        <w:keepLines/>
        <w:tabs>
          <w:tab w:val="left" w:pos="720"/>
        </w:tabs>
        <w:spacing w:before="308" w:after="252" w:line="322" w:lineRule="exact"/>
        <w:ind w:left="720" w:hanging="720"/>
      </w:pPr>
      <w:r>
        <w:rPr>
          <w:b/>
          <w:bCs/>
        </w:rPr>
        <w:t xml:space="preserve">IV.</w:t>
      </w:r>
      <w:r>
        <w:tab/>
      </w:r>
      <w:r>
        <w:rPr>
          <w:b/>
          <w:bCs/>
        </w:rPr>
        <w:t xml:space="preserve">ARGUMENT</w:t>
      </w:r>
    </w:p>
    <w:p>
      <w:pPr>
        <w:keepNext/>
        <w:keepLines/>
        <w:tabs>
          <w:tab w:val="left" w:pos="1440"/>
        </w:tabs>
        <w:spacing w:before="308" w:after="252" w:line="322" w:lineRule="exact"/>
        <w:ind w:left="1440" w:hanging="720"/>
      </w:pPr>
      <w:r>
        <w:rPr>
          <w:b/>
          <w:bCs/>
        </w:rPr>
        <w:t xml:space="preserve">A.</w:t>
      </w:r>
      <w: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Appellants have the burden to show that the Board committed reversible error.</w:t>
      </w:r>
      <w:r>
        <w:t xml:space="preserve"> </w:t>
      </w:r>
      <w:r>
        <w:rPr>
          <w:i/>
          <w:iCs/>
        </w:rPr>
        <w:t xml:space="preserve">In re Watts</w:t>
      </w:r>
      <w:r>
        <w:t xml:space="preserve">, 354 F.3d 1362, 1369 (Fed. Cir. 2004). The ultimate conclusion of obviousness-type double patenting is a question of law that this Court reviews de novo.</w:t>
      </w:r>
      <w:r>
        <w:t xml:space="preserve"> </w:t>
      </w:r>
      <w:r>
        <w:rPr>
          <w:i/>
          <w:iCs/>
        </w:rPr>
        <w:t xml:space="preserve">In re Emert</w:t>
      </w:r>
      <w:r>
        <w:t xml:space="preserve">, 124 F.3d 1458, 1460 (Fed. Cir. 1997).</w:t>
      </w:r>
    </w:p>
    <w:p>
      <w:pPr>
        <w:keepNext/>
        <w:keepLines/>
        <w:tabs>
          <w:tab w:val="left" w:pos="1440"/>
        </w:tabs>
        <w:spacing w:before="308" w:after="252" w:line="322" w:lineRule="exact"/>
        <w:ind w:left="1440" w:hanging="720"/>
      </w:pPr>
      <w:r>
        <w:rPr>
          <w:b/>
          <w:bCs/>
        </w:rPr>
        <w:t xml:space="preserve">B.</w:t>
      </w:r>
      <w:r>
        <w:tab/>
      </w:r>
      <w:r>
        <w:rPr>
          <w:b/>
          <w:bCs/>
        </w:rPr>
        <w:t xml:space="preserve">The</w:t>
      </w:r>
      <w:r>
        <w:rPr>
          <w:b/>
          <w:bCs/>
        </w:rPr>
        <w:t xml:space="preserve"> </w:t>
      </w:r>
      <w:r>
        <w:rPr>
          <w:b/>
          <w:bCs/>
        </w:rPr>
        <w:t xml:space="preserve">Board</w:t>
      </w:r>
      <w:r>
        <w:rPr>
          <w:b/>
          <w:bCs/>
        </w:rPr>
        <w:t xml:space="preserve"> </w:t>
      </w:r>
      <w:r>
        <w:rPr>
          <w:b/>
          <w:bCs/>
        </w:rPr>
        <w:t xml:space="preserve">correctly</w:t>
      </w:r>
      <w:r>
        <w:rPr>
          <w:b/>
          <w:bCs/>
        </w:rPr>
        <w:t xml:space="preserve"> </w:t>
      </w:r>
      <w:r>
        <w:rPr>
          <w:b/>
          <w:bCs/>
        </w:rPr>
        <w:t xml:space="preserve">determined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cited</w:t>
      </w:r>
      <w:r>
        <w:rPr>
          <w:b/>
          <w:bCs/>
        </w:rPr>
        <w:t xml:space="preserve"> </w:t>
      </w:r>
      <w:r>
        <w:rPr>
          <w:b/>
          <w:bCs/>
        </w:rPr>
        <w:t xml:space="preserve">reference</w:t>
      </w:r>
      <w:r>
        <w:rPr>
          <w:b/>
          <w:bCs/>
        </w:rPr>
        <w:t xml:space="preserve"> </w:t>
      </w:r>
      <w:r>
        <w:rPr>
          <w:b/>
          <w:bCs/>
        </w:rPr>
        <w:t xml:space="preserve">patents</w:t>
      </w:r>
      <w:r>
        <w:rPr>
          <w:b/>
          <w:bCs/>
        </w:rPr>
        <w:t xml:space="preserve"> </w:t>
      </w:r>
      <w:r>
        <w:rPr>
          <w:b/>
          <w:bCs/>
        </w:rPr>
        <w:t xml:space="preserve">render</w:t>
      </w:r>
      <w:r>
        <w:rPr>
          <w:b/>
          <w:bCs/>
        </w:rPr>
        <w:t xml:space="preserve"> </w:t>
      </w:r>
      <w:r>
        <w:rPr>
          <w:b/>
          <w:bCs/>
        </w:rPr>
        <w:t xml:space="preserve">Appellants’</w:t>
      </w:r>
      <w:r>
        <w:rPr>
          <w:b/>
          <w:bCs/>
        </w:rPr>
        <w:t xml:space="preserve"> </w:t>
      </w:r>
      <w:r>
        <w:rPr>
          <w:b/>
          <w:bCs/>
        </w:rPr>
        <w:t xml:space="preserve">pending</w:t>
      </w:r>
      <w:r>
        <w:rPr>
          <w:b/>
          <w:bCs/>
        </w:rPr>
        <w:t xml:space="preserve"> </w:t>
      </w:r>
      <w:r>
        <w:rPr>
          <w:b/>
          <w:bCs/>
        </w:rPr>
        <w:t xml:space="preserve">claims</w:t>
      </w:r>
      <w:r>
        <w:rPr>
          <w:b/>
          <w:bCs/>
        </w:rPr>
        <w:t xml:space="preserve"> </w:t>
      </w:r>
      <w:r>
        <w:rPr>
          <w:b/>
          <w:bCs/>
        </w:rPr>
        <w:t xml:space="preserve">unpatentable</w:t>
      </w:r>
      <w:r>
        <w:rPr>
          <w:b/>
          <w:bCs/>
        </w:rPr>
        <w:t xml:space="preserve"> </w:t>
      </w:r>
      <w:r>
        <w:rPr>
          <w:b/>
          <w:bCs/>
        </w:rPr>
        <w:t xml:space="preserve">for</w:t>
      </w:r>
      <w:r>
        <w:rPr>
          <w:b/>
          <w:bCs/>
        </w:rPr>
        <w:t xml:space="preserve"> </w:t>
      </w:r>
      <w:r>
        <w:rPr>
          <w:b/>
          <w:bCs/>
        </w:rPr>
        <w:t xml:space="preserve">ODP.</w:t>
      </w:r>
    </w:p>
    <w:p>
      <w:pPr>
        <w:pStyle w:val="BodyText"/>
      </w:pPr>
      <w:r>
        <w:t xml:space="preserve">Section 101 of the Patent Act prohibits an individual from “obtaining more than one patent on the same invention.” 35 U.S.C. § 101 (emphasis added);</w:t>
      </w:r>
      <w:r>
        <w:t xml:space="preserve"> </w:t>
      </w:r>
      <w:r>
        <w:rPr>
          <w:i/>
          <w:iCs/>
        </w:rPr>
        <w:t xml:space="preserve">see</w:t>
      </w:r>
      <w:r>
        <w:t xml:space="preserve"> </w:t>
      </w:r>
      <w:r>
        <w:rPr>
          <w:i/>
          <w:iCs/>
        </w:rPr>
        <w:t xml:space="preserve">Abbvie</w:t>
      </w:r>
      <w:r>
        <w:t xml:space="preserve">, 764 F.3d 1366. ODP is a judicially created doctrine grounded in § 101 and in public policy to limit the issuance of multiple patents on non-distinct inventions.</w:t>
      </w:r>
      <w:r>
        <w:t xml:space="preserve"> </w:t>
      </w:r>
      <w:r>
        <w:rPr>
          <w:i/>
          <w:iCs/>
        </w:rPr>
        <w:t xml:space="preserve">Abbvie</w:t>
      </w:r>
      <w:r>
        <w:t xml:space="preserve">, 764 F.3d at 1372</w:t>
      </w:r>
      <w:r>
        <w:noBreakHyphen/>
      </w:r>
      <w:r>
        <w:t xml:space="preserve">74. One policy rationale underlying the doctrine is to protect the public from the risk of harassment by multiple assignees who could separately assert infringement of patents claiming the same invention or an obvious variant.</w:t>
      </w:r>
      <w:r>
        <w:t xml:space="preserve"> </w:t>
      </w:r>
      <w:r>
        <w:rPr>
          <w:i/>
          <w:iCs/>
        </w:rPr>
        <w:t xml:space="preserve">See</w:t>
      </w:r>
      <w:r>
        <w:t xml:space="preserve"> </w:t>
      </w:r>
      <w:r>
        <w:rPr>
          <w:i/>
          <w:iCs/>
        </w:rPr>
        <w:t xml:space="preserve">Fallaux</w:t>
      </w:r>
      <w:r>
        <w:t xml:space="preserve">, 564 F.3d at 1319 (affirming the Board’s ODP rejection because of the potential for harassment by multiple assignees even though there was no time-wise extension of the patent);</w:t>
      </w:r>
      <w:r>
        <w:t xml:space="preserve"> </w:t>
      </w:r>
      <w:r>
        <w:rPr>
          <w:i/>
          <w:iCs/>
        </w:rPr>
        <w:t xml:space="preserve">Hubbell</w:t>
      </w:r>
      <w:r>
        <w:t xml:space="preserve">, 709 F.3d at 1147 (reaffirming</w:t>
      </w:r>
      <w:r>
        <w:t xml:space="preserve"> </w:t>
      </w:r>
      <w:r>
        <w:rPr>
          <w:i/>
          <w:iCs/>
        </w:rPr>
        <w:t xml:space="preserve">Fallaux</w:t>
      </w:r>
      <w:r>
        <w:t xml:space="preserve"> </w:t>
      </w:r>
      <w:r>
        <w:t xml:space="preserve">and the multiple-assignee harassment rationale);</w:t>
      </w:r>
      <w:r>
        <w:t xml:space="preserve"> </w:t>
      </w:r>
      <w:r>
        <w:rPr>
          <w:i/>
          <w:iCs/>
        </w:rPr>
        <w:t xml:space="preserve">In re Van Ornum</w:t>
      </w:r>
      <w:r>
        <w:t xml:space="preserve">, 686 F.2d 937, 944</w:t>
      </w:r>
      <w:r>
        <w:noBreakHyphen/>
      </w:r>
      <w:r>
        <w:t xml:space="preserve">48 (C.C.P.A. 1982) (approving the requirement for common ownership in terminal disclaimers because of the potential for harassment by multiple assignees). The multiple-assignee harassment rationale renders the underlying ODP rejections appropriate and Appellants’ pending claims unpatentable.</w:t>
      </w:r>
    </w:p>
    <w:p>
      <w:pPr>
        <w:pStyle w:val="BodyTextNote"/>
      </w:pPr>
      <w:r>
        <w:t xml:space="preserve">Appellants concede that, if the ’019 application’s claims were to issue, it would be at least the seventh patent</w:t>
      </w:r>
      <w:r>
        <w:rPr>
          <w:rStyle w:val="FootnoteReference"/>
        </w:rPr>
        <w:footnoteReference w:id="10"/>
      </w:r>
      <w:r>
        <w:t xml:space="preserve"> </w:t>
      </w:r>
      <w:r>
        <w:t xml:space="preserve">to claim patentably indistinct subject matter, and under Appellants’ approach would not have a terminal disclaimer tying the ’019 patent to any of those six reference patents. True, the six reference patents at issue in this appeal would expire after any patent granted on the ’019 application’s pending claims. But the risk of harassment by multiple assignees still exists without a terminal disclaimer to tie ownership of the ’019 application to Appellants’ other patentably indistinct patents—i.e., effectively tying the claims together into one patent.</w:t>
      </w:r>
      <w:r>
        <w:t xml:space="preserve"> </w:t>
      </w:r>
      <w:r>
        <w:rPr>
          <w:i/>
          <w:iCs/>
        </w:rPr>
        <w:t xml:space="preserve">See</w:t>
      </w:r>
      <w:r>
        <w:t xml:space="preserve"> </w:t>
      </w:r>
      <w:r>
        <w:rPr>
          <w:i/>
          <w:iCs/>
        </w:rPr>
        <w:t xml:space="preserve">Van Ornum</w:t>
      </w:r>
      <w:r>
        <w:t xml:space="preserve">, 686 F.2d at 948 (explaining a terminal disclaimer tying two patents together “is tantamount for all practical purposes to having all claims in one patent”).</w:t>
      </w:r>
    </w:p>
    <w:p>
      <w:pPr>
        <w:keepNext/>
        <w:keepLines/>
        <w:tabs>
          <w:tab w:val="left" w:pos="2160"/>
        </w:tabs>
        <w:spacing w:before="308" w:after="252" w:line="322" w:lineRule="exact"/>
        <w:ind w:left="2160" w:hanging="720"/>
      </w:pPr>
      <w:r>
        <w:rPr>
          <w:b/>
          <w:bCs/>
        </w:rPr>
        <w:t xml:space="preserve">1.</w:t>
      </w:r>
      <w:r>
        <w:tab/>
      </w:r>
      <w:r>
        <w:rPr>
          <w:b/>
          <w:bCs/>
        </w:rPr>
        <w:t xml:space="preserve">This</w:t>
      </w:r>
      <w:r>
        <w:rPr>
          <w:b/>
          <w:bCs/>
        </w:rPr>
        <w:t xml:space="preserve"> </w:t>
      </w:r>
      <w:r>
        <w:rPr>
          <w:b/>
          <w:bCs/>
        </w:rPr>
        <w:t xml:space="preserve">Court’s</w:t>
      </w:r>
      <w:r>
        <w:rPr>
          <w:b/>
          <w:bCs/>
        </w:rPr>
        <w:t xml:space="preserve"> </w:t>
      </w:r>
      <w:r>
        <w:rPr>
          <w:b/>
          <w:bCs/>
        </w:rPr>
        <w:t xml:space="preserve">precedent</w:t>
      </w:r>
      <w:r>
        <w:rPr>
          <w:b/>
          <w:bCs/>
        </w:rPr>
        <w:t xml:space="preserve"> </w:t>
      </w:r>
      <w:r>
        <w:rPr>
          <w:b/>
          <w:bCs/>
        </w:rPr>
        <w:t xml:space="preserve">mandates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USPTO</w:t>
      </w:r>
      <w:r>
        <w:rPr>
          <w:b/>
          <w:bCs/>
        </w:rPr>
        <w:t xml:space="preserve"> </w:t>
      </w:r>
      <w:r>
        <w:rPr>
          <w:b/>
          <w:bCs/>
        </w:rPr>
        <w:t xml:space="preserve">reject</w:t>
      </w:r>
      <w:r>
        <w:rPr>
          <w:b/>
          <w:bCs/>
        </w:rPr>
        <w:t xml:space="preserve"> </w:t>
      </w:r>
      <w:r>
        <w:rPr>
          <w:b/>
          <w:bCs/>
        </w:rPr>
        <w:t xml:space="preserve">Appellants’</w:t>
      </w:r>
      <w:r>
        <w:rPr>
          <w:b/>
          <w:bCs/>
        </w:rPr>
        <w:t xml:space="preserve"> </w:t>
      </w:r>
      <w:r>
        <w:rPr>
          <w:b/>
          <w:bCs/>
        </w:rPr>
        <w:t xml:space="preserve">pending</w:t>
      </w:r>
      <w:r>
        <w:rPr>
          <w:b/>
          <w:bCs/>
        </w:rPr>
        <w:t xml:space="preserve"> </w:t>
      </w:r>
      <w:r>
        <w:rPr>
          <w:b/>
          <w:bCs/>
        </w:rPr>
        <w:t xml:space="preserve">claims</w:t>
      </w:r>
      <w:r>
        <w:rPr>
          <w:b/>
          <w:bCs/>
        </w:rPr>
        <w:t xml:space="preserve"> </w:t>
      </w:r>
      <w:r>
        <w:rPr>
          <w:b/>
          <w:bCs/>
        </w:rPr>
        <w:t xml:space="preserve">even</w:t>
      </w:r>
      <w:r>
        <w:rPr>
          <w:b/>
          <w:bCs/>
        </w:rPr>
        <w:t xml:space="preserve"> </w:t>
      </w:r>
      <w:r>
        <w:rPr>
          <w:b/>
          <w:bCs/>
        </w:rPr>
        <w:t xml:space="preserve">when</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unjustified</w:t>
      </w:r>
      <w:r>
        <w:rPr>
          <w:b/>
          <w:bCs/>
        </w:rPr>
        <w:t xml:space="preserve"> </w:t>
      </w:r>
      <w:r>
        <w:rPr>
          <w:b/>
          <w:bCs/>
        </w:rPr>
        <w:t xml:space="preserve">time-wise</w:t>
      </w:r>
      <w:r>
        <w:rPr>
          <w:b/>
          <w:bCs/>
        </w:rPr>
        <w:t xml:space="preserve"> </w:t>
      </w:r>
      <w:r>
        <w:rPr>
          <w:b/>
          <w:bCs/>
        </w:rPr>
        <w:t xml:space="preserve">extension</w:t>
      </w:r>
      <w:r>
        <w:rPr>
          <w:b/>
          <w:bCs/>
        </w:rPr>
        <w:t xml:space="preserve"> </w:t>
      </w:r>
      <w:r>
        <w:rPr>
          <w:b/>
          <w:bCs/>
        </w:rPr>
        <w:t xml:space="preserve">because</w:t>
      </w:r>
      <w:r>
        <w:rPr>
          <w:b/>
          <w:bCs/>
        </w:rPr>
        <w:t xml:space="preserve"> </w:t>
      </w:r>
      <w:r>
        <w:rPr>
          <w:b/>
          <w:bCs/>
        </w:rPr>
        <w:t xml:space="preserve">a</w:t>
      </w:r>
      <w:r>
        <w:rPr>
          <w:b/>
          <w:bCs/>
        </w:rPr>
        <w:t xml:space="preserve"> </w:t>
      </w:r>
      <w:r>
        <w:rPr>
          <w:b/>
          <w:bCs/>
        </w:rPr>
        <w:t xml:space="preserve">risk</w:t>
      </w:r>
      <w:r>
        <w:rPr>
          <w:b/>
          <w:bCs/>
        </w:rPr>
        <w:t xml:space="preserve"> </w:t>
      </w:r>
      <w:r>
        <w:rPr>
          <w:b/>
          <w:bCs/>
        </w:rPr>
        <w:t xml:space="preserve">of</w:t>
      </w:r>
      <w:r>
        <w:rPr>
          <w:b/>
          <w:bCs/>
        </w:rPr>
        <w:t xml:space="preserve"> </w:t>
      </w:r>
      <w:r>
        <w:rPr>
          <w:b/>
          <w:bCs/>
        </w:rPr>
        <w:t xml:space="preserve">harassment</w:t>
      </w:r>
      <w:r>
        <w:rPr>
          <w:b/>
          <w:bCs/>
        </w:rPr>
        <w:t xml:space="preserve"> </w:t>
      </w:r>
      <w:r>
        <w:rPr>
          <w:b/>
          <w:bCs/>
        </w:rPr>
        <w:t xml:space="preserve">remains.</w:t>
      </w:r>
    </w:p>
    <w:p>
      <w:pPr>
        <w:pStyle w:val="BodyText"/>
      </w:pPr>
      <w:r>
        <w:t xml:space="preserve">This Court has repeatedly validated application of ODP principles like those on appeal here. As the Board properly determined, this Court’s precedential decision in</w:t>
      </w:r>
      <w:r>
        <w:t xml:space="preserve"> </w:t>
      </w:r>
      <w:r>
        <w:rPr>
          <w:i/>
          <w:iCs/>
        </w:rPr>
        <w:t xml:space="preserve">In re Fallaux</w:t>
      </w:r>
      <w:r>
        <w:t xml:space="preserve"> </w:t>
      </w:r>
      <w:r>
        <w:t xml:space="preserve">is directly on point and controls the outcome in this case. The facts here meaningfully mirror those in</w:t>
      </w:r>
      <w:r>
        <w:t xml:space="preserve"> </w:t>
      </w:r>
      <w:r>
        <w:rPr>
          <w:i/>
          <w:iCs/>
        </w:rPr>
        <w:t xml:space="preserve">Fallaux</w:t>
      </w:r>
      <w:r>
        <w:t xml:space="preserve"> </w:t>
      </w:r>
      <w:r>
        <w:t xml:space="preserve">(using the ’364 reference patent as representative):</w:t>
      </w:r>
    </w:p>
    <w:p>
      <w:pPr>
        <w:pStyle w:val="ListItem"/>
      </w:pPr>
      <w:r>
        <w:t xml:space="preserve">•</w:t>
      </w:r>
      <w:r>
        <w:tab/>
      </w:r>
      <w:r>
        <w:t xml:space="preserve">The ’019 application’s priority date is earlier than the ’364 reference patent’s priority date;</w:t>
      </w:r>
    </w:p>
    <w:p>
      <w:pPr>
        <w:pStyle w:val="ListItem"/>
      </w:pPr>
      <w:r>
        <w:t xml:space="preserve">•</w:t>
      </w:r>
      <w:r>
        <w:tab/>
      </w:r>
      <w:r>
        <w:t xml:space="preserve">The ’019 application’s actual filing date is later than the ’364 reference patent’s application’s actual filing date;</w:t>
      </w:r>
    </w:p>
    <w:p>
      <w:pPr>
        <w:pStyle w:val="ListItem"/>
      </w:pPr>
      <w:r>
        <w:t xml:space="preserve">•</w:t>
      </w:r>
      <w:r>
        <w:tab/>
      </w:r>
      <w:r>
        <w:t xml:space="preserve">The ’364 reference patent is not in the same patent family as the ’019 application but shares a common inventor;</w:t>
      </w:r>
    </w:p>
    <w:p>
      <w:pPr>
        <w:pStyle w:val="ListItem"/>
      </w:pPr>
      <w:r>
        <w:t xml:space="preserve">•</w:t>
      </w:r>
      <w:r>
        <w:tab/>
      </w:r>
      <w:r>
        <w:t xml:space="preserve">The ’019 application is not the first-filed application, but a continuation application in its family; and</w:t>
      </w:r>
    </w:p>
    <w:p>
      <w:pPr>
        <w:pStyle w:val="ListItem"/>
      </w:pPr>
      <w:r>
        <w:t xml:space="preserve">•</w:t>
      </w:r>
      <w:r>
        <w:tab/>
      </w:r>
      <w:r>
        <w:t xml:space="preserve">The ’364 reference patent’s 20-year patent term would likely expire after the ’019 application’s 20-year patent term (i.e., there does not appear to be a time-wise extension of the patent right).</w:t>
      </w:r>
    </w:p>
    <w:p>
      <w:pPr>
        <w:keepNext/>
        <w:keepLines/>
        <w:tabs>
          <w:tab w:val="left" w:pos="720"/>
        </w:tabs>
        <w:spacing w:before="308" w:after="252" w:line="322" w:lineRule="exact"/>
        <w:ind w:left="720" w:hanging="720"/>
      </w:pPr>
      <w:r>
        <w:rPr>
          <w:b/>
          <w:bCs/>
        </w:rPr>
        <w:t xml:space="preserve">V.</w:t>
      </w:r>
      <w:r>
        <w:tab/>
      </w:r>
      <w:r>
        <w:rPr>
          <w:b/>
          <w:bCs/>
        </w:rPr>
        <w:t xml:space="preserve">CONCLUSION</w:t>
      </w:r>
    </w:p>
    <w:p>
      <w:pPr>
        <w:pStyle w:val="BodyLast"/>
      </w:pPr>
      <w:r>
        <w:t xml:space="preserve">Appellants admit they seek claims that are patentably indistinct from claims already issued to them across six patents. The Board therefore correctly affirmed the rejection of the pending claims of the ’019 patent application for ODP based on the multiple-assignee harassment rationale underlying ODP. The Court should affirm.</w:t>
      </w:r>
    </w:p>
    <w:p>
      <w:pPr>
        <w:keepNext/>
        <w:keepLines/>
        <w:spacing w:before="392" w:after="0" w:line="322" w:lineRule="exact"/>
        <w:ind w:left="0" w:firstLine="0"/>
      </w:pPr>
      <w:r>
        <w:t xml:space="preserve">Dated: August 14, 2026</w:t>
      </w:r>
    </w:p>
    <w:p>
      <w:pPr>
        <w:keepNext/>
        <w:keepLines/>
        <w:spacing w:before="280" w:after="0" w:line="322" w:lineRule="exact"/>
        <w:ind w:left="4680" w:firstLine="0"/>
      </w:pPr>
      <w:r>
        <w:t xml:space="preserve">Respectfully submitted,</w:t>
      </w:r>
    </w:p>
    <w:p>
      <w:pPr>
        <w:keepNext/>
        <w:keepLines/>
        <w:spacing w:before="336" w:after="0" w:line="322" w:lineRule="exact"/>
        <w:ind w:left="4680" w:firstLine="0"/>
      </w:pPr>
      <w:r>
        <w:t xml:space="preserve">/​s/ Kakoli Caprihan</w:t>
      </w:r>
    </w:p>
    <w:p>
      <w:pPr>
        <w:keepNext/>
        <w:keepLines/>
        <w:spacing w:before="0" w:after="0" w:line="322" w:lineRule="exact"/>
        <w:ind w:left="4680" w:firstLine="0"/>
      </w:pPr>
      <w:r>
        <w:t xml:space="preserve">AUSTIN</w:t>
      </w:r>
      <w:r>
        <w:t xml:space="preserve"> </w:t>
      </w:r>
      <w:r>
        <w:t xml:space="preserve">P.</w:t>
      </w:r>
      <w:r>
        <w:t xml:space="preserve"> </w:t>
      </w:r>
      <w:r>
        <w:t xml:space="preserve">MAYRON</w:t>
      </w:r>
    </w:p>
    <w:p>
      <w:pPr>
        <w:keepNext/>
        <w:keepLines/>
        <w:spacing w:before="0" w:after="0" w:line="322" w:lineRule="exact"/>
        <w:ind w:left="4680" w:firstLine="0"/>
      </w:pPr>
      <w:r>
        <w:t xml:space="preserve">Deputy</w:t>
      </w:r>
      <w:r>
        <w:t xml:space="preserve"> </w:t>
      </w:r>
      <w:r>
        <w:t xml:space="preserve">Solicitor</w:t>
      </w:r>
    </w:p>
    <w:p>
      <w:pPr>
        <w:keepNext/>
        <w:keepLines/>
        <w:spacing w:before="0" w:after="0" w:line="322" w:lineRule="exact"/>
        <w:ind w:left="4680" w:firstLine="0"/>
      </w:pPr>
      <w:r>
        <w:t xml:space="preserve">ROBERT</w:t>
      </w:r>
      <w:r>
        <w:t xml:space="preserve"> </w:t>
      </w:r>
      <w:r>
        <w:t xml:space="preserve">J.</w:t>
      </w:r>
      <w:r>
        <w:t xml:space="preserve"> </w:t>
      </w:r>
      <w:r>
        <w:t xml:space="preserve">MCMANUS</w:t>
      </w:r>
    </w:p>
    <w:p>
      <w:pPr>
        <w:keepNext/>
        <w:keepLines/>
        <w:spacing w:before="0" w:after="0" w:line="322" w:lineRule="exact"/>
        <w:ind w:left="4680" w:firstLine="0"/>
      </w:pPr>
      <w:r>
        <w:t xml:space="preserve">Senior</w:t>
      </w:r>
      <w:r>
        <w:t xml:space="preserve"> </w:t>
      </w:r>
      <w:r>
        <w:t xml:space="preserve">IP</w:t>
      </w:r>
      <w:r>
        <w:t xml:space="preserve"> </w:t>
      </w:r>
      <w:r>
        <w:t xml:space="preserve">Legal</w:t>
      </w:r>
      <w:r>
        <w:t xml:space="preserve"> </w:t>
      </w:r>
      <w:r>
        <w:t xml:space="preserve">Counsel</w:t>
      </w:r>
    </w:p>
    <w:p>
      <w:pPr>
        <w:keepNext/>
        <w:keepLines/>
        <w:spacing w:before="0" w:after="0" w:line="322" w:lineRule="exact"/>
        <w:ind w:left="4680" w:firstLine="0"/>
      </w:pPr>
      <w:r>
        <w:t xml:space="preserve">KAKOLI</w:t>
      </w:r>
      <w:r>
        <w:t xml:space="preserve"> </w:t>
      </w:r>
      <w:r>
        <w:t xml:space="preserve">CAPRIHAN</w:t>
      </w:r>
    </w:p>
    <w:p>
      <w:pPr>
        <w:keepNext/>
        <w:keepLines/>
        <w:spacing w:before="0" w:after="0" w:line="322" w:lineRule="exact"/>
        <w:ind w:left="4680" w:firstLine="0"/>
      </w:pPr>
      <w:r>
        <w:t xml:space="preserve">JUSTIN</w:t>
      </w:r>
      <w:r>
        <w:t xml:space="preserve"> </w:t>
      </w:r>
      <w:r>
        <w:t xml:space="preserve">BOVA</w:t>
      </w:r>
    </w:p>
    <w:p>
      <w:pPr>
        <w:keepNext/>
        <w:keepLines/>
        <w:spacing w:before="0" w:after="0" w:line="322" w:lineRule="exact"/>
        <w:ind w:left="4680" w:firstLine="0"/>
      </w:pPr>
      <w:r>
        <w:t xml:space="preserve">MAUREEN</w:t>
      </w:r>
      <w:r>
        <w:t xml:space="preserve"> </w:t>
      </w:r>
      <w:r>
        <w:t xml:space="preserve">D.</w:t>
      </w:r>
      <w:r>
        <w:t xml:space="preserve"> </w:t>
      </w:r>
      <w:r>
        <w:t xml:space="preserve">QUELER</w:t>
      </w:r>
    </w:p>
    <w:p>
      <w:pPr>
        <w:keepNext/>
        <w:keepLines/>
        <w:spacing w:before="0" w:after="0" w:line="322" w:lineRule="exact"/>
        <w:ind w:left="4680" w:firstLine="0"/>
      </w:pPr>
      <w:r>
        <w:t xml:space="preserve">Associate</w:t>
      </w:r>
      <w:r>
        <w:t xml:space="preserve"> </w:t>
      </w:r>
      <w:r>
        <w:t xml:space="preserve">Solicitors</w:t>
      </w:r>
    </w:p>
    <w:p>
      <w:pPr>
        <w:keepNext/>
        <w:keepLines/>
        <w:spacing w:before="0" w:after="0" w:line="322" w:lineRule="exact"/>
        <w:ind w:left="4680" w:firstLine="0"/>
      </w:pPr>
      <w:r>
        <w:t xml:space="preserve">Office</w:t>
      </w:r>
      <w:r>
        <w:t xml:space="preserve"> </w:t>
      </w:r>
      <w:r>
        <w:t xml:space="preserve">of</w:t>
      </w:r>
      <w:r>
        <w:t xml:space="preserve"> </w:t>
      </w:r>
      <w:r>
        <w:t xml:space="preserve">the</w:t>
      </w:r>
      <w:r>
        <w:t xml:space="preserve"> </w:t>
      </w:r>
      <w:r>
        <w:t xml:space="preserve">Solicitor</w:t>
      </w:r>
    </w:p>
    <w:p>
      <w:pPr>
        <w:keepNext/>
        <w:keepLines/>
        <w:spacing w:before="0" w:after="0" w:line="322" w:lineRule="exact"/>
        <w:ind w:left="4680" w:firstLine="0"/>
      </w:pPr>
      <w:r>
        <w:t xml:space="preserve">U.S.</w:t>
      </w:r>
      <w:r>
        <w:t xml:space="preserve"> </w:t>
      </w:r>
      <w:r>
        <w:t xml:space="preserve">Patent</w:t>
      </w:r>
      <w:r>
        <w:t xml:space="preserve"> </w:t>
      </w:r>
      <w:r>
        <w:t xml:space="preserve">and</w:t>
      </w:r>
      <w:r>
        <w:t xml:space="preserve"> </w:t>
      </w:r>
      <w:r>
        <w:t xml:space="preserve">Trademark</w:t>
      </w:r>
      <w:r>
        <w:t xml:space="preserve"> </w:t>
      </w:r>
      <w:r>
        <w:t xml:space="preserve">Office</w:t>
      </w:r>
    </w:p>
    <w:p>
      <w:pPr>
        <w:keepNext/>
        <w:keepLines/>
        <w:spacing w:before="0" w:after="0" w:line="322" w:lineRule="exact"/>
        <w:ind w:left="4680" w:firstLine="0"/>
      </w:pPr>
      <w:r>
        <w:t xml:space="preserve">Mail</w:t>
      </w:r>
      <w:r>
        <w:t xml:space="preserve"> </w:t>
      </w:r>
      <w:r>
        <w:t xml:space="preserve">Stop</w:t>
      </w:r>
      <w:r>
        <w:t xml:space="preserve"> </w:t>
      </w:r>
      <w:r>
        <w:t xml:space="preserve">8,</w:t>
      </w:r>
      <w:r>
        <w:t xml:space="preserve"> </w:t>
      </w:r>
      <w:r>
        <w:t xml:space="preserve">P.O.</w:t>
      </w:r>
      <w:r>
        <w:t xml:space="preserve"> </w:t>
      </w:r>
      <w:r>
        <w:t xml:space="preserve">Box</w:t>
      </w:r>
      <w:r>
        <w:t xml:space="preserve"> </w:t>
      </w:r>
      <w:r>
        <w:t xml:space="preserve">1450</w:t>
      </w:r>
    </w:p>
    <w:p>
      <w:pPr>
        <w:keepNext/>
        <w:keepLines/>
        <w:spacing w:before="0" w:after="0" w:line="322" w:lineRule="exact"/>
        <w:ind w:left="4680" w:firstLine="0"/>
      </w:pPr>
      <w:r>
        <w:t xml:space="preserve">Alexandria,</w:t>
      </w:r>
      <w:r>
        <w:t xml:space="preserve"> </w:t>
      </w:r>
      <w:r>
        <w:t xml:space="preserve">Virginia</w:t>
      </w:r>
      <w:r>
        <w:t xml:space="preserve"> </w:t>
      </w:r>
      <w:r>
        <w:t xml:space="preserve">22313</w:t>
      </w:r>
    </w:p>
    <w:p>
      <w:pPr>
        <w:keepNext/>
        <w:keepLines/>
        <w:spacing w:before="0" w:after="0" w:line="322" w:lineRule="exact"/>
        <w:ind w:left="4680" w:firstLine="0"/>
      </w:pPr>
      <w:r>
        <w:t xml:space="preserve">(571)</w:t>
      </w:r>
      <w:r>
        <w:t xml:space="preserve"> </w:t>
      </w:r>
      <w:r>
        <w:t xml:space="preserve">272</w:t>
        <w:noBreakHyphen/>
        <w:t xml:space="preserve">9035</w:t>
      </w:r>
    </w:p>
    <w:p>
      <w:pPr>
        <w:keepNext/>
        <w:keepLines/>
        <w:spacing w:before="0" w:after="0" w:line="322" w:lineRule="exact"/>
        <w:ind w:left="4680" w:firstLine="0"/>
      </w:pPr>
      <w:r>
        <w:t xml:space="preserve">Attorneys</w:t>
      </w:r>
      <w:r>
        <w:t xml:space="preserve"> </w:t>
      </w:r>
      <w:r>
        <w:t xml:space="preserve">for</w:t>
      </w:r>
      <w:r>
        <w:t xml:space="preserve"> </w:t>
      </w:r>
      <w:r>
        <w:t xml:space="preserve">the</w:t>
      </w:r>
      <w:r>
        <w:t xml:space="preserve"> </w:t>
      </w:r>
      <w:r>
        <w:t xml:space="preserve">Director</w:t>
      </w:r>
      <w:r>
        <w:t xml:space="preserve"> </w:t>
      </w:r>
      <w:r>
        <w:t xml:space="preserve">of</w:t>
      </w:r>
      <w:r>
        <w:t xml:space="preserve"> </w:t>
      </w:r>
      <w:r>
        <w:t xml:space="preserve">the</w:t>
      </w:r>
      <w:r>
        <w:t xml:space="preserve"> </w:t>
      </w:r>
      <w:r>
        <w:t xml:space="preserve">U.S.</w:t>
      </w:r>
      <w:r>
        <w:t xml:space="preserve"> </w:t>
      </w:r>
      <w:r>
        <w:t xml:space="preserve">Patent</w:t>
      </w:r>
      <w:r>
        <w:t xml:space="preserve"> </w:t>
      </w:r>
      <w:r>
        <w:t xml:space="preserve">and</w:t>
      </w:r>
      <w:r>
        <w:t xml:space="preserve"> </w:t>
      </w:r>
      <w:r>
        <w:t xml:space="preserve">Trademark</w:t>
      </w:r>
      <w:r>
        <w:t xml:space="preserve"> </w:t>
      </w:r>
      <w:r>
        <w:t xml:space="preserve">Office</w:t>
      </w:r>
    </w:p>
    <w:p>
      <w:pPr>
        <w:keepNext/>
        <w:keepLines/>
        <w:pageBreakBefore/>
        <w:spacing w:before="0" w:after="308" w:line="322" w:lineRule="exact"/>
        <w:ind w:left="0" w:firstLine="0"/>
        <w:jc w:val="center"/>
      </w:pPr>
      <w:r>
        <w:rPr>
          <w:b/>
          <w:bCs/>
        </w:rPr>
        <w:t xml:space="preserve">CERTIFICATE OF COMPLIANCE</w:t>
      </w:r>
    </w:p>
    <w:p>
      <w:pPr>
        <w:spacing w:before="0" w:after="0" w:line="322" w:lineRule="exact"/>
        <w:ind w:left="0" w:firstLine="0"/>
      </w:pPr>
      <w:r>
        <w:t xml:space="preserve">I certify that this brief complies with the type-volume limitation of Fed. Cir. R. 32(b). The total number of words in the brief is 1,330, as calculated by the word-processing system used to prepare it.</w:t>
      </w:r>
    </w:p>
    <w:p>
      <w:pPr>
        <w:spacing w:before="280" w:after="0" w:line="322" w:lineRule="exact"/>
        <w:ind w:left="0" w:firstLine="0"/>
      </w:pPr>
      <w:r>
        <w:t xml:space="preserve">The brief’s typeface and type style comply with FRAP 32(a)(5) and (6).</w:t>
      </w:r>
    </w:p>
    <w:p>
      <w:pPr>
        <w:keepNext/>
        <w:keepLines/>
        <w:spacing w:before="448" w:after="0" w:line="322" w:lineRule="exact"/>
        <w:ind w:left="4680" w:firstLine="0"/>
      </w:pPr>
      <w:r>
        <w:t xml:space="preserve">/​s/ Kakoli Caprihan</w:t>
      </w:r>
    </w:p>
    <w:p>
      <w:pPr>
        <w:keepNext/>
        <w:keepLines/>
        <w:spacing w:before="0" w:after="0" w:line="322" w:lineRule="exact"/>
        <w:ind w:left="4680" w:firstLine="0"/>
      </w:pPr>
      <w:r>
        <w:t xml:space="preserve">KAKOLI CAPRIHAN</w:t>
      </w:r>
    </w:p>
    <w:p>
      <w:pPr>
        <w:keepNext/>
        <w:keepLines/>
        <w:spacing w:before="0" w:after="0" w:line="322" w:lineRule="exact"/>
        <w:ind w:left="4680" w:firstLine="0"/>
      </w:pPr>
      <w:r>
        <w:t xml:space="preserve">Associate</w:t>
      </w:r>
      <w:r>
        <w:t xml:space="preserve"> </w:t>
      </w:r>
      <w:r>
        <w:t xml:space="preserve">Solicitor</w:t>
      </w:r>
    </w:p>
    <w:p>
      <w:pPr>
        <w:keepNext/>
        <w:keepLines/>
        <w:spacing w:before="0" w:after="0" w:line="322" w:lineRule="exact"/>
        <w:ind w:left="4680" w:firstLine="0"/>
      </w:pPr>
      <w:r>
        <w:t xml:space="preserve">United</w:t>
      </w:r>
      <w:r>
        <w:t xml:space="preserve"> </w:t>
      </w:r>
      <w:r>
        <w:t xml:space="preserve">States</w:t>
      </w:r>
      <w:r>
        <w:t xml:space="preserve"> </w:t>
      </w:r>
      <w:r>
        <w:t xml:space="preserve">Patent</w:t>
      </w:r>
      <w:r>
        <w:t xml:space="preserve"> </w:t>
      </w:r>
      <w:r>
        <w:t xml:space="preserve">&amp;</w:t>
      </w:r>
      <w:r>
        <w:t xml:space="preserve"> </w:t>
      </w:r>
      <w:r>
        <w:t xml:space="preserve">Trademark</w:t>
      </w:r>
      <w:r>
        <w:t xml:space="preserve"> </w:t>
      </w:r>
      <w:r>
        <w:t xml:space="preserve">Office</w:t>
      </w:r>
    </w:p>
    <w:p>
      <w:pPr>
        <w:keepNext/>
        <w:keepLines/>
        <w:spacing w:before="0" w:after="0" w:line="322" w:lineRule="exact"/>
        <w:ind w:left="4680" w:firstLine="0"/>
      </w:pPr>
      <w:r>
        <w:t xml:space="preserve">Mail</w:t>
      </w:r>
      <w:r>
        <w:t xml:space="preserve"> </w:t>
      </w:r>
      <w:r>
        <w:t xml:space="preserve">Stop</w:t>
      </w:r>
      <w:r>
        <w:t xml:space="preserve"> </w:t>
      </w:r>
      <w:r>
        <w:t xml:space="preserve">8</w:t>
      </w:r>
    </w:p>
    <w:p>
      <w:pPr>
        <w:keepNext/>
        <w:keepLines/>
        <w:spacing w:before="0" w:after="0" w:line="322" w:lineRule="exact"/>
        <w:ind w:left="4680" w:firstLine="0"/>
      </w:pPr>
      <w:r>
        <w:t xml:space="preserve">P.O.</w:t>
      </w:r>
      <w:r>
        <w:t xml:space="preserve"> </w:t>
      </w:r>
      <w:r>
        <w:t xml:space="preserve">Box</w:t>
      </w:r>
      <w:r>
        <w:t xml:space="preserve"> </w:t>
      </w:r>
      <w:r>
        <w:t xml:space="preserve">1450</w:t>
      </w:r>
    </w:p>
    <w:p>
      <w:pPr>
        <w:keepNext/>
        <w:keepLines/>
        <w:spacing w:before="0" w:after="0" w:line="322" w:lineRule="exact"/>
        <w:ind w:left="4680" w:firstLine="0"/>
      </w:pPr>
      <w:r>
        <w:t xml:space="preserve">Alexandria,</w:t>
      </w:r>
      <w:r>
        <w:t xml:space="preserve"> </w:t>
      </w:r>
      <w:r>
        <w:t xml:space="preserve">Virginia</w:t>
      </w:r>
      <w:r>
        <w:t xml:space="preserve"> </w:t>
      </w:r>
      <w:r>
        <w:t xml:space="preserve">22313</w:t>
        <w:noBreakHyphen/>
        <w:t xml:space="preserve">1450</w:t>
      </w:r>
    </w:p>
    <w:p>
      <w:pPr>
        <w:keepNext/>
        <w:keepLines/>
        <w:pageBreakBefore/>
        <w:spacing w:before="0" w:after="308" w:line="322" w:lineRule="exact"/>
        <w:ind w:left="0" w:firstLine="0"/>
        <w:jc w:val="center"/>
      </w:pPr>
      <w:r>
        <w:rPr>
          <w:b/>
          <w:bCs/>
        </w:rPr>
        <w:t xml:space="preserve">CERTIFICATE OF SERVICE</w:t>
      </w:r>
    </w:p>
    <w:p>
      <w:pPr>
        <w:spacing w:before="0" w:after="0" w:line="322" w:lineRule="exact"/>
        <w:ind w:left="0" w:firstLine="0"/>
      </w:pPr>
      <w:r>
        <w:t xml:space="preserve">I certify that on August 14, 2026 I electronically filed the foregoing brief with the Clerk of Court using the CM/​ECF system, which will send notice of the filing to all counsel of record.</w:t>
      </w:r>
    </w:p>
    <w:p>
      <w:pPr>
        <w:keepNext/>
        <w:keepLines/>
        <w:spacing w:before="448" w:after="0" w:line="322" w:lineRule="exact"/>
        <w:ind w:left="4680" w:firstLine="0"/>
      </w:pPr>
      <w:r>
        <w:t xml:space="preserve">/​s/ Kakoli Caprihan</w:t>
      </w:r>
    </w:p>
    <w:p>
      <w:pPr>
        <w:keepNext/>
        <w:keepLines/>
        <w:spacing w:before="0" w:after="0" w:line="322" w:lineRule="exact"/>
        <w:ind w:left="4680" w:firstLine="0"/>
      </w:pPr>
      <w:r>
        <w:t xml:space="preserve">KAKOLI CAPRIHAN</w:t>
      </w:r>
    </w:p>
    <w:p>
      <w:pPr>
        <w:keepNext/>
        <w:keepLines/>
        <w:spacing w:before="0" w:after="0" w:line="322" w:lineRule="exact"/>
        <w:ind w:left="4680" w:firstLine="0"/>
      </w:pPr>
      <w:r>
        <w:t xml:space="preserve">Associate</w:t>
      </w:r>
      <w:r>
        <w:t xml:space="preserve"> </w:t>
      </w:r>
      <w:r>
        <w:t xml:space="preserve">Solicitor</w:t>
      </w:r>
    </w:p>
    <w:p>
      <w:pPr>
        <w:keepNext/>
        <w:keepLines/>
        <w:spacing w:before="0" w:after="0" w:line="322" w:lineRule="exact"/>
        <w:ind w:left="4680" w:firstLine="0"/>
      </w:pPr>
      <w:r>
        <w:t xml:space="preserve">United</w:t>
      </w:r>
      <w:r>
        <w:t xml:space="preserve"> </w:t>
      </w:r>
      <w:r>
        <w:t xml:space="preserve">States</w:t>
      </w:r>
      <w:r>
        <w:t xml:space="preserve"> </w:t>
      </w:r>
      <w:r>
        <w:t xml:space="preserve">Patent</w:t>
      </w:r>
      <w:r>
        <w:t xml:space="preserve"> </w:t>
      </w:r>
      <w:r>
        <w:t xml:space="preserve">&amp;</w:t>
      </w:r>
      <w:r>
        <w:t xml:space="preserve"> </w:t>
      </w:r>
      <w:r>
        <w:t xml:space="preserve">Trademark</w:t>
      </w:r>
      <w:r>
        <w:t xml:space="preserve"> </w:t>
      </w:r>
      <w:r>
        <w:t xml:space="preserve">Office</w:t>
      </w:r>
    </w:p>
    <w:p>
      <w:pPr>
        <w:keepNext/>
        <w:keepLines/>
        <w:spacing w:before="0" w:after="0" w:line="322" w:lineRule="exact"/>
        <w:ind w:left="4680" w:firstLine="0"/>
      </w:pPr>
      <w:r>
        <w:t xml:space="preserve">Mail</w:t>
      </w:r>
      <w:r>
        <w:t xml:space="preserve"> </w:t>
      </w:r>
      <w:r>
        <w:t xml:space="preserve">Stop</w:t>
      </w:r>
      <w:r>
        <w:t xml:space="preserve"> </w:t>
      </w:r>
      <w:r>
        <w:t xml:space="preserve">8</w:t>
      </w:r>
    </w:p>
    <w:p>
      <w:pPr>
        <w:keepNext/>
        <w:keepLines/>
        <w:spacing w:before="0" w:after="0" w:line="322" w:lineRule="exact"/>
        <w:ind w:left="4680" w:firstLine="0"/>
      </w:pPr>
      <w:r>
        <w:t xml:space="preserve">P.O.</w:t>
      </w:r>
      <w:r>
        <w:t xml:space="preserve"> </w:t>
      </w:r>
      <w:r>
        <w:t xml:space="preserve">Box</w:t>
      </w:r>
      <w:r>
        <w:t xml:space="preserve"> </w:t>
      </w:r>
      <w:r>
        <w:t xml:space="preserve">1450</w:t>
      </w:r>
    </w:p>
    <w:p>
      <w:pPr>
        <w:keepNext/>
        <w:keepLines/>
        <w:spacing w:before="0" w:after="0" w:line="322" w:lineRule="exact"/>
        <w:ind w:left="4680" w:firstLine="0"/>
      </w:pPr>
      <w:r>
        <w:t xml:space="preserve">Alexandria,</w:t>
      </w:r>
      <w:r>
        <w:t xml:space="preserve"> </w:t>
      </w:r>
      <w:r>
        <w:t xml:space="preserve">Virginia</w:t>
      </w:r>
      <w:r>
        <w:t xml:space="preserve"> </w:t>
      </w:r>
      <w:r>
        <w:t xml:space="preserve">22313</w:t>
        <w:noBreakHyphen/>
        <w:t xml:space="preserve">1450</w:t>
      </w:r>
    </w:p>
    <w:sectPr>
      <w:footerReference w:type="default" r:id="rIdArabicFtr"/>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rabic.xml><?xml version="1.0" encoding="utf-8"?>
<w:ftr xmlns:w="http://schemas.openxmlformats.org/wordprocessingml/2006/main" xmlns:r="http://schemas.openxmlformats.org/officeDocument/2006/relationships">
  <w:p>
    <w:pPr>
      <w:spacing w:before="0" w:after="0" w:line="322" w:lineRule="exact"/>
      <w:ind w:firstLine="0"/>
      <w:jc w:val="center"/>
    </w:pPr>
    <w:r>
      <w:fldChar w:fldCharType="begin"/>
    </w:r>
    <w:r>
      <w:instrText xml:space="preserve"> PAGE </w:instrText>
    </w:r>
    <w:r>
      <w:fldChar w:fldCharType="separate"/>
    </w:r>
    <w:r>
      <w:t>1</w:t>
    </w:r>
    <w:r>
      <w:fldChar w:fldCharType="end"/>
    </w:r>
  </w:p>
</w:ftr>
</file>

<file path=word/footer-roman.xml><?xml version="1.0" encoding="utf-8"?>
<w:ftr xmlns:w="http://schemas.openxmlformats.org/wordprocessingml/2006/main" xmlns:r="http://schemas.openxmlformats.org/officeDocument/2006/relationships">
  <w:p>
    <w:pPr>
      <w:spacing w:before="0" w:after="0" w:line="322" w:lineRule="exact"/>
      <w:ind w:firstLine="0"/>
      <w:jc w:val="center"/>
    </w:pPr>
    <w:r>
      <w:fldChar w:fldCharType="begin"/>
    </w:r>
    <w:r>
      <w:instrText xml:space="preserve"> PAGE </w:instrText>
    </w:r>
    <w:r>
      <w:fldChar w:fldCharType="separate"/>
    </w:r>
    <w:r>
      <w:t>1</w:t>
    </w:r>
    <w:r>
      <w:fldChar w:fldCharType="end"/>
    </w:r>
  </w:p>
</w:ftr>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“Appx__” refers to the Joint Appendix in this case; “Br. __” refers to Appellants’ Opening Brief.</w:t>
      </w:r>
    </w:p>
  </w:footnote>
  <w:footnote w:id="10">
    <w:p>
      <w:pPr>
        <w:pStyle w:val="FootnoteText"/>
      </w:pPr>
      <w:r>
        <w:rPr>
          <w:rStyle w:val="FootnoteReference"/>
        </w:rPr>
        <w:footnoteRef/>
      </w:r>
      <w:r>
        <w:t xml:space="preserve"> </w:t>
      </w:r>
      <w:r>
        <w:t xml:space="preserve">In response to other ODP rejections, Appellant filed terminal disclaimers over three other patents or patent applications. Appx3303</w:t>
      </w:r>
      <w:r>
        <w:noBreakHyphen/>
      </w:r>
      <w:r>
        <w:t xml:space="preserve">3305; Appx3457</w:t>
      </w:r>
      <w:r>
        <w:noBreakHyphen/>
      </w:r>
      <w:r>
        <w:t xml:space="preserve">3459.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Last">
    <w:name w:val="Body Last"/>
    <w:basedOn w:val="BodyText"/>
    <w:qFormat/>
    <w:pPr>
      <w:keepNext/>
      <w:keepLines/>
    </w:p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RomanFtr" Target="footer-roman.xml"/><Relationship Type="http://schemas.openxmlformats.org/officeDocument/2006/relationships/footer" Id="rIdArabicFtr" Target="footer-arabic.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