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Pr>
          <w:p>
            <w:pPr>
              <w:spacing w:before="0" w:after="0" w:line="276" w:lineRule="exact"/>
              <w:ind w:left="0" w:firstLine="0"/>
              <w:jc w:val="left"/>
            </w:pPr>
            <w:r>
              <w:t xml:space="preserve">RONALD</w:t>
            </w:r>
            <w:r>
              <w:t xml:space="preserve"> </w:t>
            </w:r>
            <w:r>
              <w:t xml:space="preserve">I.</w:t>
            </w:r>
            <w:r>
              <w:t xml:space="preserve"> </w:t>
            </w:r>
            <w:r>
              <w:t xml:space="preserve">HELLER</w:t>
            </w:r>
          </w:p>
          <w:p>
            <w:pPr>
              <w:spacing w:before="0" w:after="0" w:line="276" w:lineRule="exact"/>
              <w:ind w:left="0" w:firstLine="0"/>
              <w:jc w:val="left"/>
            </w:pPr>
            <w:r>
              <w:t xml:space="preserve">2721</w:t>
              <w:noBreakHyphen/>
              <w:t xml:space="preserve">0</w:t>
            </w:r>
          </w:p>
          <w:p>
            <w:pPr>
              <w:spacing w:before="0" w:after="0" w:line="276" w:lineRule="exact"/>
              <w:ind w:left="0" w:firstLine="0"/>
              <w:jc w:val="left"/>
            </w:pPr>
            <w:r>
              <w:t xml:space="preserve">TORKILDSON</w:t>
            </w:r>
            <w:r>
              <w:t xml:space="preserve"> </w:t>
            </w:r>
            <w:r>
              <w:t xml:space="preserve">KATZ</w:t>
            </w:r>
            <w:r>
              <w:t xml:space="preserve"> </w:t>
            </w:r>
            <w:r>
              <w:t xml:space="preserve">HETHERINGTON</w:t>
            </w:r>
            <w:r>
              <w:t xml:space="preserve"> </w:t>
            </w:r>
            <w:r>
              <w:t xml:space="preserve">HARRIS</w:t>
            </w:r>
            <w:r>
              <w:t xml:space="preserve"> </w:t>
            </w:r>
            <w:r>
              <w:t xml:space="preserve">&amp;</w:t>
            </w:r>
            <w:r>
              <w:t xml:space="preserve"> </w:t>
            </w:r>
            <w:r>
              <w:t xml:space="preserve">KNOREK</w:t>
            </w:r>
          </w:p>
          <w:p>
            <w:pPr>
              <w:spacing w:before="0" w:after="0" w:line="276" w:lineRule="exact"/>
              <w:ind w:left="0" w:firstLine="0"/>
              <w:jc w:val="left"/>
            </w:pPr>
            <w:r>
              <w:t xml:space="preserve">Attorneys</w:t>
            </w:r>
            <w:r>
              <w:t xml:space="preserve"> </w:t>
            </w:r>
            <w:r>
              <w:t xml:space="preserve">at</w:t>
            </w:r>
            <w:r>
              <w:t xml:space="preserve"> </w:t>
            </w:r>
            <w:r>
              <w:t xml:space="preserve">Law,</w:t>
            </w:r>
            <w:r>
              <w:t xml:space="preserve"> </w:t>
            </w:r>
            <w:r>
              <w:t xml:space="preserve">A</w:t>
            </w:r>
            <w:r>
              <w:t xml:space="preserve"> </w:t>
            </w:r>
            <w:r>
              <w:t xml:space="preserve">Law</w:t>
            </w:r>
            <w:r>
              <w:t xml:space="preserve"> </w:t>
            </w:r>
            <w:r>
              <w:t xml:space="preserve">Corporation</w:t>
            </w:r>
          </w:p>
          <w:p>
            <w:pPr>
              <w:spacing w:before="0" w:after="0" w:line="276" w:lineRule="exact"/>
              <w:ind w:left="0" w:firstLine="0"/>
              <w:jc w:val="left"/>
            </w:pPr>
            <w:r>
              <w:t xml:space="preserve">700</w:t>
            </w:r>
            <w:r>
              <w:t xml:space="preserve"> </w:t>
            </w:r>
            <w:r>
              <w:t xml:space="preserve">Bishop</w:t>
            </w:r>
            <w:r>
              <w:t xml:space="preserve"> </w:t>
            </w:r>
            <w:r>
              <w:t xml:space="preserve">Street,</w:t>
            </w:r>
            <w:r>
              <w:t xml:space="preserve"> </w:t>
            </w:r>
            <w:r>
              <w:t xml:space="preserve">15th</w:t>
            </w:r>
            <w:r>
              <w:t xml:space="preserve"> </w:t>
            </w:r>
            <w:r>
              <w:t xml:space="preserve">Floor</w:t>
            </w:r>
          </w:p>
          <w:p>
            <w:pPr>
              <w:spacing w:before="0" w:after="0" w:line="276" w:lineRule="exact"/>
              <w:ind w:left="0" w:firstLine="0"/>
              <w:jc w:val="left"/>
            </w:pPr>
            <w:r>
              <w:t xml:space="preserve">Honolulu,</w:t>
            </w:r>
            <w:r>
              <w:t xml:space="preserve"> </w:t>
            </w:r>
            <w:r>
              <w:t xml:space="preserve">HI</w:t>
            </w:r>
            <w:r>
              <w:t xml:space="preserve"> </w:t>
            </w:r>
            <w:r>
              <w:t xml:space="preserve">96813</w:t>
            </w:r>
          </w:p>
          <w:p>
            <w:pPr>
              <w:spacing w:before="0" w:after="0" w:line="276" w:lineRule="exact"/>
              <w:ind w:left="0" w:firstLine="0"/>
              <w:jc w:val="left"/>
            </w:pPr>
            <w:r>
              <w:t xml:space="preserve">Telephone:</w:t>
            </w:r>
            <w:r>
              <w:t xml:space="preserve"> </w:t>
            </w:r>
            <w:r>
              <w:t xml:space="preserve">(808)</w:t>
            </w:r>
            <w:r>
              <w:t xml:space="preserve"> </w:t>
            </w:r>
            <w:r>
              <w:t xml:space="preserve">523</w:t>
              <w:noBreakHyphen/>
              <w:t xml:space="preserve">6000</w:t>
            </w:r>
          </w:p>
          <w:p>
            <w:pPr>
              <w:spacing w:before="0" w:after="0" w:line="276" w:lineRule="exact"/>
              <w:ind w:left="0" w:firstLine="0"/>
              <w:jc w:val="left"/>
            </w:pPr>
            <w:r>
              <w:t xml:space="preserve">Facsimile:</w:t>
            </w:r>
            <w:r>
              <w:t xml:space="preserve"> </w:t>
            </w:r>
            <w:r>
              <w:t xml:space="preserve">(808)</w:t>
            </w:r>
            <w:r>
              <w:t xml:space="preserve"> </w:t>
            </w:r>
            <w:r>
              <w:t xml:space="preserve">523</w:t>
              <w:noBreakHyphen/>
              <w:t xml:space="preserve">6001</w:t>
            </w:r>
          </w:p>
          <w:p>
            <w:pPr>
              <w:spacing w:before="0" w:after="96" w:line="276" w:lineRule="exact"/>
              <w:ind w:left="0" w:firstLine="0"/>
              <w:jc w:val="left"/>
            </w:pPr>
            <w:r>
              <w:t xml:space="preserve">rheller@torkildson.com</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Taxpayer-Appellant</w:t>
            </w:r>
            <w:r>
              <w:rPr>
                <w:i/>
                <w:iCs/>
              </w:rPr>
              <w:t xml:space="preserve"> </w:t>
            </w:r>
            <w:r>
              <w:rPr>
                <w:i/>
                <w:iCs/>
              </w:rPr>
              <w:t xml:space="preserve">CATHERINE</w:t>
            </w:r>
            <w:r>
              <w:rPr>
                <w:i/>
                <w:iCs/>
              </w:rPr>
              <w:t xml:space="preserve"> </w:t>
            </w:r>
            <w:r>
              <w:rPr>
                <w:i/>
                <w:iCs/>
              </w:rPr>
              <w:t xml:space="preserve">K.</w:t>
            </w:r>
            <w:r>
              <w:rPr>
                <w:i/>
                <w:iCs/>
              </w:rPr>
              <w:t xml:space="preserve"> </w:t>
            </w:r>
            <w:r>
              <w:rPr>
                <w:i/>
                <w:iCs/>
              </w:rPr>
              <w:t xml:space="preserve">COBB,</w:t>
            </w:r>
            <w:r>
              <w:rPr>
                <w:i/>
                <w:iCs/>
              </w:rPr>
              <w:t xml:space="preserve"> </w:t>
            </w:r>
            <w:r>
              <w:rPr>
                <w:i/>
                <w:iCs/>
              </w:rPr>
              <w:t xml:space="preserve">NOW</w:t>
            </w:r>
            <w:r>
              <w:rPr>
                <w:i/>
                <w:iCs/>
              </w:rPr>
              <w:t xml:space="preserve"> </w:t>
            </w:r>
            <w:r>
              <w:rPr>
                <w:i/>
                <w:iCs/>
              </w:rPr>
              <w:t xml:space="preserve">KNOWN</w:t>
            </w:r>
            <w:r>
              <w:rPr>
                <w:i/>
                <w:iCs/>
              </w:rPr>
              <w:t xml:space="preserve"> </w:t>
            </w:r>
            <w:r>
              <w:rPr>
                <w:i/>
                <w:iCs/>
              </w:rPr>
              <w:t xml:space="preserve">AS</w:t>
            </w:r>
            <w:r>
              <w:rPr>
                <w:i/>
                <w:iCs/>
              </w:rPr>
              <w:t xml:space="preserve"> </w:t>
            </w:r>
            <w:r>
              <w:rPr>
                <w:i/>
                <w:iCs/>
              </w:rPr>
              <w:t xml:space="preserve">CATHERINE</w:t>
            </w:r>
            <w:r>
              <w:rPr>
                <w:i/>
                <w:iCs/>
              </w:rPr>
              <w:t xml:space="preserve"> </w:t>
            </w:r>
            <w:r>
              <w:rPr>
                <w:i/>
                <w:iCs/>
              </w:rPr>
              <w:t xml:space="preserve">PARRY</w:t>
            </w:r>
          </w:p>
        </w:tc>
        <w:tc>
          <w:tcPr>
            <w:tcW w:w="4320" w:type="dxa"/>
          </w:tcPr>
          <w:p>
            <w:pPr>
              <w:spacing w:before="4044" w:after="0" w:line="276" w:lineRule="exact"/>
              <w:ind w:left="0" w:firstLine="0"/>
              <w:jc w:val="left"/>
            </w:pPr>
            <w:r>
              <w:t xml:space="preserve"> </w:t>
            </w:r>
          </w:p>
        </w:tc>
      </w:tr>
    </w:tbl>
    <w:p>
      <w:pPr>
        <w:spacing w:before="432" w:after="0" w:line="276" w:lineRule="exact"/>
        <w:ind w:left="0" w:firstLine="0"/>
        <w:jc w:val="center"/>
      </w:pPr>
      <w:r>
        <w:rPr>
          <w:b/>
          <w:bCs/>
        </w:rPr>
        <w:t xml:space="preserve">TAX</w:t>
      </w:r>
      <w:r>
        <w:rPr>
          <w:b/>
          <w:bCs/>
        </w:rPr>
        <w:t xml:space="preserve"> </w:t>
      </w:r>
      <w:r>
        <w:rPr>
          <w:b/>
          <w:bCs/>
        </w:rPr>
        <w:t xml:space="preserve">APPEAL</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HAWAII</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500"/>
        <w:gridCol w:w="4860"/>
      </w:tblGrid>
      <w:tr>
        <w:trPr>
          <w:cantSplit/>
        </w:trPr>
        <w:tc>
          <w:tcPr>
            <w:tcW w:w="4500" w:type="dxa"/>
          </w:tcPr>
          <w:p>
            <w:pPr>
              <w:spacing w:before="0" w:after="0" w:line="276" w:lineRule="exact"/>
              <w:ind w:left="0" w:firstLine="0"/>
              <w:jc w:val="left"/>
            </w:pPr>
            <w:r>
              <w:t xml:space="preserve">CATHERINE</w:t>
            </w:r>
            <w:r>
              <w:t xml:space="preserve"> </w:t>
            </w:r>
            <w:r>
              <w:t xml:space="preserve">K.</w:t>
            </w:r>
            <w:r>
              <w:t xml:space="preserve"> </w:t>
            </w:r>
            <w:r>
              <w:t xml:space="preserve">COBB,</w:t>
            </w:r>
            <w:r>
              <w:t xml:space="preserve"> </w:t>
            </w:r>
            <w:r>
              <w:t xml:space="preserve">NOW</w:t>
            </w:r>
            <w:r>
              <w:t xml:space="preserve"> </w:t>
            </w:r>
            <w:r>
              <w:t xml:space="preserve">KNOWN</w:t>
            </w:r>
            <w:r>
              <w:t xml:space="preserve"> </w:t>
            </w:r>
            <w:r>
              <w:t xml:space="preserve">AS</w:t>
            </w:r>
          </w:p>
          <w:p>
            <w:pPr>
              <w:spacing w:before="0" w:after="0" w:line="276" w:lineRule="exact"/>
              <w:ind w:left="0" w:firstLine="0"/>
              <w:jc w:val="left"/>
            </w:pPr>
            <w:r>
              <w:t xml:space="preserve">CATHERINE</w:t>
            </w:r>
            <w:r>
              <w:t xml:space="preserve"> </w:t>
            </w:r>
            <w:r>
              <w:t xml:space="preserve">PARRY,</w:t>
            </w:r>
          </w:p>
          <w:p>
            <w:pPr>
              <w:spacing w:before="0" w:after="0" w:line="276" w:lineRule="exact"/>
              <w:ind w:left="1800" w:firstLine="0"/>
              <w:jc w:val="left"/>
            </w:pPr>
            <w:r>
              <w:t xml:space="preserve">Taxpayer-Appellant.</w:t>
            </w:r>
          </w:p>
        </w:tc>
        <w:tc>
          <w:tcPr>
            <w:tcW w:w="4860" w:type="dxa"/>
            <w:tcMar>
              <w:left w:w="360" w:type="dxa"/>
            </w:tcMar>
          </w:tcPr>
          <w:p>
            <w:pPr>
              <w:spacing w:before="0" w:after="0" w:line="276" w:lineRule="exact"/>
              <w:ind w:left="0" w:firstLine="0"/>
              <w:jc w:val="left"/>
            </w:pPr>
            <w:r>
              <w:t xml:space="preserve">CASE</w:t>
            </w:r>
            <w:r>
              <w:t xml:space="preserve"> </w:t>
            </w:r>
            <w:r>
              <w:t xml:space="preserve">NO.</w:t>
            </w:r>
            <w:r>
              <w:t xml:space="preserve"> </w:t>
            </w:r>
            <w:r>
              <w:t xml:space="preserve">1CTX</w:t>
              <w:noBreakHyphen/>
              <w:t xml:space="preserve">21</w:t>
              <w:noBreakHyphen/>
              <w:t xml:space="preserve">0000001</w:t>
            </w:r>
          </w:p>
          <w:p>
            <w:pPr>
              <w:spacing w:before="276" w:after="0" w:line="276" w:lineRule="exact"/>
              <w:ind w:left="0" w:firstLine="0"/>
              <w:jc w:val="left"/>
            </w:pPr>
            <w:r>
              <w:rPr>
                <w:b/>
                <w:bCs/>
              </w:rPr>
              <w:t xml:space="preserve">NOTICE</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TO</w:t>
            </w:r>
            <w:r>
              <w:rPr>
                <w:b/>
                <w:bCs/>
              </w:rPr>
              <w:t xml:space="preserve"> </w:t>
            </w:r>
            <w:r>
              <w:rPr>
                <w:b/>
                <w:bCs/>
              </w:rPr>
              <w:t xml:space="preserve">TAX</w:t>
            </w:r>
            <w:r>
              <w:rPr>
                <w:b/>
                <w:bCs/>
              </w:rPr>
              <w:t xml:space="preserve"> </w:t>
            </w:r>
            <w:r>
              <w:rPr>
                <w:b/>
                <w:bCs/>
              </w:rPr>
              <w:t xml:space="preserve">APPEAL</w:t>
            </w:r>
            <w:r>
              <w:rPr>
                <w:b/>
                <w:bCs/>
              </w:rPr>
              <w:t xml:space="preserve"> </w:t>
            </w:r>
            <w:r>
              <w:rPr>
                <w:b/>
                <w:bCs/>
              </w:rPr>
              <w:t xml:space="preserve">COURT</w:t>
            </w:r>
          </w:p>
        </w:tc>
      </w:tr>
    </w:tbl>
    <w:p>
      <w:pPr>
        <w:pStyle w:val="BodyText"/>
      </w:pPr>
      <w:r>
        <w:t xml:space="preserve">Pursuant to Sections 232</w:t>
      </w:r>
      <w:r>
        <w:noBreakHyphen/>
      </w:r>
      <w:r>
        <w:t xml:space="preserve">16, 235</w:t>
      </w:r>
      <w:r>
        <w:noBreakHyphen/>
      </w:r>
      <w:r>
        <w:t xml:space="preserve">64, 235</w:t>
      </w:r>
      <w:r>
        <w:noBreakHyphen/>
      </w:r>
      <w:r>
        <w:t xml:space="preserve">114, 237</w:t>
      </w:r>
      <w:r>
        <w:noBreakHyphen/>
      </w:r>
      <w:r>
        <w:t xml:space="preserve">41.5 and 237</w:t>
      </w:r>
      <w:r>
        <w:noBreakHyphen/>
      </w:r>
      <w:r>
        <w:t xml:space="preserve">42, Hawaii Revised Statutes, and other applicable law, Taxpayer-Appellant CATHERINE K. COBB, NOW KNOWN AS CATHERINE PARRY, appeals from the Final Notice of Personal Liability for General Excise Tax dated December 22, 2020, a redacted copy of which is attached hereto as Exhibit A, and the Notice of Final Assessment of Withholding Tax dated December 22, 2020, a redacted copy of which is attached hereto as Exhibit B (collectively the “Notices”). In support of this appeal, Taxpayer-Appellant submits the following information:</w:t>
      </w:r>
    </w:p>
    <w:p>
      <w:pPr>
        <w:keepNext/>
        <w:keepLines/>
        <w:spacing w:before="240" w:after="192" w:line="276" w:lineRule="exact"/>
        <w:ind w:left="720" w:hanging="720"/>
        <w:jc w:val="left"/>
      </w:pPr>
      <w:r>
        <w:rPr>
          <w:b/>
          <w:bCs/>
        </w:rPr>
        <w:t xml:space="preserve">I.</w:t>
      </w:r>
      <w:r>
        <w:tab/>
      </w:r>
      <w:r>
        <w:rPr>
          <w:b/>
          <w:bCs/>
        </w:rPr>
        <w:t xml:space="preserve">TAXPAYER’S</w:t>
      </w:r>
      <w:r>
        <w:rPr>
          <w:b/>
          <w:bCs/>
        </w:rPr>
        <w:t xml:space="preserve"> </w:t>
      </w:r>
      <w:r>
        <w:rPr>
          <w:b/>
          <w:bCs/>
        </w:rPr>
        <w:t xml:space="preserve">NAME,</w:t>
      </w:r>
      <w:r>
        <w:rPr>
          <w:b/>
          <w:bCs/>
        </w:rPr>
        <w:t xml:space="preserve"> </w:t>
      </w:r>
      <w:r>
        <w:rPr>
          <w:b/>
          <w:bCs/>
        </w:rPr>
        <w:t xml:space="preserve">ID</w:t>
      </w:r>
      <w:r>
        <w:rPr>
          <w:b/>
          <w:bCs/>
        </w:rPr>
        <w:t xml:space="preserve"> </w:t>
      </w:r>
      <w:r>
        <w:rPr>
          <w:b/>
          <w:bCs/>
        </w:rPr>
        <w:t xml:space="preserve">AND</w:t>
      </w:r>
      <w:r>
        <w:rPr>
          <w:b/>
          <w:bCs/>
        </w:rPr>
        <w:t xml:space="preserve"> </w:t>
      </w:r>
      <w:r>
        <w:rPr>
          <w:b/>
          <w:bCs/>
        </w:rPr>
        <w:t xml:space="preserve">ADDRESS</w:t>
      </w:r>
    </w:p>
    <w:p>
      <w:pPr>
        <w:pStyle w:val="BodyText"/>
      </w:pPr>
      <w:r>
        <w:t xml:space="preserve">CATHERINE K. COBB, NOW KNOWN AS CATHERINE PARRY</w:t>
      </w:r>
      <w:r>
        <w:t xml:space="preserve"> </w:t>
      </w:r>
      <w:r>
        <w:t xml:space="preserve">Tax ID No. xxx-xx</w:t>
      </w:r>
      <w:r>
        <w:noBreakHyphen/>
      </w:r>
      <w:r>
        <w:t xml:space="preserve">8969</w:t>
      </w:r>
      <w:r>
        <w:t xml:space="preserve"> </w:t>
      </w:r>
      <w:r>
        <w:t xml:space="preserve">110 Rosebrook Street</w:t>
      </w:r>
      <w:r>
        <w:t xml:space="preserve"> </w:t>
      </w:r>
      <w:r>
        <w:t xml:space="preserve">Henderson, TX 75654</w:t>
      </w:r>
      <w:r>
        <w:noBreakHyphen/>
      </w:r>
      <w:r>
        <w:t xml:space="preserve">3726</w:t>
      </w:r>
    </w:p>
    <w:p>
      <w:pPr>
        <w:keepNext/>
        <w:keepLines/>
        <w:spacing w:before="240" w:after="192" w:line="276" w:lineRule="exact"/>
        <w:ind w:left="720" w:hanging="720"/>
        <w:jc w:val="left"/>
      </w:pPr>
      <w:r>
        <w:rPr>
          <w:b/>
          <w:bCs/>
        </w:rPr>
        <w:t xml:space="preserve">II.</w:t>
      </w:r>
      <w:r>
        <w:tab/>
      </w:r>
      <w:r>
        <w:rPr>
          <w:b/>
          <w:bCs/>
        </w:rPr>
        <w:t xml:space="preserve">REPRESENTATIVE</w:t>
      </w:r>
    </w:p>
    <w:p>
      <w:pPr>
        <w:pStyle w:val="BodyText"/>
      </w:pPr>
      <w:r>
        <w:t xml:space="preserve">Ronald I. Heller</w:t>
      </w:r>
      <w:r>
        <w:t xml:space="preserve"> </w:t>
      </w:r>
      <w:r>
        <w:t xml:space="preserve">Phone: (808) 523</w:t>
      </w:r>
      <w:r>
        <w:noBreakHyphen/>
      </w:r>
      <w:r>
        <w:t xml:space="preserve">6000</w:t>
      </w:r>
      <w:r>
        <w:t xml:space="preserve"> </w:t>
      </w:r>
      <w:r>
        <w:t xml:space="preserve">Fax: (808) 523</w:t>
      </w:r>
      <w:r>
        <w:noBreakHyphen/>
      </w:r>
      <w:r>
        <w:t xml:space="preserve">6001</w:t>
      </w:r>
      <w:r>
        <w:t xml:space="preserve"> </w:t>
      </w:r>
      <w:r>
        <w:t xml:space="preserve">Torkildson Katz Hetherington Harris &amp; Knorek</w:t>
      </w:r>
      <w:r>
        <w:t xml:space="preserve"> </w:t>
      </w:r>
      <w:r>
        <w:t xml:space="preserve">700 Bishop Street, 15th Floor</w:t>
      </w:r>
      <w:r>
        <w:t xml:space="preserve"> </w:t>
      </w:r>
      <w:r>
        <w:t xml:space="preserve">Honolulu, Hawaii 96813</w:t>
      </w:r>
      <w:r>
        <w:noBreakHyphen/>
      </w:r>
      <w:r>
        <w:t xml:space="preserve">4187</w:t>
      </w:r>
      <w:r>
        <w:t xml:space="preserve"> </w:t>
      </w:r>
      <w:r>
        <w:t xml:space="preserve">rheller@torkildson.com</w:t>
      </w:r>
    </w:p>
    <w:p>
      <w:pPr>
        <w:keepNext/>
        <w:keepLines/>
        <w:spacing w:before="240" w:after="192" w:line="276" w:lineRule="exact"/>
        <w:ind w:left="720" w:hanging="720"/>
        <w:jc w:val="left"/>
      </w:pPr>
      <w:r>
        <w:rPr>
          <w:b/>
          <w:bCs/>
        </w:rPr>
        <w:t xml:space="preserve">III.</w:t>
      </w:r>
      <w:r>
        <w:tab/>
      </w:r>
      <w:r>
        <w:rPr>
          <w:b/>
          <w:bCs/>
        </w:rPr>
        <w:t xml:space="preserve">TYPE</w:t>
      </w:r>
      <w:r>
        <w:rPr>
          <w:b/>
          <w:bCs/>
        </w:rPr>
        <w:t xml:space="preserve"> </w:t>
      </w:r>
      <w:r>
        <w:rPr>
          <w:b/>
          <w:bCs/>
        </w:rPr>
        <w:t xml:space="preserve">OF</w:t>
      </w:r>
      <w:r>
        <w:rPr>
          <w:b/>
          <w:bCs/>
        </w:rPr>
        <w:t xml:space="preserve"> </w:t>
      </w:r>
      <w:r>
        <w:rPr>
          <w:b/>
          <w:bCs/>
        </w:rPr>
        <w:t xml:space="preserve">TAX</w:t>
      </w:r>
      <w:r>
        <w:rPr>
          <w:b/>
          <w:bCs/>
        </w:rPr>
        <w:t xml:space="preserve"> </w:t>
      </w:r>
      <w:r>
        <w:rPr>
          <w:b/>
          <w:bCs/>
        </w:rPr>
        <w:t xml:space="preserve">AND</w:t>
      </w:r>
      <w:r>
        <w:rPr>
          <w:b/>
          <w:bCs/>
        </w:rPr>
        <w:t xml:space="preserve"> </w:t>
      </w:r>
      <w:r>
        <w:rPr>
          <w:b/>
          <w:bCs/>
        </w:rPr>
        <w:t xml:space="preserve">PERIODS</w:t>
      </w:r>
      <w:r>
        <w:rPr>
          <w:b/>
          <w:bCs/>
        </w:rPr>
        <w:t xml:space="preserve"> </w:t>
      </w:r>
      <w:r>
        <w:rPr>
          <w:b/>
          <w:bCs/>
        </w:rPr>
        <w:t xml:space="preserve">INVOLVED</w:t>
      </w:r>
    </w:p>
    <w:p>
      <w:pPr>
        <w:pStyle w:val="BodyText"/>
      </w:pPr>
      <w:r>
        <w:t xml:space="preserve">The assessments in dispute are “responsible person” penalty assessments, purportedly made under HRS Sections 235</w:t>
      </w:r>
      <w:r>
        <w:noBreakHyphen/>
      </w:r>
      <w:r>
        <w:t xml:space="preserve">64 and 237</w:t>
      </w:r>
      <w:r>
        <w:noBreakHyphen/>
      </w:r>
      <w:r>
        <w:t xml:space="preserve">41.5, related to Withholding Tax and General Excise Tax due from (or purportedly due from) Kailua Print Shop LLC, for tax periods from the year ended December 31, 2015, to the month ending March 31, 2020, as shown in detail in the Notice attached as Exhibit A.</w:t>
      </w:r>
    </w:p>
    <w:p>
      <w:pPr>
        <w:keepNext/>
        <w:keepLines/>
        <w:spacing w:before="240" w:after="192" w:line="276" w:lineRule="exact"/>
        <w:ind w:left="720" w:hanging="720"/>
        <w:jc w:val="left"/>
      </w:pPr>
      <w:r>
        <w:rPr>
          <w:b/>
          <w:bCs/>
        </w:rPr>
        <w:t xml:space="preserve">IV.</w:t>
      </w:r>
      <w:r>
        <w:tab/>
      </w:r>
      <w:r>
        <w:rPr>
          <w:b/>
          <w:bCs/>
        </w:rPr>
        <w:t xml:space="preserve">AMOUNTS</w:t>
      </w:r>
      <w:r>
        <w:rPr>
          <w:b/>
          <w:bCs/>
        </w:rPr>
        <w:t xml:space="preserve"> </w:t>
      </w:r>
      <w:r>
        <w:rPr>
          <w:b/>
          <w:bCs/>
        </w:rPr>
        <w:t xml:space="preserve">IN</w:t>
      </w:r>
      <w:r>
        <w:rPr>
          <w:b/>
          <w:bCs/>
        </w:rPr>
        <w:t xml:space="preserve"> </w:t>
      </w:r>
      <w:r>
        <w:rPr>
          <w:b/>
          <w:bCs/>
        </w:rPr>
        <w:t xml:space="preserve">DISPUTE</w:t>
      </w:r>
    </w:p>
    <w:p>
      <w:pPr>
        <w:pStyle w:val="BodyText"/>
      </w:pPr>
      <w:r>
        <w:t xml:space="preserve">The specific amounts are set forth in the Notices, attached hereto as Exhibits A and B. The aggregate amount in dispute may be summarized as follows:</w:t>
      </w:r>
    </w:p>
    <w:p>
      <w:pPr>
        <w:pStyle w:val="BodyText"/>
      </w:pPr>
      <w:r>
        <w:t xml:space="preserve">Entity and tax type: Kailua Print Shop LLC, GE Tax; tax years 2015</w:t>
      </w:r>
      <w:r>
        <w:noBreakHyphen/>
      </w:r>
      <w:r>
        <w:t xml:space="preserve">2020; total amount $79,596.16</w:t>
      </w:r>
    </w:p>
    <w:p>
      <w:pPr>
        <w:pStyle w:val="BodyText"/>
      </w:pPr>
      <w:r>
        <w:t xml:space="preserve">Entity and tax type: Kailua Print Shop LLC, Withholding Tax; tax years 2015</w:t>
      </w:r>
      <w:r>
        <w:noBreakHyphen/>
      </w:r>
      <w:r>
        <w:t xml:space="preserve">2020; total amount $20,967.99</w:t>
      </w:r>
    </w:p>
    <w:p>
      <w:pPr>
        <w:pStyle w:val="BodyText"/>
      </w:pPr>
      <w:r>
        <w:t xml:space="preserve">TOTAL: $100,564.15</w:t>
      </w:r>
    </w:p>
    <w:p>
      <w:pPr>
        <w:pStyle w:val="BodyText"/>
      </w:pPr>
      <w:r>
        <w:t xml:space="preserve">All amounts are in dispute insofar as the personal and individual liability of Taxpayer-Appellant CATHERINE K. COBB, NOW KNOWN AS CATHERINE PARRY, is concerned.</w:t>
      </w:r>
    </w:p>
    <w:p>
      <w:pPr>
        <w:pStyle w:val="BodyText"/>
      </w:pPr>
      <w:r>
        <w:t xml:space="preserve">With respect to the liability of Kailua Print Shop L.L.C., Taxpayer-Appellant CATHERINE K. COBB, NOW KNOWN AS CATHERINE PARRY, reserves the right to challenge whether the amounts purportedly owed by Kailua Print Shop L.L.C. are correct.</w:t>
      </w:r>
    </w:p>
    <w:p>
      <w:pPr>
        <w:keepNext/>
        <w:keepLines/>
        <w:spacing w:before="240" w:after="192" w:line="276" w:lineRule="exact"/>
        <w:ind w:left="720" w:hanging="720"/>
        <w:jc w:val="left"/>
      </w:pPr>
      <w:r>
        <w:rPr>
          <w:b/>
          <w:bCs/>
        </w:rPr>
        <w:t xml:space="preserve">V.</w:t>
      </w:r>
      <w:r>
        <w:tab/>
      </w:r>
      <w:r>
        <w:rPr>
          <w:b/>
          <w:bCs/>
        </w:rPr>
        <w:t xml:space="preserve">REASONS</w:t>
      </w:r>
      <w:r>
        <w:rPr>
          <w:b/>
          <w:bCs/>
        </w:rPr>
        <w:t xml:space="preserve"> </w:t>
      </w:r>
      <w:r>
        <w:rPr>
          <w:b/>
          <w:bCs/>
        </w:rPr>
        <w:t xml:space="preserve">FOR</w:t>
      </w:r>
      <w:r>
        <w:rPr>
          <w:b/>
          <w:bCs/>
        </w:rPr>
        <w:t xml:space="preserve"> </w:t>
      </w:r>
      <w:r>
        <w:rPr>
          <w:b/>
          <w:bCs/>
        </w:rPr>
        <w:t xml:space="preserve">DISPUTE</w:t>
      </w:r>
    </w:p>
    <w:p>
      <w:pPr>
        <w:pStyle w:val="BodyText"/>
      </w:pPr>
      <w:r>
        <w:t xml:space="preserve">1. The Department has wrongly and unlawfully concluded that CATHERINE K. COBB, NOW KNOWN AS CATHERINE PARRY, personally and individually, is liable for GE Tax due from (or purportedly due from) Kailua Print Shop L.L.C.</w:t>
      </w:r>
    </w:p>
    <w:p>
      <w:pPr>
        <w:pStyle w:val="BodyText"/>
      </w:pPr>
      <w:r>
        <w:t xml:space="preserve">2. Upon information and belief, the Taxpayer-Appellant asserts that the Department made its assessment without any actual investigation of the facts or any determination that willful conduct by the Taxpayer-Appellant occurred.</w:t>
      </w:r>
    </w:p>
    <w:p>
      <w:pPr>
        <w:pStyle w:val="BodyText"/>
      </w:pPr>
      <w:r>
        <w:t xml:space="preserve">3. Taxpayer-Appellant did not have control over the payment or non-payment of taxes by Kailua Print Shop L.L.C.</w:t>
      </w:r>
    </w:p>
    <w:p>
      <w:pPr>
        <w:pStyle w:val="BodyText"/>
      </w:pPr>
      <w:r>
        <w:t xml:space="preserve">4. Taxpayer-Appellant did not willfully fail to pay any tax due from Kailua Print Shop L.L.C.</w:t>
      </w:r>
    </w:p>
    <w:p>
      <w:pPr>
        <w:pStyle w:val="BodyText"/>
      </w:pPr>
      <w:r>
        <w:t xml:space="preserve">5. In addition, Taxpayer-Appellant does not agree that Kailua Print Shop L.L.C. ever actually owed any of the Withholding Tax or GE Tax amounts in question.</w:t>
      </w:r>
    </w:p>
    <w:p>
      <w:pPr>
        <w:pStyle w:val="BodyText"/>
      </w:pPr>
      <w:r>
        <w:t xml:space="preserve">6. Over $11,788 of the amount purportedly due from Kailua Print Shop L.L.C. consists of penalties related to GE Tax, and over $3,158 of the amount purportedly due from Kailua Print Shop L.L.C. consists of penalties related to Withholding Tax. Taxpayer-Appellant does not admit or concede that the underlying tax assessments against Kailua Print Shop L.L.C. were correctly and properly increased by the application of penalties.</w:t>
      </w:r>
    </w:p>
    <w:p>
      <w:pPr>
        <w:pStyle w:val="BodyText"/>
      </w:pPr>
      <w:r>
        <w:t xml:space="preserve">7. Even if Kailua Print Shop L.L.C. owes those penalties – which is not conceded – there is no basis for assessing penalties against CATHERINE K. COBB, NOW KNOWN AS CATHERINE PARRY, personally.</w:t>
      </w:r>
    </w:p>
    <w:p>
      <w:pPr>
        <w:pStyle w:val="BodyText"/>
      </w:pPr>
      <w:r>
        <w:t xml:space="preserve">8. Taxpayer-Appellant reserves the right to assert other and further errors by the Department after obtaining further information, through discovery in this action or otherwise.</w:t>
      </w:r>
    </w:p>
    <w:p>
      <w:pPr>
        <w:keepNext/>
        <w:keepLines/>
        <w:spacing w:before="240" w:after="192" w:line="276" w:lineRule="exact"/>
        <w:ind w:left="720" w:hanging="720"/>
        <w:jc w:val="left"/>
      </w:pPr>
      <w:r>
        <w:rPr>
          <w:b/>
          <w:bCs/>
        </w:rPr>
        <w:t xml:space="preserve">VI.</w:t>
      </w:r>
      <w:r>
        <w:tab/>
      </w:r>
      <w:r>
        <w:rPr>
          <w:b/>
          <w:bCs/>
        </w:rPr>
        <w:t xml:space="preserve">RELIEF</w:t>
      </w:r>
      <w:r>
        <w:rPr>
          <w:b/>
          <w:bCs/>
        </w:rPr>
        <w:t xml:space="preserve"> </w:t>
      </w:r>
      <w:r>
        <w:rPr>
          <w:b/>
          <w:bCs/>
        </w:rPr>
        <w:t xml:space="preserve">SOUGHT</w:t>
      </w:r>
    </w:p>
    <w:p>
      <w:pPr>
        <w:pStyle w:val="BodyText"/>
      </w:pPr>
      <w:r>
        <w:t xml:space="preserve">Taxpayer-Appellant hereby requests that the Court enter Judgment in favor of Taxpayer-Appellant, finding, adjudging, and declaring:</w:t>
      </w:r>
    </w:p>
    <w:p>
      <w:pPr>
        <w:pStyle w:val="BodyText"/>
      </w:pPr>
      <w:r>
        <w:t xml:space="preserve">(1) That the Notices dated December 22, 2020 that are the subject of this case are erroneous, contrary to law, and null and void;</w:t>
      </w:r>
    </w:p>
    <w:p>
      <w:pPr>
        <w:pStyle w:val="BodyText"/>
      </w:pPr>
      <w:r>
        <w:t xml:space="preserve">(2) That Taxpayer-Appellant, individually, does not owe any tax related to Kailua Print Shop L.L.C. under HRS Section 235</w:t>
      </w:r>
      <w:r>
        <w:noBreakHyphen/>
      </w:r>
      <w:r>
        <w:t xml:space="preserve">64, HRS Section 237</w:t>
      </w:r>
      <w:r>
        <w:noBreakHyphen/>
      </w:r>
      <w:r>
        <w:t xml:space="preserve">41.5, or otherwise, for any tax period;</w:t>
      </w:r>
    </w:p>
    <w:p>
      <w:pPr>
        <w:pStyle w:val="BodyText"/>
      </w:pPr>
      <w:r>
        <w:t xml:space="preserve">Taxpayer-Appellant further requests that the Court award Taxpayer-Appellant her attorneys’ fees and costs, together with such other and further relief as the Court may deem appropriate.</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0" w:after="0" w:line="276" w:lineRule="exact"/>
              <w:ind w:left="0" w:firstLine="0"/>
              <w:jc w:val="left"/>
            </w:pPr>
            <w:r>
              <w:t xml:space="preserve">DATED:</w:t>
            </w:r>
            <w:r>
              <w:t xml:space="preserve"> </w:t>
            </w:r>
            <w:r>
              <w:t xml:space="preserve">Honolulu,</w:t>
            </w:r>
            <w:r>
              <w:t xml:space="preserve"> </w:t>
            </w:r>
            <w:r>
              <w:t xml:space="preserve">Hawaii,</w:t>
            </w:r>
            <w:r>
              <w:t xml:space="preserve"> </w:t>
            </w:r>
            <w:r>
              <w:t xml:space="preserve">January</w:t>
            </w:r>
            <w:r>
              <w:t xml:space="preserve"> </w:t>
            </w:r>
            <w:r>
              <w:t xml:space="preserve">5,</w:t>
            </w:r>
            <w:r>
              <w:t xml:space="preserve"> </w:t>
            </w:r>
            <w:r>
              <w:t xml:space="preserve">2021</w:t>
            </w:r>
          </w:p>
        </w:tc>
        <w:tc>
          <w:tcPr>
            <w:tcW w:w="4608" w:type="dxa"/>
          </w:tcPr>
          <w:p>
            <w:pPr>
              <w:spacing w:before="0" w:after="0" w:line="276" w:lineRule="exact"/>
              <w:ind w:left="0" w:firstLine="0"/>
              <w:jc w:val="left"/>
            </w:pPr>
            <w:r>
              <w:t xml:space="preserve">TORKILDSON</w:t>
            </w:r>
            <w:r>
              <w:t xml:space="preserve"> </w:t>
            </w:r>
            <w:r>
              <w:t xml:space="preserve">KATZ</w:t>
            </w:r>
            <w:r>
              <w:t xml:space="preserve"> </w:t>
            </w:r>
            <w:r>
              <w:t xml:space="preserve">HETHERINGTON</w:t>
            </w:r>
            <w:r>
              <w:t xml:space="preserve"> </w:t>
            </w:r>
            <w:r>
              <w:t xml:space="preserve">HARRIS</w:t>
            </w:r>
            <w:r>
              <w:t xml:space="preserve"> </w:t>
            </w:r>
            <w:r>
              <w:t xml:space="preserve">&amp;</w:t>
            </w:r>
            <w:r>
              <w:t xml:space="preserve"> </w:t>
            </w:r>
            <w:r>
              <w:t xml:space="preserve">KNOREK</w:t>
            </w:r>
          </w:p>
          <w:p>
            <w:pPr>
              <w:pBdr>
                <w:top w:val="single" w:sz="4" w:space="0" w:color="000000"/>
              </w:pBdr>
              <w:spacing w:before="432" w:after="0" w:line="1" w:lineRule="exact"/>
            </w:pPr>
          </w:p>
          <w:p>
            <w:pPr>
              <w:spacing w:before="0" w:after="0" w:line="276" w:lineRule="exact"/>
              <w:ind w:left="0" w:firstLine="0"/>
              <w:jc w:val="left"/>
            </w:pPr>
            <w:r>
              <w:t xml:space="preserve">RONALD</w:t>
            </w:r>
            <w:r>
              <w:t xml:space="preserve"> </w:t>
            </w:r>
            <w:r>
              <w:t xml:space="preserve">I.</w:t>
            </w:r>
            <w:r>
              <w:t xml:space="preserve"> </w:t>
            </w:r>
            <w:r>
              <w:t xml:space="preserve">HELLER</w:t>
            </w:r>
          </w:p>
          <w:p>
            <w:pPr>
              <w:spacing w:before="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Taxpayer-Appellant</w:t>
            </w:r>
          </w:p>
        </w:tc>
      </w:tr>
    </w:tbl>
    <w:sectPr>
      <w:footerReference w:type="default" r:id="rIdFooter1"/>
      <w:pgSz w:w="12240" w:h="15840"/>
      <w:pgMar w:top="1440" w:right="1440" w:bottom="1440" w:left="1440" w:header="720" w:footer="7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16" w:after="216" w:line="276" w:lineRule="exact"/>
      <w:ind w:left="720" w:right="720" w:firstLine="0"/>
    </w:pPr>
  </w:style>
  <w:style w:type="paragraph" w:customStyle="1" w:styleId="XdQuoteFirst">
    <w:name w:val="Xd Quote First"/>
    <w:basedOn w:val="Normal"/>
    <w:qFormat/>
    <w:pPr>
      <w:spacing w:before="240" w:after="216" w:line="276" w:lineRule="exact"/>
      <w:ind w:left="720" w:right="720" w:firstLine="0"/>
    </w:pPr>
  </w:style>
  <w:style w:type="paragraph" w:customStyle="1" w:styleId="XdQuoteLast">
    <w:name w:val="Xd Quote Last"/>
    <w:basedOn w:val="Normal"/>
    <w:qFormat/>
    <w:pPr>
      <w:spacing w:before="216"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