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IN THE UNITED STATES DISTRICT COURT</w:t>
      </w:r>
    </w:p>
    <w:p>
      <w:pPr>
        <w:spacing w:before="0" w:after="0" w:line="280" w:lineRule="exact"/>
        <w:ind w:left="0" w:firstLine="0"/>
        <w:jc w:val="center"/>
      </w:pPr>
      <w:r>
        <w:rPr>
          <w:b/>
          <w:bCs/>
        </w:rPr>
        <w:t xml:space="preserve">FOR THE SOUTHERN DISTRICT OF IOWA</w:t>
      </w:r>
    </w:p>
    <w:p>
      <w:pPr>
        <w:spacing w:before="0" w:after="480" w:line="280" w:lineRule="exact"/>
        <w:ind w:left="0" w:firstLine="0"/>
        <w:jc w:val="center"/>
      </w:pPr>
      <w:r>
        <w:rPr>
          <w:b/>
          <w:bCs/>
        </w:rPr>
        <w:t xml:space="preserve">CENTRAL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288"/>
        <w:gridCol w:w="4392"/>
      </w:tblGrid>
      <w:tr>
        <w:tc>
          <w:tcPr>
            <w:tcW w:w="4680" w:type="dxa"/>
            <w:tcBorders>
              <w:bottom w:val="single" w:sz="6" w:space="0" w:color="000000"/>
              <w:right w:val="single" w:sz="6" w:space="0" w:color="000000"/>
            </w:tcBorders>
            <w:tcMar>
              <w:right w:w="200" w:type="dxa"/>
              <w:bottom w:w="200" w:type="dxa"/>
            </w:tcMar>
          </w:tcPr>
          <w:p>
            <w:pPr>
              <w:spacing w:before="0" w:after="0" w:line="280" w:lineRule="exact"/>
              <w:ind w:left="0" w:firstLine="0"/>
            </w:pPr>
            <w:r>
              <w:t xml:space="preserve">EYAL HANFLING, individually and on behalf of all others similarly situated,</w:t>
            </w:r>
          </w:p>
          <w:p>
            <w:pPr>
              <w:spacing w:before="0" w:after="0" w:line="280" w:lineRule="exact"/>
              <w:ind w:left="0" w:firstLine="0"/>
            </w:pPr>
            <w:r>
              <w:t xml:space="preserve">Plaintiff,</w:t>
            </w:r>
          </w:p>
          <w:p>
            <w:pPr>
              <w:spacing w:before="0" w:after="0" w:line="280" w:lineRule="exact"/>
              <w:ind w:left="0" w:firstLine="0"/>
            </w:pPr>
            <w:r>
              <w:t xml:space="preserve">v.</w:t>
            </w:r>
          </w:p>
          <w:p>
            <w:pPr>
              <w:spacing w:before="0" w:after="0" w:line="280" w:lineRule="exact"/>
              <w:ind w:left="0" w:firstLine="0"/>
            </w:pPr>
            <w:r>
              <w:t xml:space="preserve">GRINNELL COLLEGE,</w:t>
            </w:r>
          </w:p>
          <w:p>
            <w:pPr>
              <w:spacing w:before="0" w:after="0" w:line="280" w:lineRule="exact"/>
              <w:ind w:left="0" w:firstLine="0"/>
            </w:pPr>
            <w:r>
              <w:t xml:space="preserve">Defendant.</w:t>
            </w:r>
          </w:p>
        </w:tc>
        <w:tc>
          <w:tcPr>
            <w:tcW w:w="288" w:type="dxa"/>
          </w:tcPr>
          <w:p>
            <w:pPr>
              <w:spacing w:before="0" w:after="0" w:line="280" w:lineRule="exact"/>
              <w:ind w:left="0" w:firstLine="0"/>
            </w:pPr>
          </w:p>
        </w:tc>
        <w:tc>
          <w:tcPr>
            <w:tcW w:w="4392" w:type="dxa"/>
            <w:tcMar>
              <w:left w:w="144" w:type="dxa"/>
            </w:tcMar>
          </w:tcPr>
          <w:p>
            <w:pPr>
              <w:spacing w:before="0" w:after="240" w:line="280" w:lineRule="exact"/>
              <w:ind w:left="0" w:firstLine="0"/>
            </w:pPr>
            <w:r>
              <w:t xml:space="preserve">Case No. 4:26-cv-00213-RGE-HCA</w:t>
            </w:r>
          </w:p>
          <w:p>
            <w:pPr>
              <w:spacing w:before="0" w:after="240" w:line="280" w:lineRule="exact"/>
              <w:ind w:left="0" w:firstLine="0"/>
            </w:pPr>
            <w:r>
              <w:rPr>
                <w:b/>
                <w:bCs/>
              </w:rPr>
              <w:t xml:space="preserve">BRIEF IN SUPPORT OF MOTION TO DISMISS</w:t>
            </w:r>
          </w:p>
          <w:p>
            <w:pPr>
              <w:spacing w:before="0" w:after="0" w:line="280" w:lineRule="exact"/>
              <w:ind w:left="0" w:firstLine="0"/>
            </w:pPr>
            <w:r>
              <w:rPr>
                <w:b/>
                <w:bCs/>
              </w:rPr>
              <w:t xml:space="preserve">ORAL ARGUMENT REQUESTED</w:t>
            </w:r>
          </w:p>
        </w:tc>
      </w:tr>
    </w:tbl>
    <w:p>
      <w:r>
        <w:br w:type="page"/>
      </w:r>
    </w:p>
    <w:p>
      <w:pPr>
        <w:keepNext/>
        <w:spacing w:before="0" w:after="0" w:line="480" w:lineRule="exact"/>
        <w:ind w:left="0" w:firstLine="0"/>
        <w:jc w:val="center"/>
      </w:pPr>
      <w:r>
        <w:rPr>
          <w:b/>
          <w:bCs/>
        </w:rPr>
        <w:t xml:space="preserve">TABLE OF CONTENTS</w:t>
      </w:r>
    </w:p>
    <w:p>
      <w:pPr>
        <w:keepNext/>
        <w:spacing w:before="0" w:after="240" w:line="280" w:lineRule="exact"/>
        <w:ind w:left="0" w:firstLine="0"/>
        <w:jc w:val="right"/>
      </w:pPr>
      <w:r>
        <w:rPr>
          <w:b/>
          <w:bCs/>
        </w:rPr>
        <w:t xml:space="preserve">Page</w:t>
      </w:r>
    </w:p>
    <w:p>
      <w:pPr>
        <w:tabs>
          <w:tab w:val="right" w:leader="dot" w:pos="9360"/>
        </w:tabs>
        <w:spacing w:before="0" w:after="120" w:line="480" w:lineRule="exact"/>
        <w:ind w:left="0" w:firstLine="0"/>
      </w:pPr>
      <w:r>
        <w:t xml:space="preserve">INTRODUCTION</w:t>
      </w:r>
      <w:r>
        <w:tab/>
      </w:r>
    </w:p>
    <w:p>
      <w:pPr>
        <w:tabs>
          <w:tab w:val="right" w:leader="dot" w:pos="9360"/>
        </w:tabs>
        <w:spacing w:before="0" w:after="120" w:line="480" w:lineRule="exact"/>
        <w:ind w:left="0" w:firstLine="0"/>
      </w:pPr>
      <w:r>
        <w:t xml:space="preserve">FACTUAL BACKGROUND</w:t>
      </w:r>
      <w:r>
        <w:tab/>
      </w:r>
    </w:p>
    <w:p>
      <w:pPr>
        <w:tabs>
          <w:tab w:val="right" w:leader="dot" w:pos="9360"/>
        </w:tabs>
        <w:spacing w:before="0" w:after="120" w:line="480" w:lineRule="exact"/>
        <w:ind w:left="0" w:firstLine="0"/>
      </w:pPr>
      <w:r>
        <w:t xml:space="preserve">ARGUMENT</w:t>
      </w:r>
      <w:r>
        <w:tab/>
      </w:r>
    </w:p>
    <w:p>
      <w:pPr>
        <w:tabs>
          <w:tab w:val="right" w:leader="dot" w:pos="9360"/>
        </w:tabs>
        <w:spacing w:before="0" w:after="120" w:line="280" w:lineRule="exact"/>
        <w:ind w:left="720" w:hanging="720"/>
      </w:pPr>
      <w:r>
        <w:t xml:space="preserve">I.</w:t>
      </w:r>
      <w:r>
        <w:tab/>
      </w:r>
      <w:r>
        <w:t xml:space="preserve">Plaintiff does not possess Article III standing.</w:t>
      </w:r>
      <w:r>
        <w:tab/>
      </w:r>
    </w:p>
    <w:p>
      <w:pPr>
        <w:tabs>
          <w:tab w:val="right" w:leader="dot" w:pos="9360"/>
        </w:tabs>
        <w:spacing w:before="0" w:after="120" w:line="480" w:lineRule="exact"/>
        <w:ind w:left="0" w:firstLine="0"/>
      </w:pPr>
      <w:r>
        <w:t xml:space="preserve">CONCLUSION</w:t>
      </w:r>
      <w:r>
        <w:tab/>
      </w:r>
    </w:p>
    <w:p>
      <w:r>
        <w:br w:type="page"/>
      </w:r>
    </w:p>
    <w:p>
      <w:pPr>
        <w:keepNext/>
        <w:spacing w:before="0" w:after="0" w:line="480" w:lineRule="exact"/>
        <w:ind w:left="0" w:firstLine="0"/>
        <w:jc w:val="center"/>
      </w:pPr>
      <w:r>
        <w:rPr>
          <w:b/>
          <w:bCs/>
        </w:rPr>
        <w:t xml:space="preserve">TABLE OF AUTHORITIES</w:t>
      </w:r>
    </w:p>
    <w:p>
      <w:pPr>
        <w:keepNext/>
        <w:spacing w:before="0" w:after="240" w:line="280" w:lineRule="exact"/>
        <w:ind w:left="0" w:firstLine="0"/>
        <w:jc w:val="right"/>
      </w:pPr>
      <w:r>
        <w:rPr>
          <w:b/>
          <w:bCs/>
        </w:rPr>
        <w:t xml:space="preserve">Page(s)</w:t>
      </w:r>
    </w:p>
    <w:p>
      <w:pPr>
        <w:keepNext/>
        <w:spacing w:before="0" w:after="120" w:line="280" w:lineRule="exact"/>
        <w:ind w:left="0" w:firstLine="0"/>
      </w:pPr>
      <w:r>
        <w:rPr>
          <w:b/>
          <w:bCs/>
        </w:rPr>
        <w:t xml:space="preserve">Cases</w:t>
      </w:r>
    </w:p>
    <w:p>
      <w:pPr>
        <w:tabs>
          <w:tab w:val="right" w:leader="dot" w:pos="9360"/>
        </w:tabs>
        <w:spacing w:before="0" w:after="120" w:line="280" w:lineRule="exact"/>
        <w:ind w:left="504" w:hanging="504"/>
      </w:pPr>
      <w:r>
        <w:rPr>
          <w:i/>
          <w:iCs/>
        </w:rPr>
        <w:t xml:space="preserve">Adams v. PSP Grp., LLC</w:t>
      </w:r>
      <w:r>
        <w:t xml:space="preserve">, </w:t>
      </w:r>
      <w:r>
        <w:t xml:space="preserve">691 F. Supp. 3d 1031 (E.D. Mo. 2023)</w:t>
      </w:r>
      <w:r>
        <w:tab/>
      </w:r>
    </w:p>
    <w:p>
      <w:pPr>
        <w:tabs>
          <w:tab w:val="right" w:leader="dot" w:pos="9360"/>
        </w:tabs>
        <w:spacing w:before="0" w:after="120" w:line="280" w:lineRule="exact"/>
        <w:ind w:left="504" w:hanging="504"/>
      </w:pPr>
      <w:r>
        <w:rPr>
          <w:i/>
          <w:iCs/>
        </w:rPr>
        <w:t xml:space="preserve">Arndt v. Gov’t Emps. Ins. Co.</w:t>
      </w:r>
      <w:r>
        <w:t xml:space="preserve">, </w:t>
      </w:r>
      <w:r>
        <w:t xml:space="preserve">750 F. Supp. 3d 518 (D. Md. 2024)</w:t>
      </w:r>
      <w:r>
        <w:tab/>
      </w:r>
    </w:p>
    <w:p>
      <w:pPr>
        <w:tabs>
          <w:tab w:val="right" w:leader="dot" w:pos="9360"/>
        </w:tabs>
        <w:spacing w:before="0" w:after="120" w:line="280" w:lineRule="exact"/>
        <w:ind w:left="504" w:hanging="504"/>
      </w:pPr>
      <w:r>
        <w:rPr>
          <w:i/>
          <w:iCs/>
        </w:rPr>
        <w:t xml:space="preserve">Butler v. U.S. Bancorp</w:t>
      </w:r>
      <w:r>
        <w:t xml:space="preserve">, </w:t>
      </w:r>
      <w:r>
        <w:t xml:space="preserve">No. 24-CV-03700 (JMB/SGE), 2026 WL 883904 (D. Minn. Mar. 31, 2026)</w:t>
      </w:r>
      <w:r>
        <w:tab/>
      </w:r>
    </w:p>
    <w:p>
      <w:pPr>
        <w:tabs>
          <w:tab w:val="right" w:leader="dot" w:pos="9360"/>
        </w:tabs>
        <w:spacing w:before="0" w:after="120" w:line="280" w:lineRule="exact"/>
        <w:ind w:left="504" w:hanging="504"/>
      </w:pPr>
      <w:r>
        <w:rPr>
          <w:i/>
          <w:iCs/>
        </w:rPr>
        <w:t xml:space="preserve">In re SuperValu, Inc.</w:t>
      </w:r>
      <w:r>
        <w:t xml:space="preserve">, </w:t>
      </w:r>
      <w:r>
        <w:t xml:space="preserve">870 F.3d 763 (8th Cir. 2017)</w:t>
      </w:r>
      <w:r>
        <w:tab/>
      </w:r>
    </w:p>
    <w:p>
      <w:pPr>
        <w:tabs>
          <w:tab w:val="right" w:leader="dot" w:pos="9360"/>
        </w:tabs>
        <w:spacing w:before="0" w:after="120" w:line="280" w:lineRule="exact"/>
        <w:ind w:left="504" w:hanging="504"/>
      </w:pPr>
      <w:r>
        <w:rPr>
          <w:i/>
          <w:iCs/>
        </w:rPr>
        <w:t xml:space="preserve">Jones v. Bloomingdales.com, LLC</w:t>
      </w:r>
      <w:r>
        <w:t xml:space="preserve">, </w:t>
      </w:r>
      <w:r>
        <w:t xml:space="preserve">124 F.4th 535 (8th Cir. 2024)</w:t>
      </w:r>
      <w:r>
        <w:tab/>
      </w:r>
    </w:p>
    <w:p>
      <w:pPr>
        <w:tabs>
          <w:tab w:val="right" w:leader="dot" w:pos="9360"/>
        </w:tabs>
        <w:spacing w:before="0" w:after="120" w:line="280" w:lineRule="exact"/>
        <w:ind w:left="504" w:hanging="504"/>
      </w:pPr>
      <w:r>
        <w:rPr>
          <w:i/>
          <w:iCs/>
        </w:rPr>
        <w:t xml:space="preserve">Koeppel v. Spiers</w:t>
      </w:r>
      <w:r>
        <w:t xml:space="preserve">, </w:t>
      </w:r>
      <w:r>
        <w:t xml:space="preserve">808 N.W.2d 177 (Iowa 2011)</w:t>
      </w:r>
      <w:r>
        <w:tab/>
      </w:r>
    </w:p>
    <w:p>
      <w:pPr>
        <w:tabs>
          <w:tab w:val="right" w:leader="dot" w:pos="9360"/>
        </w:tabs>
        <w:spacing w:before="0" w:after="120" w:line="280" w:lineRule="exact"/>
        <w:ind w:left="504" w:hanging="504"/>
      </w:pPr>
      <w:r>
        <w:rPr>
          <w:i/>
          <w:iCs/>
        </w:rPr>
        <w:t xml:space="preserve">Leveke v. Hearst Props., Inc.</w:t>
      </w:r>
      <w:r>
        <w:t xml:space="preserve">, </w:t>
      </w:r>
      <w:r>
        <w:t xml:space="preserve">764 F. Supp. 3d 817 (S.D. Iowa 2025)</w:t>
      </w:r>
      <w:r>
        <w:tab/>
      </w:r>
    </w:p>
    <w:p>
      <w:pPr>
        <w:tabs>
          <w:tab w:val="right" w:leader="dot" w:pos="9360"/>
        </w:tabs>
        <w:spacing w:before="0" w:after="120" w:line="280" w:lineRule="exact"/>
        <w:ind w:left="504" w:hanging="504"/>
      </w:pPr>
      <w:r>
        <w:rPr>
          <w:i/>
          <w:iCs/>
        </w:rPr>
        <w:t xml:space="preserve">Spokeo, Inc. v. Robins</w:t>
      </w:r>
      <w:r>
        <w:t xml:space="preserve">, </w:t>
      </w:r>
      <w:r>
        <w:t xml:space="preserve">578 U.S. 330 (2016)</w:t>
      </w:r>
      <w:r>
        <w:tab/>
      </w:r>
    </w:p>
    <w:p>
      <w:pPr>
        <w:tabs>
          <w:tab w:val="right" w:leader="dot" w:pos="9360"/>
        </w:tabs>
        <w:spacing w:before="0" w:after="120" w:line="280" w:lineRule="exact"/>
        <w:ind w:left="504" w:hanging="504"/>
      </w:pPr>
      <w:r>
        <w:rPr>
          <w:i/>
          <w:iCs/>
        </w:rPr>
        <w:t xml:space="preserve">TransUnion LLC v. Ramirez</w:t>
      </w:r>
      <w:r>
        <w:t xml:space="preserve">, </w:t>
      </w:r>
      <w:r>
        <w:t xml:space="preserve">594 U.S. 413 (2021)</w:t>
      </w:r>
      <w:r>
        <w:tab/>
      </w:r>
    </w:p>
    <w:p>
      <w:pPr>
        <w:tabs>
          <w:tab w:val="right" w:leader="dot" w:pos="9360"/>
        </w:tabs>
        <w:spacing w:before="0" w:after="120" w:line="280" w:lineRule="exact"/>
        <w:ind w:left="504" w:hanging="504"/>
      </w:pPr>
      <w:r>
        <w:rPr>
          <w:i/>
          <w:iCs/>
        </w:rPr>
        <w:t xml:space="preserve">Whitby v. Cerner Corp.</w:t>
      </w:r>
      <w:r>
        <w:t xml:space="preserve">, </w:t>
      </w:r>
      <w:r>
        <w:t xml:space="preserve">No. 25-04087-CV-C-BP, 2026 WL 1520742 (W.D. Mo. Apr. 13, 2026)</w:t>
      </w:r>
      <w:r>
        <w:tab/>
      </w:r>
    </w:p>
    <w:p>
      <w:pPr>
        <w:tabs>
          <w:tab w:val="right" w:leader="dot" w:pos="9360"/>
        </w:tabs>
        <w:spacing w:before="0" w:after="120" w:line="280" w:lineRule="exact"/>
        <w:ind w:left="504" w:hanging="504"/>
      </w:pPr>
      <w:r>
        <w:rPr>
          <w:i/>
          <w:iCs/>
        </w:rPr>
        <w:t xml:space="preserve">Zean v. Fairview Health Servs.</w:t>
      </w:r>
      <w:r>
        <w:t xml:space="preserve">, </w:t>
      </w:r>
      <w:r>
        <w:t xml:space="preserve">858 F.3d 520 (8th Cir. 2017)</w:t>
      </w:r>
      <w:r>
        <w:tab/>
      </w:r>
    </w:p>
    <w:p>
      <w:pPr>
        <w:sectPr>
          <w:footerReference w:type="default" r:id="rId9"/>
          <w:pgSz w:w="12240" w:h="15840"/>
          <w:pgMar w:top="1440" w:right="1440" w:bottom="1440" w:left="1440" w:header="720" w:footer="720" w:gutter="0"/>
          <w:pgNumType w:fmt="lowerRoman" w:start="1"/>
        </w:sectPr>
      </w:pPr>
    </w:p>
    <w:bookmarkStart w:id="20" w:name="introduction"/>
    <w:p>
      <w:pPr>
        <w:pStyle w:val="Heading1"/>
      </w:pPr>
      <w:r>
        <w:t xml:space="preserve">Introduction</w:t>
      </w:r>
    </w:p>
    <w:p>
      <w:pPr>
        <w:pStyle w:val="FirstParagraph"/>
      </w:pPr>
      <w:r>
        <w:t xml:space="preserve">Plaintiff’s claims are foreclosed in their entirety by controlling authority. The Eighth Circuit has held that plaintiffs raising Wiretap Act and other tort claims relating to ordinary web browsing activity, as alleged here, have not suffered an injury-in-fact and cannot establish standing. See</w:t>
      </w:r>
      <w:r>
        <w:t xml:space="preserve"> </w:t>
      </w:r>
      <w:r>
        <w:rPr>
          <w:i/>
          <w:iCs/>
        </w:rPr>
        <w:t xml:space="preserve">Jones v. Bloomingdales.com, LLC</w:t>
      </w:r>
      <w:r>
        <w:t xml:space="preserve">, 124 F.4th 535, 538–39 (8th Cir. 2024). Nor does Plaintiff state a valid claim for relief. A well-developed body of Wiretap Act caselaw makes clear that website operators such as Grinnell may collect and/or share web-browsing information provided by a website visitor in the course of the communication constituting the web-browsing experience. Such allegations also fail to state a claim under New York statutory law or under the common law.</w:t>
      </w:r>
    </w:p>
    <w:bookmarkEnd w:id="20"/>
    <w:bookmarkStart w:id="24" w:name="factual-background"/>
    <w:p>
      <w:pPr>
        <w:pStyle w:val="Heading1"/>
      </w:pPr>
      <w:r>
        <w:t xml:space="preserve">Factual Background</w:t>
      </w:r>
    </w:p>
    <w:p>
      <w:pPr>
        <w:pStyle w:val="FirstParagraph"/>
      </w:pPr>
      <w:r>
        <w:t xml:space="preserve">Grinnell is a private, liberal arts college located in Grinnell, Iowa. (Compl. ¶ 2, ECF No. 1.) Grinnell operates a website, http://www.grinnell.edu/, where it provides information to the public about its educational mission and offerings. (Compl. ¶ 3.)</w:t>
      </w:r>
      <w:r>
        <w:rPr>
          <w:rStyle w:val="FootnoteReference"/>
        </w:rPr>
        <w:footnoteReference w:id="21"/>
      </w:r>
    </w:p>
    <w:p>
      <w:pPr>
        <w:pStyle w:val="BodyText"/>
      </w:pPr>
      <w:r>
        <w:t xml:space="preserve">The display of a website upon a user’s browser is the product of an exchange of information between the user’s computer and the website’s server. (</w:t>
      </w:r>
      <w:r>
        <w:rPr>
          <w:i/>
          <w:iCs/>
        </w:rPr>
        <w:t xml:space="preserve">See</w:t>
      </w:r>
      <w:r>
        <w:t xml:space="preserve"> </w:t>
      </w:r>
      <w:r>
        <w:t xml:space="preserve">Compl. ¶ 21–36.) Visitors to Grinnell’s website communicate directly with Grinnell regarding their browsing activity. (Compl. ¶ 39.) On the Internet, the</w:t>
      </w:r>
      <w:r>
        <w:t xml:space="preserve"> </w:t>
      </w:r>
      <w:r>
        <w:t xml:space="preserve">“constant back-and-forth stream of requests and responses between a user[] . . . and a website . . . provide a perfect snapshot of everything a user does (or not do) on a website, when and how they do it, and with what software and hardware.”</w:t>
      </w:r>
      <w:r>
        <w:t xml:space="preserve"> </w:t>
      </w:r>
      <w:r>
        <w:t xml:space="preserve">(Compl. ¶ 37.)</w:t>
      </w:r>
    </w:p>
    <w:p>
      <w:pPr>
        <w:pStyle w:val="BodyText"/>
      </w:pPr>
      <w:r>
        <w:t xml:space="preserve">Grinnell’s website makes certain representations to users regarding the data generated from a user’s visit to Grinnell’s website. When a user visits Grinnell’s website, the website displays a banner at the bottom of the screen, referred to by Plaintiff as the</w:t>
      </w:r>
      <w:r>
        <w:t xml:space="preserve"> </w:t>
      </w:r>
      <w:r>
        <w:t xml:space="preserve">“Cookie Banner,”</w:t>
      </w:r>
      <w:r>
        <w:t xml:space="preserve"> </w:t>
      </w:r>
      <w:r>
        <w:t xml:space="preserve">that reads:</w:t>
      </w:r>
    </w:p>
    <w:p>
      <w:pPr>
        <w:pStyle w:val="BlockText"/>
      </w:pPr>
      <w:r>
        <w:t xml:space="preserve">We use cookies to enable essential services and functionality on our site, enhance your user experience, and provide better service through personalized content, collect data on how visitors interact with our side, and enable advertising services. To accept the user of cookies and continue on to the site, click</w:t>
      </w:r>
      <w:r>
        <w:t xml:space="preserve"> </w:t>
      </w:r>
      <w:r>
        <w:t xml:space="preserve">“I Agree.”</w:t>
      </w:r>
      <w:r>
        <w:t xml:space="preserve"> </w:t>
      </w:r>
      <w:r>
        <w:t xml:space="preserve">For more information about our use of cookies and how to opt out, please refer to our website privacy policy.</w:t>
      </w:r>
    </w:p>
    <w:p>
      <w:pPr>
        <w:pStyle w:val="FirstParagraph"/>
      </w:pPr>
      <w:r>
        <w:t xml:space="preserve">(</w:t>
      </w:r>
      <w:r>
        <w:rPr>
          <w:i/>
          <w:iCs/>
        </w:rPr>
        <w:t xml:space="preserve">E.g.</w:t>
      </w:r>
      <w:r>
        <w:t xml:space="preserve">, Compl. ¶ 4.) The</w:t>
      </w:r>
      <w:r>
        <w:t xml:space="preserve"> </w:t>
      </w:r>
      <w:r>
        <w:t xml:space="preserve">“Cookie Banner”</w:t>
      </w:r>
      <w:r>
        <w:t xml:space="preserve"> </w:t>
      </w:r>
      <w:r>
        <w:t xml:space="preserve">then presents two buttons, one labeled</w:t>
      </w:r>
      <w:r>
        <w:t xml:space="preserve"> </w:t>
      </w:r>
      <w:r>
        <w:t xml:space="preserve">“I Agree”</w:t>
      </w:r>
      <w:r>
        <w:t xml:space="preserve"> </w:t>
      </w:r>
      <w:r>
        <w:t xml:space="preserve">and the other labeled</w:t>
      </w:r>
      <w:r>
        <w:t xml:space="preserve"> </w:t>
      </w:r>
      <w:r>
        <w:t xml:space="preserve">“Privacy Policy.”</w:t>
      </w:r>
      <w:r>
        <w:t xml:space="preserve"> </w:t>
      </w:r>
      <w:r>
        <w:t xml:space="preserve">(</w:t>
      </w:r>
      <w:r>
        <w:rPr>
          <w:i/>
          <w:iCs/>
        </w:rPr>
        <w:t xml:space="preserve">E.g.</w:t>
      </w:r>
      <w:r>
        <w:t xml:space="preserve">, Compl. ¶ 4.) Selection of the</w:t>
      </w:r>
      <w:r>
        <w:t xml:space="preserve"> </w:t>
      </w:r>
      <w:r>
        <w:t xml:space="preserve">“I Agree”</w:t>
      </w:r>
      <w:r>
        <w:t xml:space="preserve"> </w:t>
      </w:r>
      <w:r>
        <w:t xml:space="preserve">button disables the Cookie Banner. (Compl. ¶ 49.) Selection of the</w:t>
      </w:r>
      <w:r>
        <w:t xml:space="preserve"> </w:t>
      </w:r>
      <w:r>
        <w:t xml:space="preserve">“Privacy Policy”</w:t>
      </w:r>
      <w:r>
        <w:t xml:space="preserve"> </w:t>
      </w:r>
      <w:r>
        <w:t xml:space="preserve">button takes the user to a separate webpage, available at https://www.grinnell.edu/policies/privacy, displaying a Privacy Statement. The Cookie Banner does not force a user to select either of these two buttons. Users may disregard the Cookie Banner and continue to browse Grinnell’s website. (</w:t>
      </w:r>
      <w:r>
        <w:rPr>
          <w:i/>
          <w:iCs/>
        </w:rPr>
        <w:t xml:space="preserve">See</w:t>
      </w:r>
      <w:r>
        <w:t xml:space="preserve"> </w:t>
      </w:r>
      <w:r>
        <w:t xml:space="preserve">Compl. ¶ 12.)</w:t>
      </w:r>
    </w:p>
    <w:p>
      <w:pPr>
        <w:pStyle w:val="BodyText"/>
      </w:pPr>
      <w:r>
        <w:t xml:space="preserve">The Privacy Statement contains Grinnell College’s Privacy Policy (the</w:t>
      </w:r>
      <w:r>
        <w:t xml:space="preserve"> </w:t>
      </w:r>
      <w:r>
        <w:t xml:space="preserve">“Privacy Policy”</w:t>
      </w:r>
      <w:r>
        <w:t xml:space="preserve">). A true and accurate copy of the Privacy Policy, which was last revised on March 25, 2021, is contained within Exhibit A.</w:t>
      </w:r>
      <w:r>
        <w:rPr>
          <w:rStyle w:val="FootnoteReference"/>
        </w:rPr>
        <w:footnoteReference w:id="22"/>
      </w:r>
      <w:r>
        <w:t xml:space="preserve"> </w:t>
      </w:r>
      <w:r>
        <w:t xml:space="preserve">The Privacy Policy states, in relevant part, as follows:</w:t>
      </w:r>
      <w:r>
        <w:rPr>
          <w:rStyle w:val="FootnoteReference"/>
        </w:rPr>
        <w:footnoteReference w:id="23"/>
      </w:r>
    </w:p>
    <w:p>
      <w:pPr>
        <w:pStyle w:val="BlockText"/>
      </w:pPr>
      <w:r>
        <w:t xml:space="preserve">If you view our website, apply to Grinnell as a student, employee, or faculty member, enroll at Grinnell, make a donation, complete any online or hardcopy forms, or utilize any of the third-party systems or services that we use, you should be aware that we will collect certain personally identifiable data from you (</w:t>
      </w:r>
      <w:r>
        <w:t xml:space="preserve">“Personal Data”</w:t>
      </w:r>
      <w:r>
        <w:t xml:space="preserve">). Grinnell respects your privacy and is committed to protecting your Personal Data and keeping it secure. This statement explains how and why we collect Personal Data from or about you, how we use it, when and why we share it with others, how we secure it, and what rights and choices you have in relation to your Personal Data.</w:t>
      </w:r>
    </w:p>
    <w:p>
      <w:pPr>
        <w:pStyle w:val="BlockText"/>
      </w:pPr>
      <w:r>
        <w:t xml:space="preserve">Cookies: Unless you take steps to browse the internet anonymously, or opt out, Grinnell College, similar to most institutions and organizations on the internet, tracks web-browsing patterns to inform our understanding of how our website is being used. Generic information is collected through the use of</w:t>
      </w:r>
      <w:r>
        <w:t xml:space="preserve"> </w:t>
      </w:r>
      <w:r>
        <w:t xml:space="preserve">“cookies,”</w:t>
      </w:r>
      <w:r>
        <w:t xml:space="preserve"> </w:t>
      </w:r>
      <w:r>
        <w:t xml:space="preserve">which are text files placed on your computer to evaluate usage patterns so that we can improve both content and distribution.</w:t>
      </w:r>
    </w:p>
    <w:bookmarkEnd w:id="24"/>
    <w:bookmarkStart w:id="26" w:name="argument"/>
    <w:p>
      <w:pPr>
        <w:pStyle w:val="Heading1"/>
      </w:pPr>
      <w:r>
        <w:t xml:space="preserve">Argument</w:t>
      </w:r>
    </w:p>
    <w:bookmarkStart w:id="25" w:name="Xdd35f3d0ba3061c3de516f5f9b03ae67d03b5ed"/>
    <w:p>
      <w:pPr>
        <w:pStyle w:val="Heading2"/>
      </w:pPr>
      <w:r>
        <w:t xml:space="preserve">I.</w:t>
      </w:r>
      <w:r>
        <w:tab/>
      </w:r>
      <w:r>
        <w:t xml:space="preserve">Plaintiff does not possess Article III standing.</w:t>
      </w:r>
    </w:p>
    <w:p>
      <w:pPr>
        <w:pStyle w:val="FirstParagraph"/>
      </w:pPr>
      <w:r>
        <w:t xml:space="preserve">A plaintiff must plead facts that demonstrate, among other things, that she suffered an injury that is</w:t>
      </w:r>
      <w:r>
        <w:t xml:space="preserve"> </w:t>
      </w:r>
      <w:r>
        <w:t xml:space="preserve">“concrete”</w:t>
      </w:r>
      <w:r>
        <w:t xml:space="preserve"> </w:t>
      </w:r>
      <w:r>
        <w:t xml:space="preserve">and</w:t>
      </w:r>
      <w:r>
        <w:t xml:space="preserve"> </w:t>
      </w:r>
      <w:r>
        <w:t xml:space="preserve">“real,”</w:t>
      </w:r>
      <w:r>
        <w:t xml:space="preserve"> </w:t>
      </w:r>
      <w:r>
        <w:t xml:space="preserve">not merely</w:t>
      </w:r>
      <w:r>
        <w:t xml:space="preserve"> </w:t>
      </w:r>
      <w:r>
        <w:t xml:space="preserve">“abstract.”</w:t>
      </w:r>
      <w:r>
        <w:t xml:space="preserve"> </w:t>
      </w:r>
      <w:r>
        <w:rPr>
          <w:i/>
          <w:iCs/>
        </w:rPr>
        <w:t xml:space="preserve">Jones</w:t>
      </w:r>
      <w:r>
        <w:t xml:space="preserve">, 124 F.4th at 538 (quoting</w:t>
      </w:r>
      <w:r>
        <w:t xml:space="preserve"> </w:t>
      </w:r>
      <w:r>
        <w:rPr>
          <w:i/>
          <w:iCs/>
        </w:rPr>
        <w:t xml:space="preserve">Spokeo, Inc. v. Robins</w:t>
      </w:r>
      <w:r>
        <w:t xml:space="preserve">, 578 U.S. 330, 338, 340 (2016)). This injury is most often a</w:t>
      </w:r>
      <w:r>
        <w:t xml:space="preserve"> </w:t>
      </w:r>
      <w:r>
        <w:t xml:space="preserve">“tangible injury (such as the loss of money or personal injury).”</w:t>
      </w:r>
      <w:r>
        <w:t xml:space="preserve"> </w:t>
      </w:r>
      <w:r>
        <w:rPr>
          <w:i/>
          <w:iCs/>
        </w:rPr>
        <w:t xml:space="preserve">Whitby v. Cerner Corp.</w:t>
      </w:r>
      <w:r>
        <w:t xml:space="preserve">, No. 25-04087-CV-C-BP, 2026 WL 1520742, at *4 (W.D. Mo. Apr. 13, 2026).</w:t>
      </w:r>
      <w:r>
        <w:t xml:space="preserve"> </w:t>
      </w:r>
      <w:r>
        <w:t xml:space="preserve">“Intangible harms may constitute concrete injuries if they bear a</w:t>
      </w:r>
      <w:r>
        <w:t xml:space="preserve"> </w:t>
      </w:r>
      <w:r>
        <w:t xml:space="preserve">‘close relationship to harms traditionally recognized as providing a basis for lawsuits in American courts.’</w:t>
      </w:r>
      <w:r>
        <w:t xml:space="preserve">”</w:t>
      </w:r>
      <w:r>
        <w:t xml:space="preserve"> </w:t>
      </w:r>
      <w:r>
        <w:rPr>
          <w:i/>
          <w:iCs/>
        </w:rPr>
        <w:t xml:space="preserve">Butler</w:t>
      </w:r>
      <w:r>
        <w:t xml:space="preserve">, 2026 WL 883904, at *3 (quoting</w:t>
      </w:r>
      <w:r>
        <w:t xml:space="preserve"> </w:t>
      </w:r>
      <w:r>
        <w:rPr>
          <w:i/>
          <w:iCs/>
        </w:rPr>
        <w:t xml:space="preserve">TransUnion LLC v. Ramirez</w:t>
      </w:r>
      <w:r>
        <w:t xml:space="preserve">, 594 U.S. 413, 425 (2021)).</w:t>
      </w:r>
    </w:p>
    <w:p>
      <w:pPr>
        <w:pStyle w:val="BodyText"/>
      </w:pPr>
      <w:r>
        <w:t xml:space="preserve">Where individual internet users allege unauthorized disclosure of web-browsing data, courts typically compare the alleged harms to the common law tort of intrusion upon seclusion.</w:t>
      </w:r>
      <w:r>
        <w:t xml:space="preserve"> </w:t>
      </w:r>
      <w:r>
        <w:rPr>
          <w:i/>
          <w:iCs/>
        </w:rPr>
        <w:t xml:space="preserve">See, e.g.</w:t>
      </w:r>
      <w:r>
        <w:t xml:space="preserve">,</w:t>
      </w:r>
      <w:r>
        <w:t xml:space="preserve"> </w:t>
      </w:r>
      <w:r>
        <w:rPr>
          <w:i/>
          <w:iCs/>
        </w:rPr>
        <w:t xml:space="preserve">Jones</w:t>
      </w:r>
      <w:r>
        <w:t xml:space="preserve">, 124 F.4th at 539;</w:t>
      </w:r>
      <w:r>
        <w:t xml:space="preserve"> </w:t>
      </w:r>
      <w:r>
        <w:rPr>
          <w:i/>
          <w:iCs/>
        </w:rPr>
        <w:t xml:space="preserve">Butler</w:t>
      </w:r>
      <w:r>
        <w:t xml:space="preserve">, 2026 WL 883904, at *3;</w:t>
      </w:r>
      <w:r>
        <w:t xml:space="preserve"> </w:t>
      </w:r>
      <w:r>
        <w:rPr>
          <w:i/>
          <w:iCs/>
        </w:rPr>
        <w:t xml:space="preserve">Whitby</w:t>
      </w:r>
      <w:r>
        <w:t xml:space="preserve">, 2026 WL 1520742, at *5;</w:t>
      </w:r>
      <w:r>
        <w:t xml:space="preserve"> </w:t>
      </w:r>
      <w:r>
        <w:rPr>
          <w:i/>
          <w:iCs/>
        </w:rPr>
        <w:t xml:space="preserve">Adams v. PSP Grp., LLC</w:t>
      </w:r>
      <w:r>
        <w:t xml:space="preserve">, 691 F. Supp. 3d 1031, 1040–1042 (E.D. Mo. 2023). Intrusion upon seclusion requires</w:t>
      </w:r>
      <w:r>
        <w:t xml:space="preserve"> </w:t>
      </w:r>
      <w:r>
        <w:t xml:space="preserve">“an intentional intrusion into a matter the plaintiff has a right to expect privacy,”</w:t>
      </w:r>
      <w:r>
        <w:t xml:space="preserve"> </w:t>
      </w:r>
      <w:r>
        <w:t xml:space="preserve">in a manner that would be highly offensive to a reasonable person.</w:t>
      </w:r>
      <w:r>
        <w:t xml:space="preserve"> </w:t>
      </w:r>
      <w:r>
        <w:rPr>
          <w:i/>
          <w:iCs/>
        </w:rPr>
        <w:t xml:space="preserve">E.g.</w:t>
      </w:r>
      <w:r>
        <w:t xml:space="preserve">,</w:t>
      </w:r>
      <w:r>
        <w:t xml:space="preserve"> </w:t>
      </w:r>
      <w:r>
        <w:rPr>
          <w:i/>
          <w:iCs/>
        </w:rPr>
        <w:t xml:space="preserve">Koeppel v. Spiers</w:t>
      </w:r>
      <w:r>
        <w:t xml:space="preserve">, 808 N.W.2d 177, 181 (Iowa 2011).</w:t>
      </w:r>
    </w:p>
    <w:p>
      <w:pPr>
        <w:pStyle w:val="BodyText"/>
      </w:pPr>
      <w:r>
        <w:t xml:space="preserve">As the cases cited above illustrate,</w:t>
      </w:r>
      <w:r>
        <w:t xml:space="preserve"> </w:t>
      </w:r>
      <w:r>
        <w:t xml:space="preserve">“plaintiffs who fail to specifically allege facts to establish the disclosure of highly sensitive data”</w:t>
      </w:r>
      <w:r>
        <w:t xml:space="preserve"> </w:t>
      </w:r>
      <w:r>
        <w:t xml:space="preserve">typically lack standing to sue defendants under the Wiretap Act or for related torts.</w:t>
      </w:r>
      <w:r>
        <w:t xml:space="preserve"> </w:t>
      </w:r>
      <w:r>
        <w:rPr>
          <w:i/>
          <w:iCs/>
        </w:rPr>
        <w:t xml:space="preserve">E.g.</w:t>
      </w:r>
      <w:r>
        <w:t xml:space="preserve">,</w:t>
      </w:r>
      <w:r>
        <w:t xml:space="preserve"> </w:t>
      </w:r>
      <w:r>
        <w:rPr>
          <w:i/>
          <w:iCs/>
        </w:rPr>
        <w:t xml:space="preserve">Butler</w:t>
      </w:r>
      <w:r>
        <w:t xml:space="preserve">, 2026 WL 883904, at *3–4. The Eighth Circuit’s controlling opinion in</w:t>
      </w:r>
      <w:r>
        <w:t xml:space="preserve"> </w:t>
      </w:r>
      <w:r>
        <w:rPr>
          <w:i/>
          <w:iCs/>
        </w:rPr>
        <w:t xml:space="preserve">Jones</w:t>
      </w:r>
      <w:r>
        <w:t xml:space="preserve"> </w:t>
      </w:r>
      <w:r>
        <w:t xml:space="preserve">identifies the relevant distinctions:</w:t>
      </w:r>
    </w:p>
    <w:p>
      <w:pPr>
        <w:pStyle w:val="BlockText"/>
      </w:pPr>
      <w:r>
        <w:rPr>
          <w:i/>
          <w:iCs/>
        </w:rPr>
        <w:t xml:space="preserve">Jones</w:t>
      </w:r>
      <w:r>
        <w:t xml:space="preserve"> </w:t>
      </w:r>
      <w:r>
        <w:t xml:space="preserve">does not allege, for example, that session-replay technology captured her inputting and then deleting personal information like her social security number, medical history, bank account figures, or credit card information. She doesn’t allege that it recorded any of her contact information or even her name. Nor does she allege that it hijacked her camera and watched her in her home as she surfed the web. . . . We therefore join the overwhelming number of district courts to hold that plaintiffs lack standing in cases like these where they don’t allege the interception of private information.</w:t>
      </w:r>
    </w:p>
    <w:p>
      <w:pPr>
        <w:pStyle w:val="FirstParagraph"/>
      </w:pPr>
      <w:r>
        <w:rPr>
          <w:i/>
          <w:iCs/>
        </w:rPr>
        <w:t xml:space="preserve">Jones</w:t>
      </w:r>
      <w:r>
        <w:t xml:space="preserve">, 124 F.4th at 539 (emphasis added). The Eighth Circuit cited with approval a dismissal order in</w:t>
      </w:r>
      <w:r>
        <w:t xml:space="preserve"> </w:t>
      </w:r>
      <w:r>
        <w:rPr>
          <w:i/>
          <w:iCs/>
        </w:rPr>
        <w:t xml:space="preserve">Arndt v. Gov’t Emps. Ins. Co.</w:t>
      </w:r>
      <w:r>
        <w:t xml:space="preserve">, 750 F. Supp. 3d 518 (D. Md. 2024), where the district court reasoned:</w:t>
      </w:r>
      <w:r>
        <w:t xml:space="preserve"> </w:t>
      </w:r>
      <w:r>
        <w:t xml:space="preserve">“Plaintiff cannot establish a concrete injury based on Defendant’s alleged collection of mere website activity, such as mouse movements, keystrokes and clicks, search terms, or content viewed by Plaintiff on Defendant’s website. Such information does not convey any personal, private, or identifying information.”</w:t>
      </w:r>
      <w:r>
        <w:t xml:space="preserve"> </w:t>
      </w:r>
      <w:r>
        <w:rPr>
          <w:i/>
          <w:iCs/>
        </w:rPr>
        <w:t xml:space="preserve">Id.</w:t>
      </w:r>
      <w:r>
        <w:t xml:space="preserve"> </w:t>
      </w:r>
      <w:r>
        <w:t xml:space="preserve">at 528.</w:t>
      </w:r>
    </w:p>
    <w:p>
      <w:pPr>
        <w:pStyle w:val="BodyText"/>
      </w:pPr>
      <w:r>
        <w:t xml:space="preserve">Consistent with</w:t>
      </w:r>
      <w:r>
        <w:t xml:space="preserve"> </w:t>
      </w:r>
      <w:r>
        <w:rPr>
          <w:i/>
          <w:iCs/>
        </w:rPr>
        <w:t xml:space="preserve">Jones</w:t>
      </w:r>
      <w:r>
        <w:t xml:space="preserve">, courts routinely require a plaintiff allege the unauthorized use or disclosure of highly sensitive information, such as personal financial information like a credit card number, or protected health information, to establish standing.</w:t>
      </w:r>
      <w:r>
        <w:t xml:space="preserve"> </w:t>
      </w:r>
      <w:r>
        <w:rPr>
          <w:i/>
          <w:iCs/>
        </w:rPr>
        <w:t xml:space="preserve">See, e.g.</w:t>
      </w:r>
      <w:r>
        <w:t xml:space="preserve">,</w:t>
      </w:r>
      <w:r>
        <w:t xml:space="preserve"> </w:t>
      </w:r>
      <w:r>
        <w:rPr>
          <w:i/>
          <w:iCs/>
        </w:rPr>
        <w:t xml:space="preserve">Whitby</w:t>
      </w:r>
      <w:r>
        <w:t xml:space="preserve">, 2026 WL 1520742, at *5–6 (finding that allegations that defendant’s use of Google Analytics to track users’ IP addresses and browsing behavior were not sufficient to confer standing for Wiretap Act claims where</w:t>
      </w:r>
      <w:r>
        <w:t xml:space="preserve"> </w:t>
      </w:r>
      <w:r>
        <w:t xml:space="preserve">“no actual medical information was conveyed,”</w:t>
      </w:r>
      <w:r>
        <w:t xml:space="preserve"> </w:t>
      </w:r>
      <w:r>
        <w:t xml:space="preserve">and following</w:t>
      </w:r>
      <w:r>
        <w:t xml:space="preserve"> </w:t>
      </w:r>
      <w:r>
        <w:rPr>
          <w:i/>
          <w:iCs/>
        </w:rPr>
        <w:t xml:space="preserve">Jones</w:t>
      </w:r>
      <w:r>
        <w:t xml:space="preserve">);</w:t>
      </w:r>
      <w:r>
        <w:t xml:space="preserve"> </w:t>
      </w:r>
      <w:r>
        <w:rPr>
          <w:i/>
          <w:iCs/>
        </w:rPr>
        <w:t xml:space="preserve">cf.</w:t>
      </w:r>
      <w:r>
        <w:t xml:space="preserve"> </w:t>
      </w:r>
      <w:r>
        <w:rPr>
          <w:i/>
          <w:iCs/>
        </w:rPr>
        <w:t xml:space="preserve">In re SuperValu, Inc.</w:t>
      </w:r>
      <w:r>
        <w:t xml:space="preserve">, 870 F.3d 763, 769–71 (8th Cir. 2017) (holding that plaintiffs asserting various tort claims against retailer arising from theft of plaintiffs’ credit card numbers in data breach failed, without more, to sufficiently allege injury in fact at the pleading stage).</w:t>
      </w:r>
    </w:p>
    <w:p>
      <w:pPr>
        <w:pStyle w:val="BodyText"/>
      </w:pPr>
      <w:r>
        <w:t xml:space="preserve">Plaintiff alleges that he browsed Grinnell’s website once and that Grinnell employed technology that collected data regarding his browsing activity on Grinnell’s website. (Compl. ¶ 19.)</w:t>
      </w:r>
    </w:p>
    <w:bookmarkEnd w:id="25"/>
    <w:bookmarkEnd w:id="26"/>
    <w:bookmarkStart w:id="27" w:name="conclusion"/>
    <w:p>
      <w:pPr>
        <w:pStyle w:val="Heading1"/>
      </w:pPr>
      <w:r>
        <w:t xml:space="preserve">Conclusion</w:t>
      </w:r>
    </w:p>
    <w:p>
      <w:pPr>
        <w:pStyle w:val="FirstParagraph"/>
      </w:pPr>
      <w:r>
        <w:t xml:space="preserve">For the reasons stated above, the Court should dismiss Plaintiff’s Class Action Complaint, ECF No. 1.</w:t>
      </w:r>
    </w:p>
    <w:p>
      <w:pPr>
        <w:keepNext/>
        <w:spacing w:before="0" w:after="240" w:line="280" w:lineRule="exact"/>
        <w:ind w:left="0" w:firstLine="0"/>
      </w:pPr>
      <w:r>
        <w:t xml:space="preserve">Dated: August 11, 2026</w:t>
      </w:r>
    </w:p>
    <w:p>
      <w:pPr>
        <w:spacing w:before="0" w:after="0" w:line="280" w:lineRule="exact"/>
        <w:ind w:left="4968" w:firstLine="0"/>
      </w:pPr>
      <w:r>
        <w:t xml:space="preserve">/s/ Matthew A. McGuire</w:t>
      </w:r>
    </w:p>
    <w:p>
      <w:pPr>
        <w:spacing w:before="0" w:after="0" w:line="280" w:lineRule="exact"/>
        <w:ind w:left="4968" w:firstLine="0"/>
      </w:pPr>
      <w:r>
        <w:t xml:space="preserve">Frank B. Harty, AT0003356</w:t>
      </w:r>
    </w:p>
    <w:p>
      <w:pPr>
        <w:spacing w:before="0" w:after="0" w:line="280" w:lineRule="exact"/>
        <w:ind w:left="4968" w:firstLine="0"/>
      </w:pPr>
      <w:r>
        <w:t xml:space="preserve">Matthew A. McGuire, AT0011932</w:t>
      </w:r>
    </w:p>
    <w:p>
      <w:pPr>
        <w:spacing w:before="0" w:after="0" w:line="280" w:lineRule="exact"/>
        <w:ind w:left="4968" w:firstLine="0"/>
      </w:pPr>
      <w:r>
        <w:t xml:space="preserve">Ami L. Penquite, AT0016149</w:t>
      </w:r>
    </w:p>
    <w:p>
      <w:pPr>
        <w:spacing w:before="0" w:after="0" w:line="280" w:lineRule="exact"/>
        <w:ind w:left="4968" w:firstLine="0"/>
      </w:pPr>
      <w:r>
        <w:t xml:space="preserve">NYEMASTER GOODE, P.C.</w:t>
      </w:r>
    </w:p>
    <w:p>
      <w:pPr>
        <w:spacing w:before="0" w:after="0" w:line="280" w:lineRule="exact"/>
        <w:ind w:left="4968" w:firstLine="0"/>
      </w:pPr>
      <w:r>
        <w:t xml:space="preserve">700 Walnut, Suite 1300</w:t>
      </w:r>
    </w:p>
    <w:p>
      <w:pPr>
        <w:spacing w:before="0" w:after="0" w:line="280" w:lineRule="exact"/>
        <w:ind w:left="4968" w:firstLine="0"/>
      </w:pPr>
      <w:r>
        <w:t xml:space="preserve">Des Moines, IA 50309</w:t>
      </w:r>
    </w:p>
    <w:p>
      <w:pPr>
        <w:spacing w:before="0" w:after="0" w:line="280" w:lineRule="exact"/>
        <w:ind w:left="4968" w:firstLine="0"/>
      </w:pPr>
      <w:r>
        <w:t xml:space="preserve">Telephone: (515) 283-3100</w:t>
      </w:r>
    </w:p>
    <w:p>
      <w:pPr>
        <w:spacing w:before="0" w:after="0" w:line="280" w:lineRule="exact"/>
        <w:ind w:left="4968" w:firstLine="0"/>
      </w:pPr>
      <w:r>
        <w:t xml:space="preserve">Fax: (515) 283-8045</w:t>
      </w:r>
    </w:p>
    <w:p>
      <w:pPr>
        <w:spacing w:before="0" w:after="0" w:line="280" w:lineRule="exact"/>
        <w:ind w:left="4968" w:firstLine="0"/>
      </w:pPr>
      <w:r>
        <w:t xml:space="preserve">Email: fharty@nyemaster.com</w:t>
      </w:r>
    </w:p>
    <w:p>
      <w:pPr>
        <w:spacing w:before="0" w:after="0" w:line="280" w:lineRule="exact"/>
        <w:ind w:left="4968" w:firstLine="0"/>
      </w:pPr>
      <w:r>
        <w:t xml:space="preserve">mmcguire@nyemaster.com</w:t>
      </w:r>
    </w:p>
    <w:p>
      <w:pPr>
        <w:spacing w:before="0" w:after="0" w:line="280" w:lineRule="exact"/>
        <w:ind w:left="4968" w:firstLine="0"/>
      </w:pPr>
      <w:r>
        <w:t xml:space="preserve">apenquite@nyemaster.com</w:t>
      </w:r>
    </w:p>
    <w:p>
      <w:pPr>
        <w:spacing w:before="0" w:after="0" w:line="280" w:lineRule="exact"/>
        <w:ind w:left="4968" w:firstLine="0"/>
      </w:pPr>
    </w:p>
    <w:p>
      <w:pPr>
        <w:spacing w:before="0" w:after="0" w:line="280" w:lineRule="exact"/>
        <w:ind w:left="4968" w:firstLine="0"/>
      </w:pPr>
      <w:r>
        <w:t xml:space="preserve">Frances M. Haas, AT0009838</w:t>
      </w:r>
    </w:p>
    <w:p>
      <w:pPr>
        <w:spacing w:before="0" w:after="0" w:line="280" w:lineRule="exact"/>
        <w:ind w:left="4968" w:firstLine="0"/>
      </w:pPr>
      <w:r>
        <w:t xml:space="preserve">NYEMASTER GOODE, P.C.</w:t>
      </w:r>
    </w:p>
    <w:p>
      <w:pPr>
        <w:spacing w:before="0" w:after="0" w:line="280" w:lineRule="exact"/>
        <w:ind w:left="4968" w:firstLine="0"/>
      </w:pPr>
      <w:r>
        <w:t xml:space="preserve">275 1st Avenue SW, Suite 204</w:t>
      </w:r>
    </w:p>
    <w:p>
      <w:pPr>
        <w:spacing w:before="0" w:after="0" w:line="280" w:lineRule="exact"/>
        <w:ind w:left="4968" w:firstLine="0"/>
      </w:pPr>
      <w:r>
        <w:t xml:space="preserve">Cedar Rapids, Iowa 52405-3965</w:t>
      </w:r>
    </w:p>
    <w:p>
      <w:pPr>
        <w:spacing w:before="0" w:after="0" w:line="280" w:lineRule="exact"/>
        <w:ind w:left="4968" w:firstLine="0"/>
      </w:pPr>
      <w:r>
        <w:t xml:space="preserve">Telephone: (319) 286-7022</w:t>
      </w:r>
    </w:p>
    <w:p>
      <w:pPr>
        <w:spacing w:before="0" w:after="0" w:line="280" w:lineRule="exact"/>
        <w:ind w:left="4968" w:firstLine="0"/>
      </w:pPr>
      <w:r>
        <w:t xml:space="preserve">Facsimile: (319) 286-7050</w:t>
      </w:r>
    </w:p>
    <w:p>
      <w:pPr>
        <w:spacing w:before="0" w:after="0" w:line="280" w:lineRule="exact"/>
        <w:ind w:left="4968" w:firstLine="0"/>
      </w:pPr>
      <w:r>
        <w:t xml:space="preserve">Email: fmhaas@nyemaster.com</w:t>
      </w:r>
    </w:p>
    <w:p>
      <w:pPr>
        <w:spacing w:before="0" w:after="0" w:line="280" w:lineRule="exact"/>
        <w:ind w:left="4968" w:firstLine="0"/>
      </w:pPr>
    </w:p>
    <w:p>
      <w:pPr>
        <w:spacing w:before="0" w:after="0" w:line="280" w:lineRule="exact"/>
        <w:ind w:left="4968" w:firstLine="0"/>
      </w:pPr>
      <w:r>
        <w:t xml:space="preserve">ATTORNEYS FOR DEFENDANT GRINNELL COLLEGE</w:t>
      </w:r>
    </w:p>
    <w:bookmarkEnd w:id="27"/>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In describing or referring to the allegations contained within the Complaint, Grinnell does not admit the truth of any such allegations.</w:t>
      </w:r>
    </w:p>
  </w:footnote>
  <w:footnote w:id="22">
    <w:p>
      <w:pPr>
        <w:pStyle w:val="FootnoteText"/>
      </w:pPr>
      <w:r>
        <w:rPr>
          <w:rStyle w:val="FootnoteReference"/>
        </w:rPr>
        <w:footnoteRef/>
      </w:r>
      <w:r>
        <w:t xml:space="preserve"> </w:t>
      </w:r>
      <w:r>
        <w:rPr>
          <w:i/>
          <w:iCs/>
        </w:rPr>
        <w:t xml:space="preserve">See, e.g.</w:t>
      </w:r>
      <w:r>
        <w:t xml:space="preserve">,</w:t>
      </w:r>
      <w:r>
        <w:t xml:space="preserve"> </w:t>
      </w:r>
      <w:r>
        <w:rPr>
          <w:i/>
          <w:iCs/>
        </w:rPr>
        <w:t xml:space="preserve">Zean v. Fairview Health Servs.</w:t>
      </w:r>
      <w:r>
        <w:t xml:space="preserve">, 858 F.3d 520, 527 (8th Cir. 2017) (noting a court may examine a contract at issue when deciding a motion to dismiss and does not have to accept as true a party’s interpretation of that contract);</w:t>
      </w:r>
      <w:r>
        <w:t xml:space="preserve"> </w:t>
      </w:r>
      <w:r>
        <w:rPr>
          <w:i/>
          <w:iCs/>
        </w:rPr>
        <w:t xml:space="preserve">Leveke v. Hearst Props., Inc.</w:t>
      </w:r>
      <w:r>
        <w:t xml:space="preserve">, 764 F. Supp. 3d 817, 826 (S.D. Iowa 2025) (</w:t>
      </w:r>
      <w:r>
        <w:t xml:space="preserve">“It is well established that the Court may consider materials outside the pleadings that are</w:t>
      </w:r>
      <w:r>
        <w:t xml:space="preserve"> </w:t>
      </w:r>
      <w:r>
        <w:t xml:space="preserve">‘necessarily embraced by the complaint.’</w:t>
      </w:r>
      <w:r>
        <w:t xml:space="preserve">”</w:t>
      </w:r>
      <w:r>
        <w:t xml:space="preserve">). The Complaint contains allegations about the contents of the Privacy Policy. (Compl. ¶ 50.)</w:t>
      </w:r>
    </w:p>
  </w:footnote>
  <w:footnote w:id="23">
    <w:p>
      <w:pPr>
        <w:pStyle w:val="FootnoteText"/>
      </w:pPr>
      <w:r>
        <w:rPr>
          <w:rStyle w:val="FootnoteReference"/>
        </w:rPr>
        <w:footnoteRef/>
      </w:r>
      <w:r>
        <w:t xml:space="preserve"> </w:t>
      </w:r>
      <w:r>
        <w:t xml:space="preserve">The text of the Privacy Policy, available at https://www.grinnell.edu/policies/privacy, contains live hyperlinks to other websites as indicated herein and in Exhibit A. Those hyperlinks have been removed for purposes of this filing.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480" w:lineRule="exact"/>
    </w:pPr>
    <w:rPr>
      <w:rFonts w:ascii="EB Garamond" w:cs="EB Garamond" w:eastAsia="EB Garamond" w:hAnsi="EB Garamond"/>
      <w:sz w:val="24"/>
      <w:szCs w:val="24"/>
    </w:rPr>
  </w:style>
  <w:style w:styleId="BodyText" w:type="paragraph">
    <w:name w:val="Body Text"/>
    <w:basedOn w:val="Normal"/>
    <w:qFormat/>
    <w:pPr>
      <w:spacing w:after="0" w:before="0" w:line="480" w:lineRule="exact"/>
      <w:ind w:firstLine="720"/>
    </w:pPr>
  </w:style>
  <w:style w:customStyle="1" w:styleId="FirstParagraph" w:type="paragraph">
    <w:name w:val="First Paragraph"/>
    <w:basedOn w:val="BodyText"/>
    <w:next w:val="BodyText"/>
    <w:qFormat/>
    <w:pPr>
      <w:spacing w:after="0" w:before="0" w:line="480" w:lineRule="exact"/>
      <w:ind w:firstLine="720"/>
    </w:pPr>
  </w:style>
  <w:style w:customStyle="1" w:styleId="Compact" w:type="paragraph">
    <w:name w:val="Compact"/>
    <w:basedOn w:val="BodyText"/>
    <w:qFormat/>
    <w:pPr>
      <w:spacing w:after="0" w:before="0" w:line="480" w:lineRule="exact"/>
      <w:ind w:firstLine="0"/>
    </w:pPr>
  </w:style>
  <w:style w:styleId="BlockText" w:type="paragraph">
    <w:name w:val="Block Text"/>
    <w:basedOn w:val="Normal"/>
    <w:qFormat/>
    <w:pPr>
      <w:spacing w:after="240" w:before="0" w:line="280" w:lineRule="exact"/>
      <w:ind w:firstLine="0" w:left="720" w:right="720"/>
    </w:pPr>
  </w:style>
  <w:style w:styleId="FootnoteText" w:type="paragraph">
    <w:name w:val="footnote text"/>
    <w:basedOn w:val="Normal"/>
    <w:pPr>
      <w:spacing w:after="120" w:before="0" w:line="280" w:lineRule="exact"/>
      <w:ind w:firstLine="0"/>
    </w:pPr>
    <w:rPr>
      <w:sz w:val="24"/>
      <w:szCs w:val="24"/>
    </w:rPr>
  </w:style>
  <w:style w:styleId="Heading1" w:type="paragraph">
    <w:name w:val="heading 1"/>
    <w:basedOn w:val="Normal"/>
    <w:next w:val="BodyText"/>
    <w:qFormat/>
    <w:pPr>
      <w:keepNext/>
      <w:keepLines/>
      <w:spacing w:after="240" w:before="240" w:line="480" w:lineRule="exact"/>
      <w:ind w:firstLine="0"/>
      <w:jc w:val="center"/>
      <w:outlineLvl w:val="0"/>
    </w:pPr>
    <w:rPr>
      <w:b/>
      <w:bCs/>
      <w:caps/>
      <w:color w:val="000000"/>
      <w:sz w:val="24"/>
      <w:szCs w:val="24"/>
    </w:rPr>
  </w:style>
  <w:style w:styleId="Heading2" w:type="paragraph">
    <w:name w:val="heading 2"/>
    <w:basedOn w:val="Normal"/>
    <w:next w:val="BodyText"/>
    <w:qFormat/>
    <w:pPr>
      <w:keepNext/>
      <w:keepLines/>
      <w:spacing w:after="240" w:before="240" w:line="480" w:lineRule="exact"/>
      <w:ind w:hanging="720" w:left="720"/>
      <w:jc w:val="left"/>
      <w:outlineLvl w:val="1"/>
    </w:pPr>
    <w:rPr>
      <w:b/>
      <w:bCs/>
      <w:color w:val="000000"/>
      <w:sz w:val="24"/>
      <w:szCs w:val="24"/>
    </w:rPr>
  </w:style>
  <w:style w:styleId="Heading3" w:type="paragraph">
    <w:name w:val="heading 3"/>
    <w:basedOn w:val="Normal"/>
    <w:next w:val="BodyText"/>
    <w:qFormat/>
    <w:pPr>
      <w:keepNext/>
      <w:keepLines/>
      <w:spacing w:after="240" w:before="240" w:line="480" w:lineRule="exact"/>
      <w:ind w:hanging="720" w:left="1440"/>
      <w:jc w:val="left"/>
      <w:outlineLvl w:val="2"/>
    </w:pPr>
    <w:rPr>
      <w:b/>
      <w:bCs/>
      <w:color w:val="000000"/>
      <w:sz w:val="24"/>
      <w:szCs w:val="24"/>
    </w:rPr>
  </w:style>
  <w:style w:styleId="Heading4" w:type="paragraph">
    <w:name w:val="heading 4"/>
    <w:basedOn w:val="Normal"/>
    <w:next w:val="BodyText"/>
    <w:qFormat/>
    <w:pPr>
      <w:keepNext/>
      <w:keepLines/>
      <w:spacing w:after="240" w:before="240" w:line="480" w:lineRule="exact"/>
      <w:ind w:hanging="720" w:left="2160"/>
      <w:jc w:val="left"/>
      <w:outlineLvl w:val="3"/>
    </w:pPr>
    <w:rPr>
      <w:b/>
      <w:bCs/>
      <w:color w:val="00000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2026-10-15T09:26:56Z</dcterms:created>
  <dcterms:modified xsi:type="dcterms:W3CDTF">2026-10-15T09:26:56Z</dcterms:modified>
</cp:coreProperties>
</file>

<file path=docProps/custom.xml><?xml version="1.0" encoding="utf-8"?>
<Properties xmlns="http://schemas.openxmlformats.org/officeDocument/2006/custom-properties" xmlns:vt="http://schemas.openxmlformats.org/officeDocument/2006/docPropsVTypes"/>
</file>