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Line"/>
      </w:pPr>
      <w:r>
        <w:rPr>
          <w:b/>
        </w:rPr>
        <w:t xml:space="preserve">UNITED STATES DISTRICT COURT</w:t>
      </w:r>
    </w:p>
    <w:p>
      <w:pPr>
        <w:pStyle w:val="CourtTitleLine"/>
      </w:pPr>
      <w:r>
        <w:rPr>
          <w:b/>
        </w:rPr>
        <w:t xml:space="preserve">EASTERN DISTRICT OF MISSOURI</w:t>
      </w:r>
    </w:p>
    <w:p>
      <w:pPr>
        <w:pStyle w:val="CourtTitleLine"/>
        <w:spacing w:before="0" w:after="600" w:line="280" w:lineRule="exact"/>
      </w:pPr>
      <w:r>
        <w:rPr>
          <w:b/>
        </w:rP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Borders>
              <w:right w:val="single" w:sz="6" w:space="0" w:color="auto"/>
              <w:bottom w:val="single" w:sz="6" w:space="0" w:color="auto"/>
            </w:tcBorders>
            <w:tcMar>
              <w:right w:w="216" w:type="dxa"/>
              <w:bottom w:w="144" w:type="dxa"/>
            </w:tcMar>
          </w:tcPr>
          <w:p>
            <w:pPr>
              <w:pStyle w:val="CourtCaption"/>
            </w:pPr>
            <w:r>
              <w:t xml:space="preserve">NOE CARREAGA, individually and on behalf of all others similarly situated,</w:t>
            </w:r>
          </w:p>
          <w:p>
            <w:pPr>
              <w:pStyle w:val="CourtCaptionDesignation"/>
            </w:pPr>
            <w:r>
              <w:t xml:space="preserve">Plaintiff,</w:t>
            </w:r>
          </w:p>
          <w:p>
            <w:pPr>
              <w:pStyle w:val="CourtCaption"/>
            </w:pPr>
            <w:r>
              <w:t xml:space="preserve">v.</w:t>
            </w:r>
          </w:p>
          <w:p>
            <w:pPr>
              <w:pStyle w:val="CourtCaption"/>
            </w:pPr>
            <w:r>
              <w:t xml:space="preserve">HOGAN TRUCK LEASING, LLC; HOGAN DEDICATED SERVICES, LLC; HOGAN LOGISTICS, LLC; HOGAN TRANSPORTS LLC; and HOGAN SERVICES LLC,</w:t>
            </w:r>
          </w:p>
          <w:p>
            <w:pPr>
              <w:pStyle w:val="CourtCaptionDesignation"/>
            </w:pPr>
            <w:r>
              <w:t xml:space="preserve">Defendants.</w:t>
            </w:r>
          </w:p>
        </w:tc>
        <w:tc>
          <w:tcPr>
            <w:tcW w:w="432" w:type="dxa"/>
          </w:tcPr>
          <w:p/>
        </w:tc>
        <w:tc>
          <w:tcPr>
            <w:tcW w:w="4176" w:type="dxa"/>
          </w:tcPr>
          <w:p>
            <w:pPr>
              <w:pStyle w:val="CourtCaption"/>
              <w:spacing w:before="0" w:after="480" w:line="240" w:lineRule="auto"/>
            </w:pPr>
            <w:r>
              <w:t xml:space="preserve">Case No. 4:26-cv-00743-AGF</w:t>
            </w:r>
          </w:p>
          <w:p>
            <w:pPr>
              <w:pStyle w:val="CourtCaption"/>
            </w:pPr>
            <w:r>
              <w:rPr>
                <w:b/>
              </w:rPr>
              <w:t xml:space="preserve">CLASS ACTION</w:t>
            </w:r>
          </w:p>
          <w:p>
            <w:pPr>
              <w:pStyle w:val="CourtCaption"/>
            </w:pPr>
            <w:r>
              <w:rPr>
                <w:b/>
              </w:rPr>
              <w:t xml:space="preserve">JURY TRIAL DEMANDED</w:t>
            </w:r>
          </w:p>
        </w:tc>
      </w:tr>
    </w:tbl>
    <w:p>
      <w:pPr>
        <w:pStyle w:val="CourtTitleLine"/>
        <w:keepNext/>
        <w:spacing w:before="480" w:after="0" w:line="480" w:lineRule="exact"/>
        <w:jc w:val="center"/>
      </w:pPr>
      <w:r>
        <w:rPr>
          <w:b/>
        </w:rPr>
        <w:t xml:space="preserve">CLASS ACTION COMPLAINT</w:t>
      </w:r>
    </w:p>
    <w:p>
      <w:pPr>
        <w:pStyle w:val="FirstParagraph"/>
      </w:pPr>
      <w:r>
        <w:t xml:space="preserve">Plaintiff Noe Carreaga (“Plaintiff”) brings this class action against Defendants Hogan Truck Leasing, LLC; Hogan Dedicated Services, LLC; Hogan Logistics, LLC; Hogan Transports LLC; and Hogan Services LLC (collectively, “Defendants”), and alleges as follows upon personal knowledge as to Plaintiff and Plaintiff’s own acts and experiences, and, as to all other matters, upon information and belief, including investigation conducted by Plaintiff’s attorneys.</w:t>
      </w:r>
    </w:p>
    <w:bookmarkStart w:id="20" w:name="nature-of-the-action"/>
    <w:p>
      <w:pPr>
        <w:pStyle w:val="Heading1"/>
      </w:pPr>
      <w:r>
        <w:t xml:space="preserve">NATURE OF THE ACTION</w:t>
      </w:r>
    </w:p>
    <w:p>
      <w:pPr>
        <w:pStyle w:val="NumberedParagraph"/>
      </w:pPr>
      <w:r>
        <w:t xml:space="preserve">1.</w:t>
      </w:r>
      <w:r>
        <w:tab/>
      </w:r>
      <w:r>
        <w:t xml:space="preserve">Plaintiff brings this class action against Defendants for its failure to properly secure and safeguard personally identifiable information (“PII”) of Plaintiff and the Class members, including, without limitation: name, Social Security number, driver’s license number or state identification number, and passport number.</w:t>
      </w:r>
    </w:p>
    <w:p>
      <w:pPr>
        <w:pStyle w:val="NumberedParagraph"/>
      </w:pPr>
      <w:r>
        <w:t xml:space="preserve">2.</w:t>
      </w:r>
      <w:r>
        <w:tab/>
      </w:r>
      <w:r>
        <w:t xml:space="preserve">Defendants provide transportation logistics services to class members.</w:t>
      </w:r>
    </w:p>
    <w:p>
      <w:pPr>
        <w:pStyle w:val="NumberedParagraph"/>
      </w:pPr>
      <w:r>
        <w:t xml:space="preserve">3.</w:t>
      </w:r>
      <w:r>
        <w:tab/>
      </w:r>
      <w:r>
        <w:t xml:space="preserve">In the course of its business, Defendants are entrusted with an extensive amount of Plaintiff’s and the Class members’ PII.</w:t>
      </w:r>
    </w:p>
    <w:p>
      <w:pPr>
        <w:pStyle w:val="NumberedParagraph"/>
      </w:pPr>
      <w:r>
        <w:t xml:space="preserve">4.</w:t>
      </w:r>
      <w:r>
        <w:tab/>
      </w:r>
      <w:r>
        <w:t xml:space="preserve">By obtaining, collecting, using, and deriving a benefit from Plaintiff’s and Class members’ PII, Defendants assumed non-delegable legal and equitable duties to Plaintiff and the Class members.</w:t>
      </w:r>
    </w:p>
    <w:p>
      <w:pPr>
        <w:pStyle w:val="NumberedParagraph"/>
      </w:pPr>
      <w:r>
        <w:t xml:space="preserve">5.</w:t>
      </w:r>
      <w:r>
        <w:tab/>
      </w:r>
      <w:r>
        <w:t xml:space="preserve">On or about October 25, 2025, an intruder gained entry to Defendants’ database, accessed Plaintiff’s and the Class members’ PII, and exfiltrated information (the “Data Breach Incident”).</w:t>
      </w:r>
    </w:p>
    <w:p>
      <w:pPr>
        <w:pStyle w:val="NumberedParagraph"/>
      </w:pPr>
      <w:r>
        <w:t xml:space="preserve">6.</w:t>
      </w:r>
      <w:r>
        <w:tab/>
      </w:r>
      <w:r>
        <w:t xml:space="preserve">The full extent of the types of sensitive personal information, the scope of the breach, and the root cause of the Data Breach Incident is all within the exclusive control of Defendants and their agents, counsel, and forensic security vendors at this phase of litigation.</w:t>
      </w:r>
    </w:p>
    <w:p>
      <w:pPr>
        <w:pStyle w:val="NumberedParagraph"/>
      </w:pPr>
      <w:r>
        <w:t xml:space="preserve">7.</w:t>
      </w:r>
      <w:r>
        <w:tab/>
      </w:r>
      <w:r>
        <w:t xml:space="preserve">Defendants did not notify Plaintiff and the Class members of the incident until May 8, 2026.</w:t>
      </w:r>
    </w:p>
    <w:p>
      <w:pPr>
        <w:pStyle w:val="NumberedParagraph"/>
      </w:pPr>
      <w:r>
        <w:t xml:space="preserve">8.</w:t>
      </w:r>
      <w:r>
        <w:tab/>
      </w:r>
      <w:r>
        <w:t xml:space="preserve">Plaintiff’s and the Class members’ PII that was acquired in the Data Breach Incident can be sold on the dark web. Hackers can access and then offer for sale the unencrypted, unredacted PII to criminals. Plaintiff and the Class members face a lifetime risk of identity theft, which is heightened here by the loss of Social Security numbers.</w:t>
      </w:r>
    </w:p>
    <w:p>
      <w:pPr>
        <w:pStyle w:val="NumberedParagraph"/>
      </w:pPr>
      <w:r>
        <w:t xml:space="preserve">9.</w:t>
      </w:r>
      <w:r>
        <w:tab/>
      </w:r>
      <w:r>
        <w:t xml:space="preserve">Plaintiff’s and the Class members’ PII was compromised due to Defendants’ negligent acts and omissions and the failure to protect Plaintiff’s and the Class members’ PII.</w:t>
      </w:r>
    </w:p>
    <w:p>
      <w:pPr>
        <w:pStyle w:val="NumberedParagraph"/>
      </w:pPr>
      <w:r>
        <w:t xml:space="preserve">10.</w:t>
      </w:r>
      <w:r>
        <w:tab/>
      </w:r>
      <w:r>
        <w:t xml:space="preserve">Plaintiff and Class members continue to be at significant risk of identity theft and various other forms of personal, social, and financial harm. The risk will remain for their respective lifetimes.</w:t>
      </w:r>
    </w:p>
    <w:p>
      <w:pPr>
        <w:pStyle w:val="NumberedParagraph"/>
      </w:pPr>
      <w:r>
        <w:t xml:space="preserve">11.</w:t>
      </w:r>
      <w:r>
        <w:tab/>
      </w:r>
      <w:r>
        <w:t xml:space="preserve">Defendants disregarded the rights of Plaintiff and the Class members by intentionally, willfully, recklessly, or negligently failing to take and implement adequate and reasonable measures to ensure their PII was safeguarded, failing to take available steps to prevent an unauthorized disclosure of data, and failing to follow applicable, required and appropriate protocols, policies and procedures regarding the encryption of data, even for internal use. As a result, the PII of Plaintiff and Class members was compromised through access to and exfiltration by an unknown and unauthorized third party.</w:t>
      </w:r>
    </w:p>
    <w:p>
      <w:pPr>
        <w:pStyle w:val="NumberedParagraph"/>
      </w:pPr>
      <w:r>
        <w:t xml:space="preserve">12.</w:t>
      </w:r>
      <w:r>
        <w:tab/>
      </w:r>
      <w:r>
        <w:t xml:space="preserve">Plaintiff brings this action on behalf of all persons whose PII was compromised because of Defendants’ failure to: (i) adequately protect their PII; (ii) warn of Defendants’ inadequate information security practices; and (iii) effectively secure equipment and the database containing protected PII using reasonable and effective security procedures free of vulnerabilities and incidents. Defendants’ conduct amounts to negligence and violates federal and state statutes.</w:t>
      </w:r>
    </w:p>
    <w:p>
      <w:pPr>
        <w:pStyle w:val="NumberedParagraph"/>
      </w:pPr>
      <w:r>
        <w:t xml:space="preserve">13.</w:t>
      </w:r>
      <w:r>
        <w:tab/>
      </w:r>
      <w:r>
        <w:t xml:space="preserve">Plaintiff and Class members have suffered actual and imminent injuries as a direct result of the Data Breach, including: (a) theft of their PII; (b) costs associated with the detection and prevention of identity theft; (c) costs associated with time spent and the loss of productivity from taking time to address and attempt to ameliorate, mitigate, and deal with the consequences of the Data Breach Incident; (d) invasion of privacy; (e) the emotional distress and anguish, stress, and annoyance of responding to, and resulting from, the Data Breach Incident; (f) the actual and/or imminent injury arising from actual and/or potential fraud and identity theft posed by their personal data being placed in the hands of the ill-intentioned hackers and/or criminals; (g) damages to and diminution in value of their personal data entrusted to Defendants with the mutual understanding that Defendants would safeguard Plaintiff’s and Class members’ PII against theft and not allow access and misuse of their personal data by others; and (h) the continued risk to their PII, which remains in the possession of Defendant, and which is subject to further breaches, so long as Defendants fails to undertake appropriate and adequate measures to protect Plaintiff’s and Class members’ PII, and, at the very least, are entitled to nominal damages.</w:t>
      </w:r>
    </w:p>
    <w:p>
      <w:pPr>
        <w:pStyle w:val="NumberedParagraph"/>
      </w:pPr>
      <w:r>
        <w:t xml:space="preserve">14.</w:t>
      </w:r>
      <w:r>
        <w:tab/>
      </w:r>
      <w:r>
        <w:t xml:space="preserve">Plaintiff and Class members have a continuing interest in ensuring that their information is and remains safe, and they should be entitled to injunctive and other equitable relief.</w:t>
      </w:r>
    </w:p>
    <w:bookmarkEnd w:id="20"/>
    <w:bookmarkStart w:id="21" w:name="parties"/>
    <w:p>
      <w:pPr>
        <w:pStyle w:val="Heading1"/>
      </w:pPr>
      <w:r>
        <w:t xml:space="preserve">PARTIES</w:t>
      </w:r>
    </w:p>
    <w:p>
      <w:pPr>
        <w:pStyle w:val="NumberedParagraph"/>
      </w:pPr>
      <w:r>
        <w:t xml:space="preserve">15.</w:t>
      </w:r>
      <w:r>
        <w:tab/>
      </w:r>
      <w:r>
        <w:t xml:space="preserve">Plaintiff is, and at all times relevant hereto was, a citizen and resident of Harris County, Texas.</w:t>
      </w:r>
    </w:p>
    <w:p>
      <w:pPr>
        <w:pStyle w:val="NumberedParagraph"/>
      </w:pPr>
      <w:r>
        <w:t xml:space="preserve">16.</w:t>
      </w:r>
      <w:r>
        <w:tab/>
      </w:r>
      <w:r>
        <w:t xml:space="preserve">Defendant Hogan Trucking Leasing, LLC is, and at all times relevant hereto was, a corporation with its principal place of business in St. Louis County, Missouri.</w:t>
      </w:r>
    </w:p>
    <w:p>
      <w:pPr>
        <w:pStyle w:val="NumberedParagraph"/>
      </w:pPr>
      <w:r>
        <w:t xml:space="preserve">17.</w:t>
      </w:r>
      <w:r>
        <w:tab/>
      </w:r>
      <w:r>
        <w:t xml:space="preserve">Defendant Hogan Dedicated Services, LLC, is, and at all times relevant hereto was, a corporation with its principal place of business in St. Louis County, Missouri.</w:t>
      </w:r>
    </w:p>
    <w:p>
      <w:pPr>
        <w:pStyle w:val="NumberedParagraph"/>
      </w:pPr>
      <w:r>
        <w:t xml:space="preserve">18.</w:t>
      </w:r>
      <w:r>
        <w:tab/>
      </w:r>
      <w:r>
        <w:t xml:space="preserve">Defendant Hogan Logistics, LLC is, and at all times relevant hereto was, a corporation with its principal place of business in St. Louis County, Missouri.</w:t>
      </w:r>
    </w:p>
    <w:p>
      <w:pPr>
        <w:pStyle w:val="NumberedParagraph"/>
      </w:pPr>
      <w:r>
        <w:t xml:space="preserve">19.</w:t>
      </w:r>
      <w:r>
        <w:tab/>
      </w:r>
      <w:r>
        <w:t xml:space="preserve">Defendant Hogan Transports LLC is, and at all times relevant hereto was, a corporation with its principal place of business in St. Louis County, Missouri.</w:t>
      </w:r>
    </w:p>
    <w:p>
      <w:pPr>
        <w:pStyle w:val="NumberedParagraph"/>
      </w:pPr>
      <w:r>
        <w:t xml:space="preserve">20.</w:t>
      </w:r>
      <w:r>
        <w:tab/>
      </w:r>
      <w:r>
        <w:t xml:space="preserve">Defendant Hogan Services LLC is, and at all times relevant hereto was, a corporation with its principal place of business in St. Louis County, Missouri.</w:t>
      </w:r>
    </w:p>
    <w:bookmarkEnd w:id="21"/>
    <w:bookmarkStart w:id="22" w:name="jurisdiction-and-venue"/>
    <w:p>
      <w:pPr>
        <w:pStyle w:val="Heading1"/>
      </w:pPr>
      <w:r>
        <w:t xml:space="preserve">JURISDICTION AND VENUE</w:t>
      </w:r>
    </w:p>
    <w:p>
      <w:pPr>
        <w:pStyle w:val="NumberedParagraph"/>
      </w:pPr>
      <w:r>
        <w:t xml:space="preserve">21.</w:t>
      </w:r>
      <w:r>
        <w:tab/>
      </w:r>
      <w:r>
        <w:t xml:space="preserve">This Court has original jurisdiction under the Class Action Fairness Act, 28 U.S.C. § 1332(d)(2), because this is a putative class action involving thousands of Class members and because the amount in controversy exceeds $5,000,000, exclusive of interest and costs. Moreover, Plaintiff, many absent Class members, and Defendants are citizens of different states.</w:t>
      </w:r>
    </w:p>
    <w:p>
      <w:pPr>
        <w:pStyle w:val="NumberedParagraph"/>
      </w:pPr>
      <w:r>
        <w:t xml:space="preserve">22.</w:t>
      </w:r>
      <w:r>
        <w:tab/>
      </w:r>
      <w:r>
        <w:t xml:space="preserve">This Court has personal jurisdiction over Defendant because it is headquartered in Missouri, regularly conducts business in Missouri and has sufficient minimum contacts in Missouri.</w:t>
      </w:r>
    </w:p>
    <w:p>
      <w:pPr>
        <w:pStyle w:val="NumberedParagraph"/>
      </w:pPr>
      <w:r>
        <w:t xml:space="preserve">23.</w:t>
      </w:r>
      <w:r>
        <w:tab/>
      </w:r>
      <w:r>
        <w:t xml:space="preserve">Venue is proper in this Court because Defendant’s principal offices are in this District, and because a substantial part of the events, acts, and omissions giving rise to Plaintiffs’ claims occurred in this District.</w:t>
      </w:r>
    </w:p>
    <w:bookmarkEnd w:id="22"/>
    <w:bookmarkStart w:id="23" w:name="facts"/>
    <w:p>
      <w:pPr>
        <w:pStyle w:val="Heading1"/>
      </w:pPr>
      <w:r>
        <w:t xml:space="preserve">FACTS</w:t>
      </w:r>
    </w:p>
    <w:p>
      <w:pPr>
        <w:pStyle w:val="NumberedParagraph"/>
      </w:pPr>
      <w:r>
        <w:t xml:space="preserve">24.</w:t>
      </w:r>
      <w:r>
        <w:tab/>
      </w:r>
      <w:r>
        <w:t xml:space="preserve">Plaintiff was a prospective employee of Defendants.</w:t>
      </w:r>
    </w:p>
    <w:p>
      <w:pPr>
        <w:pStyle w:val="NumberedParagraph"/>
      </w:pPr>
      <w:r>
        <w:t xml:space="preserve">25.</w:t>
      </w:r>
      <w:r>
        <w:tab/>
      </w:r>
      <w:r>
        <w:t xml:space="preserve">Defendants form a group of companies that offer transportation and logistics services and are based in St. Lousi, Missouri.</w:t>
      </w:r>
    </w:p>
    <w:p>
      <w:pPr>
        <w:pStyle w:val="NumberedParagraph"/>
      </w:pPr>
      <w:r>
        <w:t xml:space="preserve">26.</w:t>
      </w:r>
      <w:r>
        <w:tab/>
      </w:r>
      <w:r>
        <w:t xml:space="preserve">At the time of the Data Breach Incident, Defendants maintained Plaintiff’s and the Class members PII in its database and systems.</w:t>
      </w:r>
    </w:p>
    <w:p>
      <w:pPr>
        <w:pStyle w:val="NumberedParagraph"/>
      </w:pPr>
      <w:r>
        <w:t xml:space="preserve">27.</w:t>
      </w:r>
      <w:r>
        <w:tab/>
      </w:r>
      <w:r>
        <w:t xml:space="preserve">By obtaining, collecting, and storing Plaintiff’s and Class members’ PII, Defendants assumed legal and equitable duties and knew or should have known that it was responsible for protecting Plaintiff’s and Class members’ PII from disclosure.</w:t>
      </w:r>
    </w:p>
    <w:p>
      <w:pPr>
        <w:pStyle w:val="NumberedParagraph"/>
      </w:pPr>
      <w:r>
        <w:t xml:space="preserve">28.</w:t>
      </w:r>
      <w:r>
        <w:tab/>
      </w:r>
      <w:r>
        <w:t xml:space="preserve">Plaintiff and Class members relied on Defendants to keep their PII confidential and securely maintained, to use this information for business purposes only, and to make only authorized disclosures of this information.</w:t>
      </w:r>
    </w:p>
    <w:p>
      <w:pPr>
        <w:pStyle w:val="NumberedParagraph"/>
      </w:pPr>
      <w:r>
        <w:t xml:space="preserve">29.</w:t>
      </w:r>
      <w:r>
        <w:tab/>
      </w:r>
      <w:r>
        <w:t xml:space="preserve">Defendants had a duty to adopt reasonable measures to protect Plaintiff’s and Class members’ PII from involuntary disclosure to third parties.</w:t>
      </w:r>
    </w:p>
    <w:p>
      <w:pPr>
        <w:pStyle w:val="CourtNote"/>
      </w:pPr>
      <w:r>
        <w:rPr>
          <w:i/>
          <w:iCs/>
        </w:rPr>
        <w:t xml:space="preserve">[Paragraphs 30 and 31 of the filing, on the encryption and deletion of PII before the incident, are omitted from this transcription.]</w:t>
      </w:r>
    </w:p>
    <w:p>
      <w:pPr>
        <w:pStyle w:val="NumberedParagraph"/>
      </w:pPr>
      <w:r>
        <w:t xml:space="preserve">30.</w:t>
      </w:r>
      <w:r>
        <w:tab/>
      </w:r>
      <w:r>
        <w:t xml:space="preserve">On or about October 25, 2025, an intruder gained unauthorized access to Defendants’ database.</w:t>
      </w:r>
    </w:p>
    <w:p>
      <w:pPr>
        <w:pStyle w:val="NumberedParagraph"/>
      </w:pPr>
      <w:r>
        <w:t xml:space="preserve">31.</w:t>
      </w:r>
      <w:r>
        <w:tab/>
      </w:r>
      <w:r>
        <w:t xml:space="preserve">On or about May 8, 2026, Defendants mailed Plaintiff and the Class members a form notice attempting to minimize the Data Breach Incident, while admitting that sensitive PII had been compromised and stolen, including names, Social Security numbers, driver’s license numbers or state identification numbers, and passport numbers.</w:t>
      </w:r>
    </w:p>
    <w:p>
      <w:pPr>
        <w:pStyle w:val="CourtNote"/>
      </w:pPr>
      <w:r>
        <w:rPr>
          <w:i/>
          <w:iCs/>
        </w:rPr>
        <w:t xml:space="preserve">[Paragraphs 34 to 39 of the filing are omitted from this transcription.]</w:t>
      </w:r>
    </w:p>
    <w:p>
      <w:pPr>
        <w:pStyle w:val="NumberedParagraph"/>
      </w:pPr>
      <w:r>
        <w:t xml:space="preserve">32.</w:t>
      </w:r>
      <w:r>
        <w:tab/>
      </w:r>
      <w:r>
        <w:t xml:space="preserve">The ramifications of Defendants’ failure to keep secure Plaintiff’s and the Class members’ PII are long-lasting and severe. Once PII is stolen, particularly Social Security numbers, fraudulent use of that information and damage to victims may continue for years.</w:t>
      </w:r>
    </w:p>
    <w:p>
      <w:pPr>
        <w:pStyle w:val="NumberedParagraph"/>
      </w:pPr>
      <w:r>
        <w:t xml:space="preserve">33.</w:t>
      </w:r>
      <w:r>
        <w:tab/>
      </w:r>
      <w:r>
        <w:t xml:space="preserve">Social Security numbers, for example, are among the most sensitive kind of personal information to have stolen because they may be put to a variety of fraudulent uses and are difficult for an individual to change.</w:t>
      </w:r>
    </w:p>
    <w:p>
      <w:pPr>
        <w:pStyle w:val="NumberedParagraph"/>
      </w:pPr>
      <w:r>
        <w:t xml:space="preserve">34.</w:t>
      </w:r>
      <w:r>
        <w:tab/>
      </w:r>
      <w:r>
        <w:t xml:space="preserve">Even more problematic, it is no easy task to change or cancel a stolen Social Security number. An individual cannot obtain a new Social Security number without significant paperwork and evidence of actual misuse. In other words, preventive action to defend against the possibility of misuse of a Social Security number is not permitted; an individual must show evidence of actual, ongoing fraud activity to obtain a new number.</w:t>
      </w:r>
    </w:p>
    <w:p>
      <w:pPr>
        <w:pStyle w:val="NumberedParagraph"/>
      </w:pPr>
      <w:r>
        <w:t xml:space="preserve">35.</w:t>
      </w:r>
      <w:r>
        <w:tab/>
      </w:r>
      <w:r>
        <w:t xml:space="preserve">The PII of Plaintiff and the Class members was stolen to engage in identity theft and/or to sell it to criminals who will purchase the PII for that purpose.</w:t>
      </w:r>
    </w:p>
    <w:p>
      <w:pPr>
        <w:pStyle w:val="CourtNote"/>
      </w:pPr>
      <w:r>
        <w:rPr>
          <w:i/>
          <w:iCs/>
        </w:rPr>
        <w:t xml:space="preserve">[Paragraphs 44 to 48 of the filing are omitted from this transcription.]</w:t>
      </w:r>
    </w:p>
    <w:p>
      <w:pPr>
        <w:pStyle w:val="NumberedParagraph"/>
      </w:pPr>
      <w:r>
        <w:t xml:space="preserve">36.</w:t>
      </w:r>
      <w:r>
        <w:tab/>
      </w:r>
      <w:r>
        <w:t xml:space="preserve">Plaintiff has suffered and will continue to suffer a substantial risk of imminent identity theft and financial fraud; emotional anguish and distress resulting from the Data Breach Incident, including stress and damages about the years of identity fraud Plaintiff faces; and increased time spent reviewing financial statements and credit reports to determine whether there has been fraudulent activity on any of his accounts.</w:t>
      </w:r>
    </w:p>
    <w:p>
      <w:pPr>
        <w:pStyle w:val="NumberedParagraph"/>
      </w:pPr>
      <w:r>
        <w:t xml:space="preserve">37.</w:t>
      </w:r>
      <w:r>
        <w:tab/>
      </w:r>
      <w:r>
        <w:t xml:space="preserve">Plaintiff has a continuing interest in ensuring that his PII, which, upon information and belief, remains backed up in Defendants’ possession, is protected and safeguarded from future breaches.</w:t>
      </w:r>
    </w:p>
    <w:bookmarkEnd w:id="23"/>
    <w:bookmarkStart w:id="27" w:name="class-allegations"/>
    <w:p>
      <w:pPr>
        <w:pStyle w:val="Heading1"/>
      </w:pPr>
      <w:r>
        <w:t xml:space="preserve">CLASS ALLEGATIONS</w:t>
      </w:r>
    </w:p>
    <w:bookmarkStart w:id="24" w:name="proposed-class"/>
    <w:p>
      <w:pPr>
        <w:pStyle w:val="Heading2"/>
      </w:pPr>
      <w:r>
        <w:t xml:space="preserve">Proposed Class</w:t>
      </w:r>
    </w:p>
    <w:p>
      <w:pPr>
        <w:pStyle w:val="NumberedParagraph"/>
      </w:pPr>
      <w:r>
        <w:t xml:space="preserve">38.</w:t>
      </w:r>
      <w:r>
        <w:tab/>
      </w:r>
      <w:r>
        <w:t xml:space="preserve">Plaintiff brings this lawsuit as a class action on behalf of himself individually and on behalf of all other similarly situated persons as a class action pursuant to Federal Rule of Civil Procedure 23(a), 23(b)(1), 23(b)(2), 23(b)(3), 23(c)(4) and 23(c)(5). The “Class” that Plaintiff seeks to represent is defined as: All persons whose PII was accessed and/or exfiltrated during the Data Breach Incident.</w:t>
      </w:r>
    </w:p>
    <w:p>
      <w:pPr>
        <w:pStyle w:val="NumberedParagraph"/>
      </w:pPr>
      <w:r>
        <w:t xml:space="preserve">39.</w:t>
      </w:r>
      <w:r>
        <w:tab/>
      </w:r>
      <w:r>
        <w:t xml:space="preserve">Defendants and its employees or agents are excluded from the Class.</w:t>
      </w:r>
    </w:p>
    <w:bookmarkEnd w:id="24"/>
    <w:bookmarkStart w:id="25" w:name="numerosity"/>
    <w:p>
      <w:pPr>
        <w:pStyle w:val="Heading2"/>
      </w:pPr>
      <w:r>
        <w:t xml:space="preserve">Numerosity</w:t>
      </w:r>
    </w:p>
    <w:p>
      <w:pPr>
        <w:pStyle w:val="NumberedParagraph"/>
      </w:pPr>
      <w:r>
        <w:t xml:space="preserve">40.</w:t>
      </w:r>
      <w:r>
        <w:tab/>
      </w:r>
      <w:r>
        <w:t xml:space="preserve">The Data Breach Incident has impacted several thousand persons. The members of the Class, therefore, are believed to be so numerous that joinder of all members is impracticable.</w:t>
      </w:r>
    </w:p>
    <w:p>
      <w:pPr>
        <w:pStyle w:val="NumberedParagraph"/>
      </w:pPr>
      <w:r>
        <w:t xml:space="preserve">41.</w:t>
      </w:r>
      <w:r>
        <w:tab/>
      </w:r>
      <w:r>
        <w:t xml:space="preserve">Identification of the Class members is a matter capable of ministerial determination from Defendants’ records.</w:t>
      </w:r>
    </w:p>
    <w:bookmarkEnd w:id="25"/>
    <w:bookmarkStart w:id="26" w:name="common-questions-of-law-and-fact"/>
    <w:p>
      <w:pPr>
        <w:pStyle w:val="Heading2"/>
      </w:pPr>
      <w:r>
        <w:t xml:space="preserve">Common Questions of Law and Fact</w:t>
      </w:r>
    </w:p>
    <w:p>
      <w:pPr>
        <w:pStyle w:val="NumberedParagraph"/>
      </w:pPr>
      <w:r>
        <w:t xml:space="preserve">42.</w:t>
      </w:r>
      <w:r>
        <w:tab/>
      </w:r>
      <w:r>
        <w:t xml:space="preserve">There are numerous questions of law and fact common to the Class which predominate over any questions affecting only individual members of the Class. Among the questions of law and fact common to the Class are:</w:t>
      </w:r>
    </w:p>
    <w:p>
      <w:pPr>
        <w:pStyle w:val="CourtList"/>
      </w:pPr>
      <w:r>
        <w:t xml:space="preserve">(a)</w:t>
      </w:r>
      <w:r>
        <w:tab/>
      </w:r>
      <w:r>
        <w:t xml:space="preserve">Whether and to what extent Defendants had a duty to protect the PII of Plaintiff and Class members;</w:t>
      </w:r>
    </w:p>
    <w:p>
      <w:pPr>
        <w:pStyle w:val="CourtList"/>
      </w:pPr>
      <w:r>
        <w:t xml:space="preserve">(b)</w:t>
      </w:r>
      <w:r>
        <w:tab/>
      </w:r>
      <w:r>
        <w:t xml:space="preserve">Whether Defendants failed to adequately safeguard the PII of Plaintiff and Class members;</w:t>
      </w:r>
    </w:p>
    <w:p>
      <w:pPr>
        <w:pStyle w:val="CourtList"/>
      </w:pPr>
      <w:r>
        <w:t xml:space="preserve">(c)</w:t>
      </w:r>
      <w:r>
        <w:tab/>
      </w:r>
      <w:r>
        <w:t xml:space="preserve">When Defendants actually learned of the Data Incident;</w:t>
      </w:r>
    </w:p>
    <w:p>
      <w:pPr>
        <w:pStyle w:val="CourtList"/>
      </w:pPr>
      <w:r>
        <w:t xml:space="preserve">(d)</w:t>
      </w:r>
      <w:r>
        <w:tab/>
      </w:r>
      <w:r>
        <w:t xml:space="preserve">Whether Defendants adequately, promptly, and accurately informed Plaintiff and Class members that their PII had been compromised.</w:t>
      </w:r>
    </w:p>
    <w:p>
      <w:pPr>
        <w:pStyle w:val="CourtNote"/>
      </w:pPr>
      <w:r>
        <w:rPr>
          <w:i/>
          <w:iCs/>
        </w:rPr>
        <w:t xml:space="preserve">[The remaining items (5 to 8) of the common-questions list, and paragraphs 56 to 60 of the filing, are omitted from this transcription.]</w:t>
      </w:r>
    </w:p>
    <w:bookmarkEnd w:id="26"/>
    <w:bookmarkEnd w:id="27"/>
    <w:bookmarkStart w:id="29" w:name="count-i"/>
    <w:p>
      <w:pPr>
        <w:pStyle w:val="Heading1"/>
      </w:pPr>
      <w:r>
        <w:t xml:space="preserve">COUNT I</w:t>
      </w:r>
    </w:p>
    <w:bookmarkStart w:id="28" w:name="Xc02f4442e50843677fd326d0475719b6af73fa1"/>
    <w:p>
      <w:pPr>
        <w:pStyle w:val="Heading2"/>
      </w:pPr>
      <w:r>
        <w:t xml:space="preserve">Negligence (On Behalf of Plaintiff and the Class)</w:t>
      </w:r>
    </w:p>
    <w:p>
      <w:pPr>
        <w:pStyle w:val="NumberedParagraph"/>
      </w:pPr>
      <w:r>
        <w:t xml:space="preserve">43.</w:t>
      </w:r>
      <w:r>
        <w:tab/>
      </w:r>
      <w:r>
        <w:t xml:space="preserve">Plaintiff incorporates paragraphs 1–60 above as if fully set forth herein.</w:t>
      </w:r>
    </w:p>
    <w:p>
      <w:pPr>
        <w:pStyle w:val="NumberedParagraph"/>
      </w:pPr>
      <w:r>
        <w:t xml:space="preserve">44.</w:t>
      </w:r>
      <w:r>
        <w:tab/>
      </w:r>
      <w:r>
        <w:t xml:space="preserve">Plaintiff brings this claim on behalf of Plaintiff and the Class.</w:t>
      </w:r>
    </w:p>
    <w:p>
      <w:pPr>
        <w:pStyle w:val="NumberedParagraph"/>
      </w:pPr>
      <w:r>
        <w:t xml:space="preserve">45.</w:t>
      </w:r>
      <w:r>
        <w:tab/>
      </w:r>
      <w:r>
        <w:t xml:space="preserve">Defendants collected, stored, used, and benefited from the non-public PII of Plaintiff and Class members in connection with their application for, employment in, and separation from Defendants’ transportation logistics operations.</w:t>
      </w:r>
    </w:p>
    <w:p>
      <w:pPr>
        <w:pStyle w:val="NumberedParagraph"/>
      </w:pPr>
      <w:r>
        <w:t xml:space="preserve">46.</w:t>
      </w:r>
      <w:r>
        <w:tab/>
      </w:r>
      <w:r>
        <w:t xml:space="preserve">Defendants had full knowledge of the sensitivity of the PII and the types of harm that Plaintiff and Class members could and would suffer if the PII were wrongfully disclosed.</w:t>
      </w:r>
    </w:p>
    <w:p>
      <w:pPr>
        <w:pStyle w:val="NumberedParagraph"/>
      </w:pPr>
      <w:r>
        <w:t xml:space="preserve">47.</w:t>
      </w:r>
      <w:r>
        <w:tab/>
      </w:r>
      <w:r>
        <w:t xml:space="preserve">By collecting, storing, and using Plaintiff’s and Class members’ PII, Defendants owed a duty to Plaintiff and Class members to exercise reasonable care in obtaining, securing, deleting, protecting, and safeguarding the sensitive PII.</w:t>
      </w:r>
    </w:p>
    <w:p>
      <w:pPr>
        <w:pStyle w:val="NumberedParagraph"/>
      </w:pPr>
      <w:r>
        <w:t xml:space="preserve">48.</w:t>
      </w:r>
      <w:r>
        <w:tab/>
      </w:r>
      <w:r>
        <w:t xml:space="preserve">Defendants owed a duty to prevent the PII it received from being compromised, lost, stolen, accessed, and misused by unauthorized persons.</w:t>
      </w:r>
    </w:p>
    <w:p>
      <w:pPr>
        <w:pStyle w:val="NumberedParagraph"/>
      </w:pPr>
      <w:r>
        <w:t xml:space="preserve">49.</w:t>
      </w:r>
      <w:r>
        <w:tab/>
      </w:r>
      <w:r>
        <w:t xml:space="preserve">Defendants was required to prevent foreseeable harm to Plaintiff and Class members, and therefore had a duty to take adequate and reasonable steps to safeguard their sensitive PII from unauthorized release or theft.</w:t>
      </w:r>
    </w:p>
    <w:p>
      <w:pPr>
        <w:pStyle w:val="NumberedParagraph"/>
      </w:pPr>
      <w:r>
        <w:t xml:space="preserve">50.</w:t>
      </w:r>
      <w:r>
        <w:tab/>
      </w:r>
      <w:r>
        <w:t xml:space="preserve">This duty included: (1) designing, maintaining, and testing its data security systems, data storage architecture, and data security protocols to ensure Plaintiff’s and Class members’ PII in its possession was adequately secured and protected; (2) implementing processes that would detect an unauthorized breach of its security systems and data storage architecture in a timely and adequate manner; (3) timely acting on all warnings and alerts, including public information, regarding its security vulnerabilities and potential compromise of the PII of Plaintiff and Class members; and (4) maintaining data security measurers consistent with industry standards and applicable federal and state laws and other requirements.</w:t>
      </w:r>
    </w:p>
    <w:p>
      <w:pPr>
        <w:pStyle w:val="CourtNote"/>
      </w:pPr>
      <w:r>
        <w:rPr>
          <w:i/>
          <w:iCs/>
        </w:rPr>
        <w:t xml:space="preserve">[Paragraphs 69 to 76 of the filing are omitted from this transcription.]</w:t>
      </w:r>
    </w:p>
    <w:p>
      <w:pPr>
        <w:pStyle w:val="NumberedParagraph"/>
      </w:pPr>
      <w:r>
        <w:t xml:space="preserve">51.</w:t>
      </w:r>
      <w:r>
        <w:tab/>
      </w:r>
      <w:r>
        <w:t xml:space="preserve">Defendants breached these duties through the conduct alleged herein by, including without limitation, failing to protect the PII in its possession; failing to maintain adequate computer systems and allowing unauthorized access to and exfiltration of Plaintiff’s and Class members’ PII; failing to disclose the material fact that Defendants’ computer systems and data security practices were inadequate to safeguard the PII in its possession from theft; and failing to disclose in a timely and accurate manner to Plaintiff and Class members the material fact of the Data Breach.</w:t>
      </w:r>
    </w:p>
    <w:p>
      <w:pPr>
        <w:pStyle w:val="NumberedParagraph"/>
      </w:pPr>
      <w:r>
        <w:t xml:space="preserve">52.</w:t>
      </w:r>
      <w:r>
        <w:tab/>
      </w:r>
      <w:r>
        <w:t xml:space="preserve">But for Defendants’ wrongful and negligent breach of its duties owed to Plaintiff and Class members, their PII would not have been compromised.</w:t>
      </w:r>
    </w:p>
    <w:p>
      <w:pPr>
        <w:pStyle w:val="NumberedParagraph"/>
      </w:pPr>
      <w:r>
        <w:t xml:space="preserve">53.</w:t>
      </w:r>
      <w:r>
        <w:tab/>
      </w:r>
      <w:r>
        <w:t xml:space="preserve">As a direct and proximate result of Defendants’ failure to exercise adequate and reasonable care and use commercially adequate and reasonable security measures, the PII of Plaintiff and Class members were accessed by ill-intentioned individuals who could and will use the information to commit identity or financial fraud.</w:t>
      </w:r>
    </w:p>
    <w:p>
      <w:pPr>
        <w:pStyle w:val="CourtNote"/>
      </w:pPr>
      <w:r>
        <w:rPr>
          <w:i/>
          <w:iCs/>
        </w:rPr>
        <w:t xml:space="preserve">[Paragraphs 80 to 85 of the filing are omitted from this transcription.]</w:t>
      </w:r>
    </w:p>
    <w:p>
      <w:pPr>
        <w:pStyle w:val="NumberedParagraph"/>
      </w:pPr>
      <w:r>
        <w:t xml:space="preserve">54.</w:t>
      </w:r>
      <w:r>
        <w:tab/>
      </w:r>
      <w:r>
        <w:t xml:space="preserve">As a direct and proximate result of Defendants’ negligence as alleged above, Plaintiff and Class members have suffered, will suffer, or are at increased risk of suffering: (a) the compromise, publication, theft and/or unauthorized use of their PII; (b) unauthorized use and misuse of their PII; (c) the loss of the opportunity to control how their PII are used; (d) out-of-pocket costs associated with the prevention, detection, recovery and remediation from identity theft or fraud; (e) lost opportunity costs and lost wages and time associated with efforts expended and the loss of productivity from addressing and attempting to mitigate the actual and future consequences of the Data Breach Incident; (f) the imminent and certain impending injury flowing from potential fraud and identity theft posed by their PII being placed in the hands of criminals; (g) the continued risk to their PII that is subject to further breaches so long as Defendants fails to undertake appropriate measures to protect the PII in Defendants’ possession; (h) current and future costs in terms of time, effort and money that will be expended to prevent, detect, contest, remediate and repair the impact of the Data Breach Incident for the remainder of the lives of Plaintiff and Class members; (i) loss of privacy; and (j) emotional distress and anguish related to the years of potential identity theft they face.</w:t>
      </w:r>
    </w:p>
    <w:p>
      <w:pPr>
        <w:pStyle w:val="NumberedParagraph"/>
      </w:pPr>
      <w:r>
        <w:t xml:space="preserve">55.</w:t>
      </w:r>
      <w:r>
        <w:tab/>
      </w:r>
      <w:r>
        <w:t xml:space="preserve">As a direct and proximate result of Defendants’ negligence, Plaintiff and Class members have suffered, and continue to suffer, damages arising from the Data Breach as described herein and are entitled to compensatory, consequential, and punitive damages in an amount to be proven at trial.</w:t>
      </w:r>
    </w:p>
    <w:bookmarkEnd w:id="28"/>
    <w:bookmarkEnd w:id="29"/>
    <w:bookmarkStart w:id="30" w:name="prayer-for-relief"/>
    <w:p>
      <w:pPr>
        <w:pStyle w:val="Heading1"/>
      </w:pPr>
      <w:r>
        <w:t xml:space="preserve">PRAYER FOR RELIEF</w:t>
      </w:r>
    </w:p>
    <w:p>
      <w:pPr>
        <w:pStyle w:val="NumberedParagraph"/>
      </w:pPr>
      <w:r>
        <w:t xml:space="preserve">56.</w:t>
      </w:r>
      <w:r>
        <w:tab/>
      </w:r>
      <w:r>
        <w:t xml:space="preserve">WHEREFORE, Plaintiff, individually and on behalf of the Class, prays for the following relief:</w:t>
      </w:r>
    </w:p>
    <w:p>
      <w:pPr>
        <w:pStyle w:val="CourtList"/>
      </w:pPr>
      <w:r>
        <w:t xml:space="preserve">(a)</w:t>
      </w:r>
      <w:r>
        <w:tab/>
      </w:r>
      <w:r>
        <w:t xml:space="preserve">An order certifying this case as a class action on behalf of the Class as defined above, and appointing Plaintiff as the representative of the Class and Plaintiff’s counsel as Class Counsel;</w:t>
      </w:r>
    </w:p>
    <w:p>
      <w:pPr>
        <w:pStyle w:val="CourtList"/>
      </w:pPr>
      <w:r>
        <w:t xml:space="preserve">(b)</w:t>
      </w:r>
      <w:r>
        <w:tab/>
      </w:r>
      <w:r>
        <w:t xml:space="preserve">Equitable relief enjoining Defendants from engaging in the wrongful conduct complained of herein pertaining to the misuse and/or disclosure of Plaintiff’s and the Class members’ PII, and from refusing to issue prompt, complete, and accurate disclosures to Plaintiff and the Class members;</w:t>
      </w:r>
    </w:p>
    <w:p>
      <w:pPr>
        <w:pStyle w:val="CourtList"/>
      </w:pPr>
      <w:r>
        <w:t xml:space="preserve">(c)</w:t>
      </w:r>
      <w:r>
        <w:tab/>
      </w:r>
      <w:r>
        <w:t xml:space="preserve">Injunctive relief, including but not limited to, injunctive and other equitable relief as is necessary to protect the interests of Plaintiff and Class members, including but not limited to an order: (1) requiring Defendants to protect, including through encryption, all data collected through the course of its business in accordance with all applicable regulations, industry standards, and federal, state or local laws; (2) requiring Defendants to delete, destroy, and purge the personal identifying information of Plaintiff and Class members unless Defendants can provide to the Court reasonable justification for the retention and use of such information when weighed against the privacy interests of Plaintiff and Class members; (3) requiring Defendants to implement and maintain a comprehensive Information Security Program designed to protect the confidentiality and integrity of the personal identifying information of Plaintiff and Class Member’s personal identifying information; (4) prohibiting Defendants from maintaining Plaintiff’s and Class members’ personal identifying information on a cloud-based database; [sub-items (5) to (16) of the filing are omitted from this transcription];</w:t>
      </w:r>
    </w:p>
    <w:p>
      <w:pPr>
        <w:pStyle w:val="CourtList"/>
      </w:pPr>
      <w:r>
        <w:t xml:space="preserve">(d)</w:t>
      </w:r>
      <w:r>
        <w:tab/>
      </w:r>
      <w:r>
        <w:t xml:space="preserve">For an award of damages, including actual, consequential, and nominal damages, as allowed by law in an amount to be determined;</w:t>
      </w:r>
    </w:p>
    <w:p>
      <w:pPr>
        <w:pStyle w:val="CourtList"/>
      </w:pPr>
      <w:r>
        <w:t xml:space="preserve">(e)</w:t>
      </w:r>
      <w:r>
        <w:tab/>
      </w:r>
      <w:r>
        <w:t xml:space="preserve">For an award of attorneys’ fees, costs, and litigation expenses, as allowed by law;</w:t>
      </w:r>
    </w:p>
    <w:p>
      <w:pPr>
        <w:pStyle w:val="CourtList"/>
      </w:pPr>
      <w:r>
        <w:t xml:space="preserve">(f)</w:t>
      </w:r>
      <w:r>
        <w:tab/>
      </w:r>
      <w:r>
        <w:t xml:space="preserve">For prejudgment interest on all amounts awarded; and</w:t>
      </w:r>
    </w:p>
    <w:p>
      <w:pPr>
        <w:pStyle w:val="CourtList"/>
      </w:pPr>
      <w:r>
        <w:t xml:space="preserve">(g)</w:t>
      </w:r>
      <w:r>
        <w:tab/>
      </w:r>
      <w:r>
        <w:t xml:space="preserve">Such other and further relief as this Court may deem just and proper.</w:t>
      </w:r>
    </w:p>
    <w:bookmarkEnd w:id="30"/>
    <w:bookmarkStart w:id="31" w:name="jury-demand"/>
    <w:p>
      <w:pPr>
        <w:pStyle w:val="Heading1"/>
      </w:pPr>
      <w:r>
        <w:t xml:space="preserve">JURY DEMAND</w:t>
      </w:r>
    </w:p>
    <w:p>
      <w:pPr>
        <w:pStyle w:val="NumberedParagraph"/>
      </w:pPr>
      <w:r>
        <w:t xml:space="preserve">57.</w:t>
      </w:r>
      <w:r>
        <w:tab/>
      </w:r>
      <w:r>
        <w:t xml:space="preserve">Plaintiff, individually and on behalf of the Class, hereby demand a trial by jury.</w:t>
      </w:r>
    </w:p>
    <w:p>
      <w:pPr>
        <w:pStyle w:val="CourtCaption"/>
        <w:spacing w:before="0" w:after="480" w:line="240" w:lineRule="auto"/>
      </w:pPr>
      <w:r>
        <w:t xml:space="preserve">DATED: May 13, 2026</w:t>
      </w:r>
    </w:p>
    <w:p>
      <w:pPr>
        <w:pStyle w:val="CourtSignature"/>
      </w:pPr>
      <w:r>
        <w:t xml:space="preserve">Respectfully submitted,</w:t>
      </w:r>
    </w:p>
    <w:p>
      <w:pPr>
        <w:pStyle w:val="CourtSignature"/>
        <w:spacing w:before="240" w:after="120" w:line="240" w:lineRule="auto"/>
      </w:pPr>
      <w:r>
        <w:rPr>
          <w:b/>
        </w:rPr>
        <w:t xml:space="preserve">ONDERLAW, LLC</w:t>
      </w:r>
    </w:p>
    <w:p>
      <w:pPr>
        <w:pStyle w:val="CourtSignature"/>
      </w:pPr>
      <w:r>
        <w:t xml:space="preserve">/s/ Martin L. Daesch</w:t>
      </w:r>
    </w:p>
    <w:p>
      <w:pPr>
        <w:pStyle w:val="CourtSignature"/>
      </w:pPr>
      <w:r>
        <w:t xml:space="preserve">Martin L. Daesch, #40494</w:t>
      </w:r>
    </w:p>
    <w:p>
      <w:pPr>
        <w:pStyle w:val="CourtSignature"/>
      </w:pPr>
      <w:r>
        <w:t xml:space="preserve">110 E. Lockwood Ave.</w:t>
      </w:r>
    </w:p>
    <w:p>
      <w:pPr>
        <w:pStyle w:val="CourtSignature"/>
      </w:pPr>
      <w:r>
        <w:t xml:space="preserve">St. Louis, MO 63119</w:t>
      </w:r>
    </w:p>
    <w:p>
      <w:pPr>
        <w:pStyle w:val="CourtSignature"/>
      </w:pPr>
      <w:r>
        <w:t xml:space="preserve">314.963.9000</w:t>
      </w:r>
    </w:p>
    <w:p>
      <w:pPr>
        <w:pStyle w:val="CourtSignature"/>
      </w:pPr>
      <w:r>
        <w:t xml:space="preserve">daesch@onderlaw.com</w:t>
      </w:r>
    </w:p>
    <w:p>
      <w:pPr>
        <w:pStyle w:val="CourtSignature"/>
        <w:spacing w:before="240" w:after="120" w:line="240" w:lineRule="auto"/>
      </w:pPr>
      <w:r>
        <w:rPr>
          <w:b/>
        </w:rPr>
        <w:t xml:space="preserve">DAPEER LAW, P.A.</w:t>
      </w:r>
    </w:p>
    <w:p>
      <w:pPr>
        <w:pStyle w:val="CourtSignature"/>
      </w:pPr>
      <w:r>
        <w:t xml:space="preserve">Rachel Dapeer</w:t>
      </w:r>
    </w:p>
    <w:p>
      <w:pPr>
        <w:pStyle w:val="CourtSignature"/>
      </w:pPr>
      <w:r>
        <w:t xml:space="preserve">Florida Bar No. 108039</w:t>
      </w:r>
    </w:p>
    <w:p>
      <w:pPr>
        <w:pStyle w:val="CourtSignature"/>
      </w:pPr>
      <w:r>
        <w:t xml:space="preserve">520 S. Dixie Hwy, #240</w:t>
      </w:r>
    </w:p>
    <w:p>
      <w:pPr>
        <w:pStyle w:val="CourtSignature"/>
      </w:pPr>
      <w:r>
        <w:t xml:space="preserve">Hallandale Beach, FL 33009</w:t>
      </w:r>
    </w:p>
    <w:p>
      <w:pPr>
        <w:pStyle w:val="CourtSignature"/>
      </w:pPr>
      <w:r>
        <w:t xml:space="preserve">954.799.5914</w:t>
      </w:r>
    </w:p>
    <w:p>
      <w:pPr>
        <w:pStyle w:val="CourtSignature"/>
      </w:pPr>
      <w:r>
        <w:t xml:space="preserve">rachel@dapeer.com</w:t>
      </w:r>
    </w:p>
    <w:p>
      <w:pPr>
        <w:pStyle w:val="CourtSignature"/>
        <w:spacing w:before="240" w:after="120" w:line="240" w:lineRule="auto"/>
      </w:pPr>
      <w:r>
        <w:rPr>
          <w:i/>
        </w:rPr>
        <w:t xml:space="preserve">Attorneys for Plaintiff and the Proposed Class</w:t>
      </w:r>
    </w:p>
    <w:bookmarkEnd w:id="31"/>
    <w:sectPr>
      <w:footerReference r:id="rId9" w:type="default"/>
      <w:pgSz w:h="15840" w:w="12240"/>
      <w:pgMar w:bottom="1440" w:footer="720" w:gutter="0" w:header="720" w:left="1440" w:right="1440" w:top="144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widowControl/>
      <w:spacing w:after="0" w:before="0" w:line="240" w:lineRule="auto"/>
    </w:pPr>
    <w:rPr>
      <w:color w:val="000000"/>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tabs>
        <w:tab w:pos="1440" w:val="left"/>
      </w:tabs>
      <w:ind w:firstLine="720"/>
    </w:pPr>
  </w:style>
  <w:style w:customStyle="1" w:styleId="CourtList" w:type="paragraph">
    <w:name w:val="Court List"/>
    <w:basedOn w:val="BodyText"/>
    <w:qFormat/>
    <w:pPr>
      <w:tabs>
        <w:tab w:pos="1440" w:val="left"/>
      </w:tabs>
      <w:ind w:hanging="720" w:left="1440"/>
    </w:pPr>
  </w:style>
  <w:style w:customStyle="1" w:styleId="CourtNote" w:type="paragraph">
    <w:name w:val="Court Note"/>
    <w:basedOn w:val="Normal"/>
    <w:qFormat/>
    <w:pPr>
      <w:spacing w:after="480" w:before="480" w:line="240" w:lineRule="auto"/>
    </w:pPr>
  </w:style>
  <w:style w:customStyle="1" w:styleId="CourtCaption" w:type="paragraph">
    <w:name w:val="Court Caption"/>
    <w:basedOn w:val="Normal"/>
    <w:qFormat/>
    <w:pPr>
      <w:spacing w:after="120" w:before="0" w:line="240" w:lineRule="auto"/>
    </w:pPr>
  </w:style>
  <w:style w:customStyle="1" w:styleId="CourtCaptionDesignation" w:type="paragraph">
    <w:name w:val="Court Caption Designation"/>
    <w:basedOn w:val="CourtCaption"/>
    <w:qFormat/>
    <w:pPr>
      <w:ind w:left="720"/>
    </w:pPr>
  </w:style>
  <w:style w:customStyle="1" w:styleId="CourtTitleLine" w:type="paragraph">
    <w:name w:val="Court Title Line"/>
    <w:basedOn w:val="Normal"/>
    <w:qFormat/>
    <w:pPr>
      <w:keepNext/>
      <w:spacing w:after="0" w:before="0" w:line="280" w:lineRule="exact"/>
      <w:jc w:val="center"/>
    </w:pPr>
    <w:rPr>
      <w:b/>
    </w:rPr>
  </w:style>
  <w:style w:customStyle="1" w:styleId="CourtSignature" w:type="paragraph">
    <w:name w:val="Court Signature"/>
    <w:basedOn w:val="Normal"/>
    <w:qFormat/>
    <w:pPr>
      <w:spacing w:after="120" w:before="0" w:line="240" w:lineRule="auto"/>
      <w:ind w:left="4680"/>
    </w:pPr>
  </w:style>
  <w:style w:customStyle="1" w:styleId="CourtSignatureLine" w:type="paragraph">
    <w:name w:val="Court Signature Line"/>
    <w:basedOn w:val="CourtSignature"/>
    <w:qFormat/>
  </w:style>
  <w:style w:styleId="Heading1" w:type="paragraph">
    <w:name w:val="heading 1"/>
    <w:basedOn w:val="Normal"/>
    <w:next w:val="BodyText"/>
    <w:uiPriority w:val="9"/>
    <w:qFormat/>
    <w:pPr>
      <w:keepNext/>
      <w:keepLines/>
      <w:spacing w:after="0" w:before="480" w:line="480" w:lineRule="exact"/>
      <w:jc w:val="center"/>
      <w:outlineLvl w:val="0"/>
    </w:pPr>
    <w:rPr>
      <w:b/>
      <w:bCs/>
    </w:rPr>
  </w:style>
  <w:style w:styleId="Heading2" w:type="paragraph">
    <w:name w:val="heading 2"/>
    <w:basedOn w:val="Normal"/>
    <w:next w:val="BodyText"/>
    <w:uiPriority w:val="9"/>
    <w:unhideWhenUsed/>
    <w:qFormat/>
    <w:pPr>
      <w:keepNext/>
      <w:keepLines/>
      <w:spacing w:after="0" w:before="0" w:line="480" w:lineRule="exact"/>
      <w:jc w:val="center"/>
      <w:outlineLvl w:val="1"/>
    </w:pPr>
    <w:rPr>
      <w:b/>
      <w:bCs/>
    </w:rPr>
  </w:style>
  <w:style w:styleId="Heading3" w:type="paragraph">
    <w:name w:val="heading 3"/>
    <w:basedOn w:val="Normal"/>
    <w:next w:val="BodyText"/>
    <w:uiPriority w:val="9"/>
    <w:unhideWhenUsed/>
    <w:qFormat/>
    <w:pPr>
      <w:keepNext/>
      <w:keepLines/>
      <w:spacing w:after="0" w:before="0" w:line="480" w:lineRule="exact"/>
      <w:outlineLvl w:val="2"/>
    </w:pPr>
    <w:rPr>
      <w:b/>
      <w:bCs/>
    </w:rPr>
  </w:style>
  <w:style w:styleId="Heading4" w:type="paragraph">
    <w:name w:val="heading 4"/>
    <w:basedOn w:val="Heading3"/>
    <w:next w:val="BodyText"/>
    <w:uiPriority w:val="9"/>
    <w:unhideWhenUsed/>
    <w:qFormat/>
    <w:pPr>
      <w:outlineLvl w:val="3"/>
    </w:pPr>
    <w:rPr>
      <w:i/>
      <w:iCs/>
    </w:rPr>
  </w:style>
  <w:style w:customStyle="1" w:styleId="Heading1Char" w:type="character">
    <w:name w:val="Heading 1 Char"/>
    <w:basedOn w:val="DefaultParagraphFont"/>
    <w:rPr>
      <w:b/>
      <w:bCs/>
    </w:rPr>
  </w:style>
  <w:style w:customStyle="1" w:styleId="Heading2Char" w:type="character">
    <w:name w:val="Heading 2 Char"/>
    <w:basedOn w:val="DefaultParagraphFont"/>
    <w:rPr>
      <w:b/>
      <w:bCs/>
    </w:rPr>
  </w:style>
  <w:style w:customStyle="1" w:styleId="Heading3Char" w:type="character">
    <w:name w:val="Heading 3 Char"/>
    <w:basedOn w:val="DefaultParagraphFont"/>
    <w:rPr>
      <w:b/>
      <w:bCs/>
    </w:rPr>
  </w:style>
  <w:style w:styleId="Title" w:type="paragraph">
    <w:name w:val="Title"/>
    <w:basedOn w:val="Normal"/>
    <w:next w:val="BodyText"/>
    <w:qFormat/>
    <w:pPr>
      <w:jc w:val="center"/>
    </w:pPr>
    <w:rPr>
      <w:b/>
    </w:rPr>
  </w:style>
  <w:style w:styleId="BlockText" w:type="paragraph">
    <w:name w:val="Block Text"/>
    <w:basedOn w:val="BodyText"/>
    <w:next w:val="BodyText"/>
    <w:qFormat/>
    <w:pPr>
      <w:spacing w:line="240" w:lineRule="auto"/>
      <w:ind w:firstLine="0" w:left="720" w:right="720"/>
    </w:pPr>
  </w:style>
  <w:style w:styleId="FootnoteText" w:type="paragraph">
    <w:name w:val="footnote text"/>
    <w:basedOn w:val="Normal"/>
    <w:uiPriority w:val="99"/>
    <w:unhideWhenUsed/>
    <w:pPr>
      <w:spacing w:after="120" w:before="0" w:line="240" w:lineRule="auto"/>
    </w:pPr>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tabs>
        <w:tab w:pos="4680" w:val="center"/>
        <w:tab w:pos="9360" w:val="right"/>
      </w:tabs>
      <w:spacing w:after="0" w:before="0" w:line="240" w:lineRule="auto"/>
      <w:jc w:val="center"/>
    </w:pPr>
    <w:rPr>
      <w:sz w:val="24"/>
    </w:rPr>
  </w:style>
  <w:style w:styleId="Hyperlink" w:type="character">
    <w:name w:val="Hyperlink"/>
    <w:basedOn w:val="DefaultParagraphFont"/>
    <w:uiPriority w:val="99"/>
    <w:unhideWhenUsed/>
    <w:rPr>
      <w:color w:val="000000"/>
      <w:u w:val="single"/>
    </w:rPr>
  </w:style>
  <w:style w:styleId="Table" w:type="table">
    <w:name w:val="Table"/>
    <w:basedOn w:val="TableNormal"/>
    <w:tblPr>
      <w:tblBorders>
        <w:top w:color="auto" w:space="0" w:sz="4" w:val="single"/>
        <w:bottom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2026-10-15T09:24:43Z</dcterms:created>
  <dcterms:modified xsi:type="dcterms:W3CDTF">2026-10-15T09:24:43Z</dcterms:modified>
</cp:coreProperties>
</file>

<file path=docProps/custom.xml><?xml version="1.0" encoding="utf-8"?>
<Properties xmlns="http://schemas.openxmlformats.org/officeDocument/2006/custom-properties" xmlns:vt="http://schemas.openxmlformats.org/officeDocument/2006/docPropsVTypes"/>
</file>