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</w:rPr>
        <w:t xml:space="preserve">UNITED STATES BANKRUPTCY COURT</w:t>
      </w:r>
    </w:p>
    <w:p>
      <w:pPr>
        <w:spacing w:before="0" w:after="360" w:line="276" w:lineRule="exact"/>
        <w:ind w:left="0" w:firstLine="0"/>
        <w:jc w:val="center"/>
      </w:pPr>
      <w:r>
        <w:rPr>
          <w:b/>
        </w:rPr>
        <w:t xml:space="preserve">DISTRICT OF SOUTH DAKOTA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752"/>
        <w:gridCol w:w="432"/>
        <w:gridCol w:w="4176"/>
      </w:tblGrid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In re: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Bankr. No. 00-00000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Chapter 7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DEBTOR 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SSN xxx-xx-0000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fka EXAMPLE ALIAS 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DEBTOR TWO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SSN xxx-xx-1111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Debtors.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CREDIT UNION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Adv. No. 00-00001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SERVICING, LLC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Plaintiffs,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DEBTOR 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 One,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</w:pPr>
            <w:r>
              <w:t xml:space="preserve">EXAMPLE DEBTOR TWO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 Two.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</w:pPr>
          </w:p>
        </w:tc>
      </w:tr>
    </w:tbl>
    <w:p>
      <w:pPr>
        <w:spacing w:before="360" w:after="360" w:line="276" w:lineRule="exact"/>
        <w:ind w:left="0" w:firstLine="0"/>
        <w:jc w:val="center"/>
      </w:pPr>
      <w:r>
        <w:rPr>
          <w:b/>
        </w:rPr>
        <w:t xml:space="preserve">COMPLAINT TO DETERMINE DISCHARGEABILITY OF DEBTS (11 U.S.C. § 523(a)(2)(A) AND (a)(6))</w:t>
      </w:r>
    </w:p>
    <w:p>
      <w:pPr>
        <w:spacing w:before="0" w:after="240" w:line="276" w:lineRule="exact"/>
        <w:ind w:left="0" w:firstLine="0"/>
      </w:pPr>
      <w:r>
        <w:t xml:space="preserve">COME NOW Plaintiffs, by and through their attorney, EXAMPLE COUNSEL, to allege and complain as follows:</w:t>
      </w:r>
    </w:p>
    <w:bookmarkStart w:id="20" w:name="i.-parties-and-jurisdiction"/>
    <w:p>
      <w:pPr>
        <w:pStyle w:val="Heading1"/>
      </w:pPr>
      <w:r>
        <w:t xml:space="preserve">I. PARTIES AND JURISDICTION</w:t>
      </w:r>
    </w:p>
    <w:p>
      <w:pPr>
        <w:pStyle w:val="FirstParagraph"/>
      </w:pPr>
      <w:r>
        <w:t xml:space="preserve">1. Plaintiff EXAMPLE CREDIT UNION is a credit union organized under the laws of the State of South Dakota.</w:t>
      </w:r>
    </w:p>
    <w:p>
      <w:pPr>
        <w:pStyle w:val="BodyText"/>
      </w:pPr>
      <w:r>
        <w:t xml:space="preserve">2. Plaintiff EXAMPLE SERVICING, LLC is a limited liability company that services loans for Plaintiff EXAMPLE CREDIT UNION.</w:t>
      </w:r>
    </w:p>
    <w:p>
      <w:pPr>
        <w:pStyle w:val="BodyText"/>
      </w:pPr>
      <w:r>
        <w:t xml:space="preserve">3. Defendants filed a joint Chapter 7 petition on January 15, 2000, in this Court.</w:t>
      </w:r>
    </w:p>
    <w:p>
      <w:pPr>
        <w:pStyle w:val="BodyText"/>
      </w:pPr>
      <w:r>
        <w:t xml:space="preserve">4. This adversary proceeding arises under 11 U.S.C. §§ 523(a)(2)(A) and 523(a)(6) and is a core proceeding under 28 U.S.C. § 157(b)(2)(I).</w:t>
      </w:r>
    </w:p>
    <w:p>
      <w:pPr>
        <w:pStyle w:val="BodyText"/>
      </w:pPr>
      <w:r>
        <w:t xml:space="preserve">5. Plaintiffs do not consent to the entry of final orders or judgment by the bankruptcy court.</w:t>
      </w:r>
    </w:p>
    <w:bookmarkEnd w:id="20"/>
    <w:bookmarkStart w:id="21" w:name="X1a6eb564c57feffd2af79c4eda074b80d7825ef"/>
    <w:p>
      <w:pPr>
        <w:pStyle w:val="Heading1"/>
      </w:pPr>
      <w:r>
        <w:t xml:space="preserve">II. FIRST CLAIM FOR RELIEF: NONDISCHARGEABILITY UNDER 11 U.S.C. § 523(a)(2)(A)</w:t>
      </w:r>
    </w:p>
    <w:p>
      <w:pPr>
        <w:pStyle w:val="FirstParagraph"/>
      </w:pPr>
      <w:r>
        <w:t xml:space="preserve">6. Plaintiffs re-allege the preceding paragraphs.</w:t>
      </w:r>
    </w:p>
    <w:p>
      <w:pPr>
        <w:pStyle w:val="BodyText"/>
      </w:pPr>
      <w:r>
        <w:t xml:space="preserve">7. On or about March 3, 1999, Defendant One</w:t>
      </w:r>
      <w:r>
        <w:t xml:space="preserve"> </w:t>
      </w:r>
      <w:r>
        <w:rPr>
          <w:i/>
          <w:iCs/>
        </w:rPr>
        <w:t xml:space="preserve">represented in writing</w:t>
      </w:r>
      <w:r>
        <w:t xml:space="preserve"> </w:t>
      </w:r>
      <w:r>
        <w:t xml:space="preserve">that the household income stated on a loan application was accurate.</w:t>
      </w:r>
    </w:p>
    <w:p>
      <w:pPr>
        <w:pStyle w:val="BodyText"/>
      </w:pPr>
      <w:r>
        <w:t xml:space="preserve">8. The representation was false, and Defendant One knew it was false when it was made.</w:t>
      </w:r>
    </w:p>
    <w:p>
      <w:pPr>
        <w:pStyle w:val="BodyText"/>
      </w:pPr>
      <w:r>
        <w:t xml:space="preserve">9. Plaintiffs relied on the representation when they made the loan.</w:t>
      </w:r>
    </w:p>
    <w:p>
      <w:pPr>
        <w:pStyle w:val="BodyText"/>
      </w:pPr>
      <w:r>
        <w:t xml:space="preserve">10. The loan balance owed to Plaintiffs on the petition date was $12,345.67.</w:t>
      </w:r>
    </w:p>
    <w:p>
      <w:pPr>
        <w:pStyle w:val="BodyText"/>
      </w:pPr>
      <w:r>
        <w:t xml:space="preserve">11. The debt is excepted from discharge under 11 U.S.C. § 523(a)(2)(A).</w:t>
      </w:r>
    </w:p>
    <w:bookmarkEnd w:id="21"/>
    <w:bookmarkStart w:id="22" w:name="Xb7bf7d30a8aae5a5856cb4c37185765651e3c44"/>
    <w:p>
      <w:pPr>
        <w:pStyle w:val="Heading1"/>
      </w:pPr>
      <w:r>
        <w:t xml:space="preserve">III. SECOND CLAIM FOR RELIEF: NONDISCHARGEABILITY UNDER 11 U.S.C. § 523(a)(6)</w:t>
      </w:r>
    </w:p>
    <w:p>
      <w:pPr>
        <w:pStyle w:val="FirstParagraph"/>
      </w:pPr>
      <w:r>
        <w:t xml:space="preserve">12. Plaintiffs re-allege the preceding paragraphs.</w:t>
      </w:r>
    </w:p>
    <w:p>
      <w:pPr>
        <w:pStyle w:val="BodyText"/>
      </w:pPr>
      <w:r>
        <w:t xml:space="preserve">13. On or about June 9, 1999, Defendant Two intentionally damaged the collateral securing the loan described above.</w:t>
      </w:r>
    </w:p>
    <w:p>
      <w:pPr>
        <w:pStyle w:val="BodyText"/>
      </w:pPr>
      <w:r>
        <w:t xml:space="preserve">14. Defendant Two intended the damage and knew it would injure Plaintiffs’ interest in that collateral.</w:t>
      </w:r>
    </w:p>
    <w:p>
      <w:pPr>
        <w:pStyle w:val="BodyText"/>
      </w:pPr>
      <w:r>
        <w:t xml:space="preserve">15. Plaintiffs were injured in the amount of $4,000.00.</w:t>
      </w:r>
    </w:p>
    <w:p>
      <w:pPr>
        <w:pStyle w:val="BodyText"/>
      </w:pPr>
      <w:r>
        <w:t xml:space="preserve">16. The debt is excepted from discharge under 11 U.S.C. § 523(a)(6).</w:t>
      </w:r>
    </w:p>
    <w:bookmarkEnd w:id="22"/>
    <w:bookmarkStart w:id="23" w:name="prayer-for-relief"/>
    <w:p>
      <w:pPr>
        <w:pStyle w:val="Heading1"/>
      </w:pPr>
      <w:r>
        <w:t xml:space="preserve">PRAYER FOR RELIEF</w:t>
      </w:r>
    </w:p>
    <w:p>
      <w:pPr>
        <w:pStyle w:val="FirstParagraph"/>
      </w:pPr>
      <w:r>
        <w:t xml:space="preserve">WHEREFORE, Plaintiffs pray that the Court enter judgment as follows:</w:t>
      </w:r>
    </w:p>
    <w:p>
      <w:pPr>
        <w:pStyle w:val="Compact"/>
        <w:numPr>
          <w:ilvl w:val="0"/>
          <w:numId w:val="1001"/>
        </w:numPr>
      </w:pPr>
      <w:r>
        <w:t xml:space="preserve">Determining that the debt of Defendant One to Plaintiffs in the amount of $12,345.67 is excepted from discharge under 11 U.S.C. § 523(a)(2)(A);</w:t>
      </w:r>
    </w:p>
    <w:p>
      <w:pPr>
        <w:pStyle w:val="Compact"/>
        <w:numPr>
          <w:ilvl w:val="0"/>
          <w:numId w:val="1001"/>
        </w:numPr>
      </w:pPr>
      <w:r>
        <w:t xml:space="preserve">Determining that the debt of Defendant Two to Plaintiffs in the amount of $4,000.00 is excepted from discharge under 11 U.S.C. § 523(a)(6);</w:t>
      </w:r>
    </w:p>
    <w:p>
      <w:pPr>
        <w:pStyle w:val="Compact"/>
        <w:numPr>
          <w:ilvl w:val="0"/>
          <w:numId w:val="1001"/>
        </w:numPr>
      </w:pPr>
      <w:r>
        <w:t xml:space="preserve">Awarding Plaintiffs their costs of suit; and</w:t>
      </w:r>
    </w:p>
    <w:p>
      <w:pPr>
        <w:pStyle w:val="Compact"/>
        <w:numPr>
          <w:ilvl w:val="0"/>
          <w:numId w:val="1001"/>
        </w:numPr>
      </w:pPr>
      <w:r>
        <w:t xml:space="preserve">Granting such further relief as the Court deems just.</w:t>
      </w:r>
    </w:p>
    <w:p>
      <w:pPr>
        <w:keepNext/>
        <w:spacing w:before="360" w:after="0" w:line="276" w:lineRule="exact"/>
        <w:ind w:left="0" w:firstLine="0"/>
      </w:pPr>
      <w:r>
        <w:t xml:space="preserve">DATED </w:t>
      </w:r>
      <w:r>
        <w:t xml:space="preserve">January 1, 2001</w:t>
      </w:r>
      <w:r>
        <w:t xml:space="preserve">.</w:t>
      </w:r>
    </w:p>
    <w:p>
      <w:pPr>
        <w:keepNext/>
        <w:spacing w:before="360" w:after="0" w:line="276" w:lineRule="exact"/>
        <w:ind w:left="4680" w:firstLine="0"/>
      </w:pPr>
      <w:r>
        <w:t xml:space="preserve">/s/ </w:t>
      </w:r>
      <w:r>
        <w:t xml:space="preserve">Example Counsel</w:t>
      </w:r>
    </w:p>
    <w:p>
      <w:pPr>
        <w:keepNext/>
        <w:spacing w:before="0" w:after="0" w:line="276" w:lineRule="exact"/>
        <w:ind w:left="4680" w:firstLine="0"/>
      </w:pPr>
      <w:r>
        <w:t xml:space="preserve">Example Counsel</w:t>
      </w:r>
    </w:p>
    <w:p>
      <w:pPr>
        <w:keepNext/>
        <w:spacing w:before="0" w:after="0" w:line="276" w:lineRule="exact"/>
        <w:ind w:left="4680" w:firstLine="0"/>
      </w:pPr>
      <w:r>
        <w:t xml:space="preserve">Example Law Office</w:t>
      </w:r>
    </w:p>
    <w:p>
      <w:pPr>
        <w:keepNext/>
        <w:spacing w:before="0" w:after="0" w:line="276" w:lineRule="exact"/>
        <w:ind w:left="4680" w:firstLine="0"/>
      </w:pPr>
      <w:r>
        <w:t xml:space="preserve">100 Example Street</w:t>
      </w:r>
    </w:p>
    <w:p>
      <w:pPr>
        <w:keepNext/>
        <w:spacing w:before="0" w:after="0" w:line="276" w:lineRule="exact"/>
        <w:ind w:left="4680" w:firstLine="0"/>
      </w:pPr>
      <w:r>
        <w:t xml:space="preserve">Sioux Falls, SD 57101</w:t>
      </w:r>
    </w:p>
    <w:p>
      <w:pPr>
        <w:keepNext/>
        <w:spacing w:before="0" w:after="0" w:line="276" w:lineRule="exact"/>
        <w:ind w:left="4680" w:firstLine="0"/>
      </w:pPr>
      <w:r>
        <w:t xml:space="preserve">(605) 000-0000</w:t>
      </w:r>
    </w:p>
    <w:p>
      <w:pPr>
        <w:keepNext/>
        <w:spacing w:before="0" w:after="0" w:line="276" w:lineRule="exact"/>
        <w:ind w:left="4680" w:firstLine="0"/>
      </w:pPr>
      <w:r>
        <w:t xml:space="preserve">counsel@example.invalid</w:t>
      </w:r>
    </w:p>
    <w:p>
      <w:pPr>
        <w:spacing w:before="0" w:after="0" w:line="276" w:lineRule="exact"/>
        <w:ind w:left="4680" w:firstLine="0"/>
      </w:pPr>
      <w:r>
        <w:t xml:space="preserve">Attorneys for Plaintiffs</w:t>
      </w:r>
    </w:p>
    <w:bookmarkEnd w:id="23"/>
    <w:sectPr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rPr>
          <w:sz w:val="20"/>
          <w:szCs w:val="2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cs="EB Garamond" w:eastAsia="EB Garamond" w:hAnsi="EB Garamond"/>
        <w:color w:val="000000"/>
        <w:sz w:val="24"/>
        <w:szCs w:val="24"/>
        <w:lang w:bidi="ar-SA" w:eastAsia="en-US" w:val="en-US"/>
      </w:rPr>
    </w:rPrDefault>
    <w:pPrDefault>
      <w:pPr>
        <w:spacing w:after="0" w:before="0" w:line="276" w:lineRule="exact"/>
      </w:pPr>
    </w:pPrDefault>
  </w:docDefault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240" w:before="0"/>
      <w:ind w:firstLine="720"/>
    </w:pPr>
  </w:style>
  <w:style w:styleId="FirstParagraph" w:type="paragraph">
    <w:name w:val="First Paragraph"/>
    <w:basedOn w:val="BodyText"/>
    <w:next w:val="BodyText"/>
    <w:qFormat/>
  </w:style>
  <w:style w:customStyle="1" w:styleId="BodyTextKeepNext" w:type="paragraph">
    <w:name w:val="Body Text Keep Next"/>
    <w:basedOn w:val="BodyText"/>
    <w:qFormat/>
    <w:pPr>
      <w:keepNext/>
    </w:pPr>
  </w:style>
  <w:style w:styleId="Compact" w:type="paragraph">
    <w:name w:val="Compact"/>
    <w:basedOn w:val="BodyText"/>
    <w:qFormat/>
    <w:pPr>
      <w:spacing w:after="240" w:before="0"/>
      <w:ind w:firstLine="0"/>
    </w:p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360"/>
      <w:ind w:firstLine="0"/>
      <w:jc w:val="center"/>
      <w:outlineLvl w:val="0"/>
    </w:pPr>
    <w:rPr>
      <w:b/>
      <w:bCs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40" w:before="240"/>
      <w:ind w:firstLine="0"/>
      <w:outlineLvl w:val="1"/>
    </w:pPr>
    <w:rPr>
      <w:b/>
      <w:bCs/>
    </w:rPr>
  </w:style>
  <w:style w:styleId="FootnoteText" w:type="paragraph">
    <w:name w:val="footnote text"/>
    <w:basedOn w:val="Normal"/>
    <w:uiPriority w:val="99"/>
    <w:unhideWhenUsed/>
    <w:pPr>
      <w:spacing w:after="0" w:before="0" w:line="240" w:lineRule="auto"/>
      <w:ind w:firstLine="0"/>
    </w:pPr>
    <w:rPr>
      <w:sz w:val="20"/>
      <w:szCs w:val="20"/>
    </w:rPr>
  </w:style>
  <w:style w:styleId="FootnoteReference" w:type="character">
    <w:name w:val="footnote reference"/>
    <w:basedOn w:val="DefaultParagraphFont"/>
    <w:uiPriority w:val="99"/>
    <w:unhideWhenUsed/>
    <w:rPr>
      <w:vertAlign w:val="superscript"/>
    </w:rPr>
  </w:style>
  <w:style w:styleId="Hyperlink" w:type="character">
    <w:name w:val="Hyperlink"/>
    <w:basedOn w:val="DefaultParagraphFont"/>
    <w:uiPriority w:val="99"/>
    <w:unhideWhenUsed/>
    <w:rPr>
      <w:color w:val="000000"/>
      <w:u w:val="single"/>
    </w:rPr>
  </w:style>
  <w:style w:styleId="Footer" w:type="paragraph">
    <w:name w:val="footer"/>
    <w:basedOn w:val="Normal"/>
    <w:uiPriority w:val="99"/>
    <w:unhideWhenUsed/>
    <w:pPr>
      <w:spacing w:after="0" w:before="0" w:line="240" w:lineRule="auto"/>
      <w:ind w:firstLine="0"/>
      <w:jc w:val="center"/>
    </w:pPr>
    <w:rPr>
      <w:sz w:val="20"/>
      <w:szCs w:val="20"/>
    </w:rPr>
  </w:style>
  <w:style w:styleId="Table" w:type="table">
    <w:name w:val="Table"/>
    <w:basedOn w:val="TableNormal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2026-10-15T09:33:49Z</dcterms:created>
  <dcterms:modified xsi:type="dcterms:W3CDTF">2026-10-15T09:33:49Z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