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Philip</w:t>
      </w:r>
      <w:r>
        <w:t xml:space="preserve"> </w:t>
      </w:r>
      <w:r>
        <w:t xml:space="preserve">A.</w:t>
      </w:r>
      <w:r>
        <w:t xml:space="preserve"> </w:t>
      </w:r>
      <w:r>
        <w:t xml:space="preserve">Goldstein,</w:t>
      </w:r>
      <w:r>
        <w:t xml:space="preserve"> </w:t>
      </w:r>
      <w:r>
        <w:t xml:space="preserve">Esq.</w:t>
      </w:r>
    </w:p>
    <w:p>
      <w:pPr>
        <w:pStyle w:val="Single"/>
      </w:pPr>
      <w:r>
        <w:t xml:space="preserve">Shan</w:t>
      </w:r>
      <w:r>
        <w:t xml:space="preserve"> </w:t>
      </w:r>
      <w:r>
        <w:t xml:space="preserve">P.</w:t>
      </w:r>
      <w:r>
        <w:t xml:space="preserve"> </w:t>
      </w:r>
      <w:r>
        <w:t xml:space="preserve">Massand,</w:t>
      </w:r>
      <w:r>
        <w:t xml:space="preserve"> </w:t>
      </w:r>
      <w:r>
        <w:t xml:space="preserve">Esq.</w:t>
      </w:r>
    </w:p>
    <w:p>
      <w:pPr>
        <w:pStyle w:val="Single"/>
      </w:pPr>
      <w:r>
        <w:t xml:space="preserve">MCGUIREWOODS</w:t>
      </w:r>
      <w:r>
        <w:t xml:space="preserve"> </w:t>
      </w:r>
      <w:r>
        <w:t xml:space="preserve">LLP</w:t>
      </w:r>
    </w:p>
    <w:p>
      <w:pPr>
        <w:pStyle w:val="Single"/>
      </w:pPr>
      <w:r>
        <w:t xml:space="preserve">1251</w:t>
      </w:r>
      <w:r>
        <w:t xml:space="preserve"> </w:t>
      </w:r>
      <w:r>
        <w:t xml:space="preserve">Avenue</w:t>
      </w:r>
      <w:r>
        <w:t xml:space="preserve"> </w:t>
      </w:r>
      <w:r>
        <w:t xml:space="preserve">of</w:t>
      </w:r>
      <w:r>
        <w:t xml:space="preserve"> </w:t>
      </w:r>
      <w:r>
        <w:t xml:space="preserve">the</w:t>
      </w:r>
      <w:r>
        <w:t xml:space="preserve"> </w:t>
      </w:r>
      <w:r>
        <w:t xml:space="preserve">Americas,</w:t>
      </w:r>
      <w:r>
        <w:t xml:space="preserve"> </w:t>
      </w:r>
      <w:r>
        <w:t xml:space="preserve">20th</w:t>
      </w:r>
      <w:r>
        <w:t xml:space="preserve"> </w:t>
      </w:r>
      <w:r>
        <w:t xml:space="preserve">Fl.</w:t>
      </w:r>
    </w:p>
    <w:p>
      <w:pPr>
        <w:pStyle w:val="Single"/>
      </w:pPr>
      <w:r>
        <w:t xml:space="preserve">New</w:t>
      </w:r>
      <w:r>
        <w:t xml:space="preserve"> </w:t>
      </w:r>
      <w:r>
        <w:t xml:space="preserve">York,</w:t>
      </w:r>
      <w:r>
        <w:t xml:space="preserve"> </w:t>
      </w:r>
      <w:r>
        <w:t xml:space="preserve">NY</w:t>
      </w:r>
      <w:r>
        <w:t xml:space="preserve"> </w:t>
      </w:r>
      <w:r>
        <w:t xml:space="preserve">10020-1104</w:t>
      </w:r>
    </w:p>
    <w:p>
      <w:pPr>
        <w:pStyle w:val="Single"/>
      </w:pPr>
      <w:r>
        <w:t xml:space="preserve">Telephone:</w:t>
      </w:r>
      <w:r>
        <w:t xml:space="preserve"> </w:t>
      </w:r>
      <w:r>
        <w:t xml:space="preserve">(212)</w:t>
      </w:r>
      <w:r>
        <w:t xml:space="preserve"> </w:t>
      </w:r>
      <w:r>
        <w:t xml:space="preserve">548-2100</w:t>
      </w:r>
    </w:p>
    <w:p>
      <w:pPr>
        <w:pStyle w:val="Single"/>
      </w:pPr>
      <w:r>
        <w:t xml:space="preserve">pagoldstein@mcguirewoods.com</w:t>
      </w:r>
    </w:p>
    <w:p>
      <w:pPr>
        <w:pStyle w:val="Single"/>
      </w:pPr>
      <w:r>
        <w:t xml:space="preserve">smassand@mcguirewoods.com</w:t>
      </w:r>
    </w:p>
    <w:p>
      <w:pPr>
        <w:pStyle w:val="Single"/>
      </w:pP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N.A.</w:t>
      </w:r>
    </w:p>
    <w:p>
      <w:pPr>
        <w:pStyle w:val="Gap"/>
      </w:pPr>
    </w:p>
    <w:p>
      <w:pPr>
        <w:pStyle w:val="Centered"/>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pStyle w:val="Centered"/>
      </w:pP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70"/>
        <w:gridCol w:w="5290"/>
      </w:tblGrid>
      <w:tr>
        <w:trPr>
          <w:cantSplit/>
        </w:trPr>
        <w:tc>
          <w:tcPr>
            <w:tcW w:w="4070" w:type="dxa"/>
            <w:tcBorders>
              <w:bottom w:val="single" w:sz="6" w:space="0" w:color="000000"/>
              <w:right w:val="single" w:sz="6" w:space="0" w:color="000000"/>
            </w:tcBorders>
            <w:tcMar>
              <w:right w:w="336" w:type="dxa"/>
            </w:tcMar>
          </w:tcPr>
          <w:p>
            <w:pPr>
              <w:pStyle w:val="Single"/>
            </w:pPr>
            <w:r>
              <w:t xml:space="preserve">PREMNATH</w:t>
            </w:r>
            <w:r>
              <w:t xml:space="preserve"> </w:t>
            </w:r>
            <w:r>
              <w:t xml:space="preserve">KARRE,</w:t>
            </w:r>
          </w:p>
          <w:p>
            <w:pPr>
              <w:pStyle w:val="Designation"/>
            </w:pPr>
            <w:r>
              <w:t xml:space="preserve">Plaintiff,</w:t>
            </w:r>
          </w:p>
          <w:p>
            <w:pPr>
              <w:pStyle w:val="Single"/>
            </w:pPr>
            <w:r>
              <w:t xml:space="preserve">v.</w:t>
            </w:r>
          </w:p>
          <w:p>
            <w:pPr>
              <w:pStyle w:val="Single"/>
            </w:pPr>
            <w:r>
              <w:t xml:space="preserve">E*TRADE</w:t>
            </w:r>
            <w:r>
              <w:t xml:space="preserve"> </w:t>
            </w:r>
            <w:r>
              <w:t xml:space="preserve">SECURITIES</w:t>
            </w:r>
            <w:r>
              <w:t xml:space="preserve"> </w:t>
            </w:r>
            <w:r>
              <w:t xml:space="preserve">LLC;</w:t>
            </w:r>
            <w:r>
              <w:t xml:space="preserve"> </w:t>
            </w:r>
            <w:r>
              <w:t xml:space="preserve">MORGAN</w:t>
            </w:r>
            <w:r>
              <w:t xml:space="preserve"> </w:t>
            </w:r>
            <w:r>
              <w:t xml:space="preserve">STANLEY;</w:t>
            </w:r>
            <w:r>
              <w:t xml:space="preserve"> </w:t>
            </w:r>
            <w:r>
              <w:t xml:space="preserve">BANK</w:t>
            </w:r>
            <w:r>
              <w:t xml:space="preserve"> </w:t>
            </w:r>
            <w:r>
              <w:t xml:space="preserve">OF</w:t>
            </w:r>
            <w:r>
              <w:t xml:space="preserve"> </w:t>
            </w:r>
            <w:r>
              <w:t xml:space="preserve">AMERICA,</w:t>
            </w:r>
            <w:r>
              <w:t xml:space="preserve"> </w:t>
            </w:r>
            <w:r>
              <w:t xml:space="preserve">N.A.;</w:t>
            </w:r>
            <w:r>
              <w:t xml:space="preserve"> </w:t>
            </w:r>
            <w:r>
              <w:t xml:space="preserve">JOHN</w:t>
            </w:r>
            <w:r>
              <w:t xml:space="preserve"> </w:t>
            </w:r>
            <w:r>
              <w:t xml:space="preserve">DOES</w:t>
            </w:r>
            <w:r>
              <w:t xml:space="preserve"> </w:t>
            </w:r>
            <w:r>
              <w:t xml:space="preserve">1-10;</w:t>
            </w:r>
            <w:r>
              <w:t xml:space="preserve"> </w:t>
            </w:r>
            <w:r>
              <w:t xml:space="preserve">and</w:t>
            </w:r>
            <w:r>
              <w:t xml:space="preserve"> </w:t>
            </w:r>
            <w:r>
              <w:t xml:space="preserve">ABC</w:t>
            </w:r>
            <w:r>
              <w:t xml:space="preserve"> </w:t>
            </w:r>
            <w:r>
              <w:t xml:space="preserve">BUSINESS</w:t>
            </w:r>
            <w:r>
              <w:t xml:space="preserve"> </w:t>
            </w:r>
            <w:r>
              <w:t xml:space="preserve">ENTITIES</w:t>
            </w:r>
            <w:r>
              <w:t xml:space="preserve"> </w:t>
            </w:r>
            <w:r>
              <w:t xml:space="preserve">1-10,</w:t>
            </w:r>
          </w:p>
          <w:p>
            <w:pPr>
              <w:pStyle w:val="Designation"/>
            </w:pPr>
            <w:r>
              <w:t xml:space="preserve">Defendants.</w:t>
            </w:r>
          </w:p>
          <w:p>
            <w:pPr>
              <w:pStyle w:val="Half"/>
            </w:pPr>
          </w:p>
        </w:tc>
        <w:tc>
          <w:tcPr>
            <w:tcW w:w="5290" w:type="dxa"/>
            <w:tcMar>
              <w:left w:w="336" w:type="dxa"/>
            </w:tcMar>
          </w:tcPr>
          <w:p>
            <w:pPr>
              <w:pStyle w:val="Single"/>
            </w:pPr>
            <w:r>
              <w:t xml:space="preserve">Civil Action No. 2:26-cv-06421-WJM-CF</w:t>
            </w:r>
          </w:p>
          <w:p>
            <w:pPr>
              <w:pStyle w:val="Half"/>
            </w:pPr>
          </w:p>
          <w:p>
            <w:pPr>
              <w:pStyle w:val="Single"/>
            </w:pPr>
            <w:r>
              <w:t xml:space="preserve">Motion Day: </w:t>
            </w:r>
            <w:r>
              <w:t xml:space="preserve">August</w:t>
            </w:r>
            <w:r>
              <w:t xml:space="preserve"> </w:t>
            </w:r>
            <w:r>
              <w:t xml:space="preserve">17,</w:t>
            </w:r>
            <w:r>
              <w:t xml:space="preserve"> </w:t>
            </w:r>
            <w:r>
              <w:t xml:space="preserve">2026</w:t>
            </w:r>
          </w:p>
        </w:tc>
      </w:tr>
    </w:tbl>
    <w:p>
      <w:pPr>
        <w:pStyle w:val="Gap"/>
      </w:pPr>
    </w:p>
    <w:p>
      <w:pPr>
        <w:pStyle w:val="Centered"/>
      </w:pPr>
      <w:r>
        <w:rPr>
          <w:b/>
          <w:bCs/>
        </w:rPr>
        <w:t xml:space="preserve">DEFENDANT</w:t>
      </w:r>
      <w:r>
        <w:rPr>
          <w:b/>
          <w:bCs/>
        </w:rPr>
        <w:t xml:space="preserve"> </w:t>
      </w:r>
      <w:r>
        <w:rPr>
          <w:b/>
          <w:bCs/>
        </w:rPr>
        <w:t xml:space="preserve">BANK</w:t>
      </w:r>
      <w:r>
        <w:rPr>
          <w:b/>
          <w:bCs/>
        </w:rPr>
        <w:t xml:space="preserve"> </w:t>
      </w:r>
      <w:r>
        <w:rPr>
          <w:b/>
          <w:bCs/>
        </w:rPr>
        <w:t xml:space="preserve">OF</w:t>
      </w:r>
      <w:r>
        <w:rPr>
          <w:b/>
          <w:bCs/>
        </w:rPr>
        <w:t xml:space="preserve"> </w:t>
      </w:r>
      <w:r>
        <w:rPr>
          <w:b/>
          <w:bCs/>
        </w:rPr>
        <w:t xml:space="preserve">AMERICA,</w:t>
      </w:r>
      <w:r>
        <w:rPr>
          <w:b/>
          <w:bCs/>
        </w:rPr>
        <w:t xml:space="preserve"> </w:t>
      </w:r>
      <w:r>
        <w:rPr>
          <w:b/>
          <w:bCs/>
        </w:rPr>
        <w:t xml:space="preserve">N.A.’S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p>
    <w:p>
      <w:pPr>
        <w:sectPr>
          <w:footerReference w:type="default" r:id="rIdFtrNone"/>
          <w:pgSz w:w="12240" w:h="15840"/>
          <w:pgMar w:top="1440" w:right="1440" w:bottom="1440" w:left="1440" w:header="720" w:footer="720" w:gutter="0"/>
        </w:sectPr>
      </w:pPr>
    </w:p>
    <w:p>
      <w:pPr>
        <w:pStyle w:val="UnlistedHeading"/>
      </w:pPr>
      <w:r>
        <w:t xml:space="preserve">Table of Contents</w:t>
      </w:r>
    </w:p>
    <w:p>
      <w:pPr>
        <w:pStyle w:val="Single"/>
        <w:keepNext/>
        <w:spacing w:before="0" w:after="200"/>
        <w:jc w:val="right"/>
      </w:pPr>
      <w:r>
        <w:rPr>
          <w:b/>
          <w:bCs/>
        </w:rPr>
        <w:t xml:space="preserve">Page</w:t>
      </w:r>
    </w:p>
    <w:p>
      <w:pPr>
        <w:pStyle w:val="TOCEntry"/>
      </w:pPr>
      <w:r>
        <w:t xml:space="preserve">INTRODUCTION</w:t>
      </w:r>
      <w:r>
        <w:t xml:space="preserve"> </w:t>
      </w:r>
      <w:r>
        <w:tab/>
      </w:r>
      <w:r>
        <w:t xml:space="preserve">1</w:t>
      </w:r>
    </w:p>
    <w:p>
      <w:pPr>
        <w:pStyle w:val="TOCEntry"/>
      </w:pPr>
      <w:r>
        <w:t xml:space="preserve">STATEMENT OF FACTS</w:t>
      </w:r>
      <w:r>
        <w:t xml:space="preserve"> </w:t>
      </w:r>
      <w:r>
        <w:tab/>
      </w:r>
      <w:r>
        <w:t xml:space="preserve">2</w:t>
      </w:r>
    </w:p>
    <w:p>
      <w:pPr>
        <w:pStyle w:val="TOCEntry"/>
      </w:pPr>
      <w:r>
        <w:t xml:space="preserve">LEGAL STANDARD</w:t>
      </w:r>
      <w:r>
        <w:t xml:space="preserve"> </w:t>
      </w:r>
      <w:r>
        <w:tab/>
      </w:r>
      <w:r>
        <w:t xml:space="preserve">3</w:t>
      </w:r>
    </w:p>
    <w:p>
      <w:pPr>
        <w:pStyle w:val="TOCEntry"/>
      </w:pPr>
      <w:r>
        <w:t xml:space="preserve">ARGUMENT</w:t>
      </w:r>
      <w:r>
        <w:t xml:space="preserve"> </w:t>
      </w:r>
      <w:r>
        <w:tab/>
      </w:r>
      <w:r>
        <w:t xml:space="preserve">4</w:t>
      </w:r>
    </w:p>
    <w:p>
      <w:pPr>
        <w:pStyle w:val="TOCEntry"/>
        <w:ind w:left="720" w:right="720" w:hanging="720"/>
      </w:pPr>
      <w:r>
        <w:t xml:space="preserve">I.</w:t>
      </w:r>
      <w:r>
        <w:tab/>
      </w:r>
      <w:r>
        <w:t xml:space="preserve">Plaintiff’s</w:t>
      </w:r>
      <w:r>
        <w:t xml:space="preserve"> </w:t>
      </w:r>
      <w:r>
        <w:t xml:space="preserve">Common</w:t>
      </w:r>
      <w:r>
        <w:t xml:space="preserve"> </w:t>
      </w:r>
      <w:r>
        <w:t xml:space="preserve">Law</w:t>
      </w:r>
      <w:r>
        <w:t xml:space="preserve"> </w:t>
      </w:r>
      <w:r>
        <w:t xml:space="preserve">Claims</w:t>
      </w:r>
      <w:r>
        <w:t xml:space="preserve"> </w:t>
      </w:r>
      <w:r>
        <w:t xml:space="preserve">Are</w:t>
      </w:r>
      <w:r>
        <w:t xml:space="preserve"> </w:t>
      </w:r>
      <w:r>
        <w:t xml:space="preserve">Preempted</w:t>
      </w:r>
      <w:r>
        <w:t xml:space="preserve"> </w:t>
      </w:r>
      <w:r>
        <w:t xml:space="preserve">by</w:t>
      </w:r>
      <w:r>
        <w:t xml:space="preserve"> </w:t>
      </w:r>
      <w:r>
        <w:t xml:space="preserve">UCC</w:t>
      </w:r>
      <w:r>
        <w:t xml:space="preserve"> </w:t>
      </w:r>
      <w:r>
        <w:t xml:space="preserve">Article</w:t>
      </w:r>
      <w:r>
        <w:t xml:space="preserve"> </w:t>
      </w:r>
      <w:r>
        <w:t xml:space="preserve">4A.</w:t>
      </w:r>
      <w:r>
        <w:t xml:space="preserve"> </w:t>
      </w:r>
      <w:r>
        <w:tab/>
      </w:r>
      <w:r>
        <w:t xml:space="preserve">4</w:t>
      </w:r>
    </w:p>
    <w:p>
      <w:pPr>
        <w:pStyle w:val="TOCEntry"/>
      </w:pPr>
      <w:r>
        <w:t xml:space="preserve">CONCLUSION</w:t>
      </w:r>
      <w:r>
        <w:t xml:space="preserve"> </w:t>
      </w:r>
      <w:r>
        <w:tab/>
      </w:r>
      <w:r>
        <w:t xml:space="preserve">8</w:t>
      </w:r>
    </w:p>
    <w:p>
      <w:pPr>
        <w:pStyle w:val="UnlistedHeadingNewPage"/>
      </w:pPr>
      <w:r>
        <w:t xml:space="preserve">Table of Authorities</w:t>
      </w:r>
    </w:p>
    <w:p>
      <w:pPr>
        <w:pStyle w:val="Single"/>
        <w:keepNext/>
        <w:spacing w:before="0" w:after="200"/>
        <w:jc w:val="right"/>
      </w:pPr>
      <w:r>
        <w:rPr>
          <w:b/>
          <w:bCs/>
        </w:rPr>
        <w:t xml:space="preserve">Page(s)</w:t>
      </w:r>
    </w:p>
    <w:p>
      <w:pPr>
        <w:pStyle w:val="TOAGroup"/>
      </w:pPr>
      <w:r>
        <w:t xml:space="preserve">Cases</w:t>
      </w:r>
    </w:p>
    <w:p>
      <w:pPr>
        <w:pStyle w:val="TOAEntry"/>
      </w:pPr>
      <w:r>
        <w:rPr>
          <w:i/>
          <w:iCs/>
        </w:rPr>
        <w:t xml:space="preserve">ADS</w:t>
      </w:r>
      <w:r>
        <w:rPr>
          <w:i/>
          <w:iCs/>
        </w:rPr>
        <w:t xml:space="preserve"> </w:t>
      </w:r>
      <w:r>
        <w:rPr>
          <w:i/>
          <w:iCs/>
        </w:rPr>
        <w:t xml:space="preserve">Assocs.</w:t>
      </w:r>
      <w:r>
        <w:rPr>
          <w:i/>
          <w:iCs/>
        </w:rPr>
        <w:t xml:space="preserve"> </w:t>
      </w:r>
      <w:r>
        <w:rPr>
          <w:i/>
          <w:iCs/>
        </w:rPr>
        <w:t xml:space="preserve">Group,</w:t>
      </w:r>
      <w:r>
        <w:rPr>
          <w:i/>
          <w:iCs/>
        </w:rPr>
        <w:t xml:space="preserve"> </w:t>
      </w:r>
      <w:r>
        <w:rPr>
          <w:i/>
          <w:iCs/>
        </w:rPr>
        <w:t xml:space="preserve">Inc. v.</w:t>
      </w:r>
      <w:r>
        <w:rPr>
          <w:i/>
          <w:iCs/>
        </w:rPr>
        <w:t xml:space="preserve"> </w:t>
      </w:r>
      <w:r>
        <w:rPr>
          <w:i/>
          <w:iCs/>
        </w:rPr>
        <w:t xml:space="preserve">Oritani</w:t>
      </w:r>
      <w:r>
        <w:rPr>
          <w:i/>
          <w:iCs/>
        </w:rPr>
        <w:t xml:space="preserve"> </w:t>
      </w:r>
      <w:r>
        <w:rPr>
          <w:i/>
          <w:iCs/>
        </w:rPr>
        <w:t xml:space="preserve">Sav.</w:t>
      </w:r>
      <w:r>
        <w:rPr>
          <w:i/>
          <w:iCs/>
        </w:rPr>
        <w:t xml:space="preserve"> </w:t>
      </w:r>
      <w:r>
        <w:rPr>
          <w:i/>
          <w:iCs/>
        </w:rPr>
        <w:t xml:space="preserve">Bank</w:t>
      </w:r>
      <w:r>
        <w:t xml:space="preserve">, </w:t>
      </w:r>
      <w:r>
        <w:t xml:space="preserve">219</w:t>
      </w:r>
      <w:r>
        <w:t xml:space="preserve"> </w:t>
      </w:r>
      <w:r>
        <w:t xml:space="preserve">N.J.</w:t>
      </w:r>
      <w:r>
        <w:t xml:space="preserve"> </w:t>
      </w:r>
      <w:r>
        <w:t xml:space="preserve">496</w:t>
      </w:r>
      <w:r>
        <w:t xml:space="preserve"> </w:t>
      </w:r>
      <w:r>
        <w:t xml:space="preserve">(2014)</w:t>
      </w:r>
      <w:r>
        <w:t xml:space="preserve"> </w:t>
      </w:r>
      <w:r>
        <w:tab/>
      </w:r>
      <w:r>
        <w:t xml:space="preserve">5</w:t>
      </w:r>
    </w:p>
    <w:p>
      <w:pPr>
        <w:pStyle w:val="TOAEntry"/>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4</w:t>
      </w:r>
    </w:p>
    <w:p>
      <w:pPr>
        <w:pStyle w:val="TOAEntry"/>
      </w:pPr>
      <w:r>
        <w:rPr>
          <w:i/>
          <w:iCs/>
        </w:rPr>
        <w:t xml:space="preserve">Bank</w:t>
      </w:r>
      <w:r>
        <w:rPr>
          <w:i/>
          <w:iCs/>
        </w:rPr>
        <w:t xml:space="preserve"> </w:t>
      </w:r>
      <w:r>
        <w:rPr>
          <w:i/>
          <w:iCs/>
        </w:rPr>
        <w:t xml:space="preserve">Polska</w:t>
      </w:r>
      <w:r>
        <w:rPr>
          <w:i/>
          <w:iCs/>
        </w:rPr>
        <w:t xml:space="preserve"> </w:t>
      </w:r>
      <w:r>
        <w:rPr>
          <w:i/>
          <w:iCs/>
        </w:rPr>
        <w:t xml:space="preserve">Kasa</w:t>
      </w:r>
      <w:r>
        <w:rPr>
          <w:i/>
          <w:iCs/>
        </w:rPr>
        <w:t xml:space="preserve"> </w:t>
      </w:r>
      <w:r>
        <w:rPr>
          <w:i/>
          <w:iCs/>
        </w:rPr>
        <w:t xml:space="preserve">Opieki,</w:t>
      </w:r>
      <w:r>
        <w:rPr>
          <w:i/>
          <w:iCs/>
        </w:rPr>
        <w:t xml:space="preserve"> </w:t>
      </w:r>
      <w:r>
        <w:rPr>
          <w:i/>
          <w:iCs/>
        </w:rPr>
        <w:t xml:space="preserve">S.A.</w:t>
      </w:r>
      <w:r>
        <w:rPr>
          <w:i/>
          <w:iCs/>
        </w:rPr>
        <w:t xml:space="preserve"> </w:t>
      </w:r>
      <w:r>
        <w:rPr>
          <w:i/>
          <w:iCs/>
        </w:rPr>
        <w:t xml:space="preserve">v.</w:t>
      </w:r>
      <w:r>
        <w:rPr>
          <w:i/>
          <w:iCs/>
        </w:rPr>
        <w:t xml:space="preserve"> </w:t>
      </w:r>
      <w:r>
        <w:rPr>
          <w:i/>
          <w:iCs/>
        </w:rPr>
        <w:t xml:space="preserve">Pamrapo</w:t>
      </w:r>
      <w:r>
        <w:rPr>
          <w:i/>
          <w:iCs/>
        </w:rPr>
        <w:t xml:space="preserve"> </w:t>
      </w:r>
      <w:r>
        <w:rPr>
          <w:i/>
          <w:iCs/>
        </w:rPr>
        <w:t xml:space="preserve">Sav.</w:t>
      </w:r>
      <w:r>
        <w:rPr>
          <w:i/>
          <w:iCs/>
        </w:rPr>
        <w:t xml:space="preserve"> </w:t>
      </w:r>
      <w:r>
        <w:rPr>
          <w:i/>
          <w:iCs/>
        </w:rPr>
        <w:t xml:space="preserve">Bank,</w:t>
      </w:r>
      <w:r>
        <w:rPr>
          <w:i/>
          <w:iCs/>
        </w:rPr>
        <w:t xml:space="preserve"> </w:t>
      </w:r>
      <w:r>
        <w:rPr>
          <w:i/>
          <w:iCs/>
        </w:rPr>
        <w:t xml:space="preserve">S.L.A.</w:t>
      </w:r>
      <w:r>
        <w:t xml:space="preserve">, </w:t>
      </w:r>
      <w:r>
        <w:t xml:space="preserve">909</w:t>
      </w:r>
      <w:r>
        <w:t xml:space="preserve"> </w:t>
      </w:r>
      <w:r>
        <w:t xml:space="preserve">F.</w:t>
      </w:r>
      <w:r>
        <w:t xml:space="preserve"> </w:t>
      </w:r>
      <w:r>
        <w:t xml:space="preserve">Supp.</w:t>
      </w:r>
      <w:r>
        <w:t xml:space="preserve"> </w:t>
      </w:r>
      <w:r>
        <w:t xml:space="preserve">948</w:t>
      </w:r>
      <w:r>
        <w:t xml:space="preserve"> </w:t>
      </w:r>
      <w:r>
        <w:t xml:space="preserve">(D.N.J.</w:t>
      </w:r>
      <w:r>
        <w:t xml:space="preserve"> </w:t>
      </w:r>
      <w:r>
        <w:t xml:space="preserve">1995)</w:t>
      </w:r>
      <w:r>
        <w:t xml:space="preserve"> </w:t>
      </w:r>
      <w:r>
        <w:tab/>
      </w:r>
      <w:r>
        <w:t xml:space="preserve">6</w:t>
      </w:r>
    </w:p>
    <w:p>
      <w:pPr>
        <w:pStyle w:val="TOAEntry"/>
      </w:pPr>
      <w:r>
        <w:rPr>
          <w:i/>
          <w:iCs/>
        </w:rPr>
        <w:t xml:space="preserve">Bell</w:t>
      </w:r>
      <w:r>
        <w:rPr>
          <w:i/>
          <w:iCs/>
        </w:rPr>
        <w:t xml:space="preserve"> </w:t>
      </w:r>
      <w:r>
        <w:rPr>
          <w:i/>
          <w:iCs/>
        </w:rPr>
        <w:t xml:space="preserve">Atl.</w:t>
      </w:r>
      <w:r>
        <w:rPr>
          <w:i/>
          <w:iCs/>
        </w:rPr>
        <w:t xml:space="preserve"> </w:t>
      </w:r>
      <w:r>
        <w:rPr>
          <w:i/>
          <w:iCs/>
        </w:rPr>
        <w:t xml:space="preserve">Corp. 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4</w:t>
      </w:r>
    </w:p>
    <w:p>
      <w:pPr>
        <w:pStyle w:val="TOAEntry"/>
      </w:pPr>
      <w:r>
        <w:rPr>
          <w:i/>
          <w:iCs/>
        </w:rPr>
        <w:t xml:space="preserve">DeFazio</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w:t>
      </w:r>
      <w:r>
        <w:t xml:space="preserve">, </w:t>
      </w:r>
      <w:r>
        <w:t xml:space="preserve">No. 20-375</w:t>
      </w:r>
      <w:r>
        <w:t xml:space="preserve"> </w:t>
      </w:r>
      <w:r>
        <w:t xml:space="preserve">(SRC),</w:t>
      </w:r>
      <w:r>
        <w:t xml:space="preserve"> </w:t>
      </w:r>
      <w:r>
        <w:t xml:space="preserve">2020</w:t>
      </w:r>
      <w:r>
        <w:t xml:space="preserve"> </w:t>
      </w:r>
      <w:r>
        <w:t xml:space="preserve">WL</w:t>
      </w:r>
      <w:r>
        <w:t xml:space="preserve"> </w:t>
      </w:r>
      <w:r>
        <w:t xml:space="preserve">1888252</w:t>
      </w:r>
      <w:r>
        <w:t xml:space="preserve"> </w:t>
      </w:r>
      <w:r>
        <w:t xml:space="preserve">(D.N.J.</w:t>
      </w:r>
      <w:r>
        <w:t xml:space="preserve"> </w:t>
      </w:r>
      <w:r>
        <w:t xml:space="preserve">Apr. 16,</w:t>
      </w:r>
      <w:r>
        <w:t xml:space="preserve"> </w:t>
      </w:r>
      <w:r>
        <w:t xml:space="preserve">2020)</w:t>
      </w:r>
      <w:r>
        <w:t xml:space="preserve"> </w:t>
      </w:r>
      <w:r>
        <w:tab/>
      </w:r>
      <w:r>
        <w:t xml:space="preserve">6</w:t>
      </w:r>
    </w:p>
    <w:p>
      <w:pPr>
        <w:pStyle w:val="TOAEntry"/>
      </w:pPr>
      <w:r>
        <w:rPr>
          <w:i/>
          <w:iCs/>
        </w:rPr>
        <w:t xml:space="preserve">Essgeekay</w:t>
      </w:r>
      <w:r>
        <w:rPr>
          <w:i/>
          <w:iCs/>
        </w:rPr>
        <w:t xml:space="preserve"> </w:t>
      </w:r>
      <w:r>
        <w:rPr>
          <w:i/>
          <w:iCs/>
        </w:rPr>
        <w:t xml:space="preserve">Corp. v.</w:t>
      </w:r>
      <w:r>
        <w:rPr>
          <w:i/>
          <w:iCs/>
        </w:rPr>
        <w:t xml:space="preserve"> </w:t>
      </w:r>
      <w:r>
        <w:rPr>
          <w:i/>
          <w:iCs/>
        </w:rPr>
        <w:t xml:space="preserve">TD</w:t>
      </w:r>
      <w:r>
        <w:rPr>
          <w:i/>
          <w:iCs/>
        </w:rPr>
        <w:t xml:space="preserve"> </w:t>
      </w:r>
      <w:r>
        <w:rPr>
          <w:i/>
          <w:iCs/>
        </w:rPr>
        <w:t xml:space="preserve">Bank,</w:t>
      </w:r>
      <w:r>
        <w:rPr>
          <w:i/>
          <w:iCs/>
        </w:rPr>
        <w:t xml:space="preserve"> </w:t>
      </w:r>
      <w:r>
        <w:rPr>
          <w:i/>
          <w:iCs/>
        </w:rPr>
        <w:t xml:space="preserve">N.A.</w:t>
      </w:r>
      <w:r>
        <w:t xml:space="preserve">, </w:t>
      </w:r>
      <w:r>
        <w:t xml:space="preserve">2018</w:t>
      </w:r>
      <w:r>
        <w:t xml:space="preserve"> </w:t>
      </w:r>
      <w:r>
        <w:t xml:space="preserve">U.S.</w:t>
      </w:r>
      <w:r>
        <w:t xml:space="preserve"> </w:t>
      </w:r>
      <w:r>
        <w:t xml:space="preserve">Dist.</w:t>
      </w:r>
      <w:r>
        <w:t xml:space="preserve"> </w:t>
      </w:r>
      <w:r>
        <w:t xml:space="preserve">LEXIS</w:t>
      </w:r>
      <w:r>
        <w:t xml:space="preserve"> </w:t>
      </w:r>
      <w:r>
        <w:t xml:space="preserve">214691</w:t>
      </w:r>
      <w:r>
        <w:t xml:space="preserve"> </w:t>
      </w:r>
      <w:r>
        <w:t xml:space="preserve">(D.N.J.</w:t>
      </w:r>
      <w:r>
        <w:t xml:space="preserve"> </w:t>
      </w:r>
      <w:r>
        <w:t xml:space="preserve">Dec. 19,</w:t>
      </w:r>
      <w:r>
        <w:t xml:space="preserve"> </w:t>
      </w:r>
      <w:r>
        <w:t xml:space="preserve">2018)</w:t>
      </w:r>
      <w:r>
        <w:t xml:space="preserve"> </w:t>
      </w:r>
      <w:r>
        <w:tab/>
      </w:r>
      <w:r>
        <w:t xml:space="preserve">5</w:t>
      </w:r>
    </w:p>
    <w:p>
      <w:pPr>
        <w:pStyle w:val="TOAEntry"/>
      </w:pPr>
      <w:r>
        <w:rPr>
          <w:i/>
          <w:iCs/>
        </w:rPr>
        <w:t xml:space="preserve">First</w:t>
      </w:r>
      <w:r>
        <w:rPr>
          <w:i/>
          <w:iCs/>
        </w:rPr>
        <w:t xml:space="preserve"> </w:t>
      </w:r>
      <w:r>
        <w:rPr>
          <w:i/>
          <w:iCs/>
        </w:rPr>
        <w:t xml:space="preserve">Atl.</w:t>
      </w:r>
      <w:r>
        <w:rPr>
          <w:i/>
          <w:iCs/>
        </w:rPr>
        <w:t xml:space="preserve"> </w:t>
      </w:r>
      <w:r>
        <w:rPr>
          <w:i/>
          <w:iCs/>
        </w:rPr>
        <w:t xml:space="preserve">Fed.</w:t>
      </w:r>
      <w:r>
        <w:rPr>
          <w:i/>
          <w:iCs/>
        </w:rPr>
        <w:t xml:space="preserve"> </w:t>
      </w:r>
      <w:r>
        <w:rPr>
          <w:i/>
          <w:iCs/>
        </w:rPr>
        <w:t xml:space="preserve">Credit</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Perez</w:t>
      </w:r>
      <w:r>
        <w:t xml:space="preserve">, </w:t>
      </w:r>
      <w:r>
        <w:t xml:space="preserve">391</w:t>
      </w:r>
      <w:r>
        <w:t xml:space="preserve"> </w:t>
      </w:r>
      <w:r>
        <w:t xml:space="preserve">N.J.</w:t>
      </w:r>
      <w:r>
        <w:t xml:space="preserve"> </w:t>
      </w:r>
      <w:r>
        <w:t xml:space="preserve">Super.</w:t>
      </w:r>
      <w:r>
        <w:t xml:space="preserve"> </w:t>
      </w:r>
      <w:r>
        <w:t xml:space="preserve">419</w:t>
      </w:r>
      <w:r>
        <w:t xml:space="preserve"> </w:t>
      </w:r>
      <w:r>
        <w:t xml:space="preserve">(App.</w:t>
      </w:r>
      <w:r>
        <w:t xml:space="preserve"> </w:t>
      </w:r>
      <w:r>
        <w:t xml:space="preserve">Div.</w:t>
      </w:r>
      <w:r>
        <w:t xml:space="preserve"> </w:t>
      </w:r>
      <w:r>
        <w:t xml:space="preserve">2007)</w:t>
      </w:r>
      <w:r>
        <w:t xml:space="preserve"> </w:t>
      </w:r>
      <w:r>
        <w:tab/>
      </w:r>
      <w:r>
        <w:t xml:space="preserve">6</w:t>
      </w:r>
    </w:p>
    <w:p>
      <w:pPr>
        <w:pStyle w:val="TOAEntry"/>
      </w:pPr>
      <w:r>
        <w:rPr>
          <w:i/>
          <w:iCs/>
        </w:rPr>
        <w:t xml:space="preserve">Fowler</w:t>
      </w:r>
      <w:r>
        <w:rPr>
          <w:i/>
          <w:iCs/>
        </w:rPr>
        <w:t xml:space="preserve"> </w:t>
      </w:r>
      <w:r>
        <w:rPr>
          <w:i/>
          <w:iCs/>
        </w:rPr>
        <w:t xml:space="preserve">v.</w:t>
      </w:r>
      <w:r>
        <w:rPr>
          <w:i/>
          <w:iCs/>
        </w:rPr>
        <w:t xml:space="preserve"> </w:t>
      </w:r>
      <w:r>
        <w:rPr>
          <w:i/>
          <w:iCs/>
        </w:rPr>
        <w:t xml:space="preserve">UPMC</w:t>
      </w:r>
      <w:r>
        <w:rPr>
          <w:i/>
          <w:iCs/>
        </w:rPr>
        <w:t xml:space="preserve"> </w:t>
      </w:r>
      <w:r>
        <w:rPr>
          <w:i/>
          <w:iCs/>
        </w:rPr>
        <w:t xml:space="preserve">Shadyside</w:t>
      </w:r>
      <w:r>
        <w:t xml:space="preserve">, </w:t>
      </w:r>
      <w:r>
        <w:t xml:space="preserve">578</w:t>
      </w:r>
      <w:r>
        <w:t xml:space="preserve"> </w:t>
      </w:r>
      <w:r>
        <w:t xml:space="preserve">F.3d</w:t>
      </w:r>
      <w:r>
        <w:t xml:space="preserve"> </w:t>
      </w:r>
      <w:r>
        <w:t xml:space="preserve">203</w:t>
      </w:r>
      <w:r>
        <w:t xml:space="preserve"> </w:t>
      </w:r>
      <w:r>
        <w:t xml:space="preserve">(3d</w:t>
      </w:r>
      <w:r>
        <w:t xml:space="preserve"> </w:t>
      </w:r>
      <w:r>
        <w:t xml:space="preserve">Cir.</w:t>
      </w:r>
      <w:r>
        <w:t xml:space="preserve"> </w:t>
      </w:r>
      <w:r>
        <w:t xml:space="preserve">2009)</w:t>
      </w:r>
      <w:r>
        <w:t xml:space="preserve"> </w:t>
      </w:r>
      <w:r>
        <w:tab/>
      </w:r>
      <w:r>
        <w:t xml:space="preserve">3</w:t>
      </w:r>
    </w:p>
    <w:p>
      <w:pPr>
        <w:pStyle w:val="TOAEntry"/>
      </w:pPr>
      <w:r>
        <w:rPr>
          <w:i/>
          <w:iCs/>
        </w:rPr>
        <w:t xml:space="preserve">Harborview</w:t>
      </w:r>
      <w:r>
        <w:rPr>
          <w:i/>
          <w:iCs/>
        </w:rPr>
        <w:t xml:space="preserve"> </w:t>
      </w:r>
      <w:r>
        <w:rPr>
          <w:i/>
          <w:iCs/>
        </w:rPr>
        <w:t xml:space="preserve">Capital</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Cross</w:t>
      </w:r>
      <w:r>
        <w:rPr>
          <w:i/>
          <w:iCs/>
        </w:rPr>
        <w:t xml:space="preserve"> </w:t>
      </w:r>
      <w:r>
        <w:rPr>
          <w:i/>
          <w:iCs/>
        </w:rPr>
        <w:t xml:space="preserve">River</w:t>
      </w:r>
      <w:r>
        <w:rPr>
          <w:i/>
          <w:iCs/>
        </w:rPr>
        <w:t xml:space="preserve"> </w:t>
      </w:r>
      <w:r>
        <w:rPr>
          <w:i/>
          <w:iCs/>
        </w:rPr>
        <w:t xml:space="preserve">Bank</w:t>
      </w:r>
      <w:r>
        <w:t xml:space="preserve">, </w:t>
      </w:r>
      <w:r>
        <w:t xml:space="preserve">600</w:t>
      </w:r>
      <w:r>
        <w:t xml:space="preserve"> </w:t>
      </w:r>
      <w:r>
        <w:t xml:space="preserve">F.</w:t>
      </w:r>
      <w:r>
        <w:t xml:space="preserve"> </w:t>
      </w:r>
      <w:r>
        <w:t xml:space="preserve">Supp.</w:t>
      </w:r>
      <w:r>
        <w:t xml:space="preserve"> </w:t>
      </w:r>
      <w:r>
        <w:t xml:space="preserve">3d</w:t>
      </w:r>
      <w:r>
        <w:t xml:space="preserve"> </w:t>
      </w:r>
      <w:r>
        <w:t xml:space="preserve">485</w:t>
      </w:r>
      <w:r>
        <w:t xml:space="preserve"> </w:t>
      </w:r>
      <w:r>
        <w:t xml:space="preserve">(D.N.J.</w:t>
      </w:r>
      <w:r>
        <w:t xml:space="preserve"> </w:t>
      </w:r>
      <w:r>
        <w:t xml:space="preserve">2022)</w:t>
      </w:r>
      <w:r>
        <w:t xml:space="preserve"> </w:t>
      </w:r>
      <w:r>
        <w:tab/>
      </w:r>
      <w:r>
        <w:t xml:space="preserve">5</w:t>
      </w:r>
    </w:p>
    <w:p>
      <w:pPr>
        <w:pStyle w:val="TOAEntry"/>
      </w:pPr>
      <w:r>
        <w:rPr>
          <w:i/>
          <w:iCs/>
        </w:rPr>
        <w:t xml:space="preserve">Morrow</w:t>
      </w:r>
      <w:r>
        <w:rPr>
          <w:i/>
          <w:iCs/>
        </w:rPr>
        <w:t xml:space="preserve"> </w:t>
      </w:r>
      <w:r>
        <w:rPr>
          <w:i/>
          <w:iCs/>
        </w:rPr>
        <w:t xml:space="preserve">v.</w:t>
      </w:r>
      <w:r>
        <w:rPr>
          <w:i/>
          <w:iCs/>
        </w:rPr>
        <w:t xml:space="preserve"> </w:t>
      </w:r>
      <w:r>
        <w:rPr>
          <w:i/>
          <w:iCs/>
        </w:rPr>
        <w:t xml:space="preserve">Balaski</w:t>
      </w:r>
      <w:r>
        <w:t xml:space="preserve">, </w:t>
      </w:r>
      <w:r>
        <w:t xml:space="preserve">719</w:t>
      </w:r>
      <w:r>
        <w:t xml:space="preserve"> </w:t>
      </w:r>
      <w:r>
        <w:t xml:space="preserve">F.3d</w:t>
      </w:r>
      <w:r>
        <w:t xml:space="preserve"> </w:t>
      </w:r>
      <w:r>
        <w:t xml:space="preserve">160</w:t>
      </w:r>
      <w:r>
        <w:t xml:space="preserve"> </w:t>
      </w:r>
      <w:r>
        <w:t xml:space="preserve">(3d</w:t>
      </w:r>
      <w:r>
        <w:t xml:space="preserve"> </w:t>
      </w:r>
      <w:r>
        <w:t xml:space="preserve">Cir.</w:t>
      </w:r>
      <w:r>
        <w:t xml:space="preserve"> </w:t>
      </w:r>
      <w:r>
        <w:t xml:space="preserve">2013)</w:t>
      </w:r>
      <w:r>
        <w:t xml:space="preserve"> </w:t>
      </w:r>
      <w:r>
        <w:tab/>
      </w:r>
      <w:r>
        <w:t xml:space="preserve">4</w:t>
      </w:r>
    </w:p>
    <w:p>
      <w:pPr>
        <w:pStyle w:val="TOAEntry"/>
      </w:pPr>
      <w:r>
        <w:rPr>
          <w:i/>
          <w:iCs/>
        </w:rPr>
        <w:t xml:space="preserve">Morse</w:t>
      </w:r>
      <w:r>
        <w:rPr>
          <w:i/>
          <w:iCs/>
        </w:rPr>
        <w:t xml:space="preserve"> </w:t>
      </w:r>
      <w:r>
        <w:rPr>
          <w:i/>
          <w:iCs/>
        </w:rPr>
        <w:t xml:space="preserve">v.</w:t>
      </w:r>
      <w:r>
        <w:rPr>
          <w:i/>
          <w:iCs/>
        </w:rPr>
        <w:t xml:space="preserve"> </w:t>
      </w:r>
      <w:r>
        <w:rPr>
          <w:i/>
          <w:iCs/>
        </w:rPr>
        <w:t xml:space="preserve">Lower</w:t>
      </w:r>
      <w:r>
        <w:rPr>
          <w:i/>
          <w:iCs/>
        </w:rPr>
        <w:t xml:space="preserve"> </w:t>
      </w:r>
      <w:r>
        <w:rPr>
          <w:i/>
          <w:iCs/>
        </w:rPr>
        <w:t xml:space="preserve">Merion</w:t>
      </w:r>
      <w:r>
        <w:rPr>
          <w:i/>
          <w:iCs/>
        </w:rPr>
        <w:t xml:space="preserve"> </w:t>
      </w:r>
      <w:r>
        <w:rPr>
          <w:i/>
          <w:iCs/>
        </w:rPr>
        <w:t xml:space="preserve">Sch.</w:t>
      </w:r>
      <w:r>
        <w:rPr>
          <w:i/>
          <w:iCs/>
        </w:rPr>
        <w:t xml:space="preserve"> </w:t>
      </w:r>
      <w:r>
        <w:rPr>
          <w:i/>
          <w:iCs/>
        </w:rPr>
        <w:t xml:space="preserve">Dist.</w:t>
      </w:r>
      <w:r>
        <w:t xml:space="preserve">, </w:t>
      </w:r>
      <w:r>
        <w:t xml:space="preserve">132</w:t>
      </w:r>
      <w:r>
        <w:t xml:space="preserve"> </w:t>
      </w:r>
      <w:r>
        <w:t xml:space="preserve">F.3d</w:t>
      </w:r>
      <w:r>
        <w:t xml:space="preserve"> </w:t>
      </w:r>
      <w:r>
        <w:t xml:space="preserve">902</w:t>
      </w:r>
      <w:r>
        <w:t xml:space="preserve"> </w:t>
      </w:r>
      <w:r>
        <w:t xml:space="preserve">(3d</w:t>
      </w:r>
      <w:r>
        <w:t xml:space="preserve"> </w:t>
      </w:r>
      <w:r>
        <w:t xml:space="preserve">Cir.</w:t>
      </w:r>
      <w:r>
        <w:t xml:space="preserve"> </w:t>
      </w:r>
      <w:r>
        <w:t xml:space="preserve">1997)</w:t>
      </w:r>
      <w:r>
        <w:t xml:space="preserve"> </w:t>
      </w:r>
      <w:r>
        <w:tab/>
      </w:r>
      <w:r>
        <w:t xml:space="preserve">4</w:t>
      </w:r>
    </w:p>
    <w:p>
      <w:pPr>
        <w:pStyle w:val="TOAEntry"/>
      </w:pPr>
      <w:r>
        <w:rPr>
          <w:i/>
          <w:iCs/>
        </w:rPr>
        <w:t xml:space="preserve">New</w:t>
      </w:r>
      <w:r>
        <w:rPr>
          <w:i/>
          <w:iCs/>
        </w:rPr>
        <w:t xml:space="preserve"> </w:t>
      </w:r>
      <w:r>
        <w:rPr>
          <w:i/>
          <w:iCs/>
        </w:rPr>
        <w:t xml:space="preserve">Jersey</w:t>
      </w:r>
      <w:r>
        <w:rPr>
          <w:i/>
          <w:iCs/>
        </w:rPr>
        <w:t xml:space="preserve"> </w:t>
      </w:r>
      <w:r>
        <w:rPr>
          <w:i/>
          <w:iCs/>
        </w:rPr>
        <w:t xml:space="preserve">Bank,</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Bradford</w:t>
      </w:r>
      <w:r>
        <w:rPr>
          <w:i/>
          <w:iCs/>
        </w:rPr>
        <w:t xml:space="preserve"> </w:t>
      </w:r>
      <w:r>
        <w:rPr>
          <w:i/>
          <w:iCs/>
        </w:rPr>
        <w:t xml:space="preserve">Secs.</w:t>
      </w:r>
      <w:r>
        <w:rPr>
          <w:i/>
          <w:iCs/>
        </w:rPr>
        <w:t xml:space="preserve"> </w:t>
      </w:r>
      <w:r>
        <w:rPr>
          <w:i/>
          <w:iCs/>
        </w:rPr>
        <w:t xml:space="preserve">Ops.,</w:t>
      </w:r>
      <w:r>
        <w:rPr>
          <w:i/>
          <w:iCs/>
        </w:rPr>
        <w:t xml:space="preserve"> </w:t>
      </w:r>
      <w:r>
        <w:rPr>
          <w:i/>
          <w:iCs/>
        </w:rPr>
        <w:t xml:space="preserve">Inc.</w:t>
      </w:r>
      <w:r>
        <w:t xml:space="preserve">, </w:t>
      </w:r>
      <w:r>
        <w:t xml:space="preserve">690</w:t>
      </w:r>
      <w:r>
        <w:t xml:space="preserve"> </w:t>
      </w:r>
      <w:r>
        <w:t xml:space="preserve">F.2d</w:t>
      </w:r>
      <w:r>
        <w:t xml:space="preserve"> </w:t>
      </w:r>
      <w:r>
        <w:t xml:space="preserve">339</w:t>
      </w:r>
      <w:r>
        <w:t xml:space="preserve"> </w:t>
      </w:r>
      <w:r>
        <w:t xml:space="preserve">(3d</w:t>
      </w:r>
      <w:r>
        <w:t xml:space="preserve"> </w:t>
      </w:r>
      <w:r>
        <w:t xml:space="preserve">Cir.</w:t>
      </w:r>
      <w:r>
        <w:t xml:space="preserve"> </w:t>
      </w:r>
      <w:r>
        <w:t xml:space="preserve">1982)</w:t>
      </w:r>
      <w:r>
        <w:t xml:space="preserve"> </w:t>
      </w:r>
      <w:r>
        <w:tab/>
      </w:r>
      <w:r>
        <w:t xml:space="preserve">6</w:t>
      </w:r>
    </w:p>
    <w:p>
      <w:pPr>
        <w:pStyle w:val="TOAEntry"/>
      </w:pPr>
      <w:r>
        <w:rPr>
          <w:i/>
          <w:iCs/>
        </w:rPr>
        <w:t xml:space="preserve">Obataiye</w:t>
      </w:r>
      <w:r>
        <w:rPr>
          <w:i/>
          <w:iCs/>
        </w:rPr>
        <w:t xml:space="preserve"> </w:t>
      </w:r>
      <w:r>
        <w:rPr>
          <w:i/>
          <w:iCs/>
        </w:rPr>
        <w:t xml:space="preserve">v.</w:t>
      </w:r>
      <w:r>
        <w:rPr>
          <w:i/>
          <w:iCs/>
        </w:rPr>
        <w:t xml:space="preserve"> </w:t>
      </w:r>
      <w:r>
        <w:rPr>
          <w:i/>
          <w:iCs/>
        </w:rPr>
        <w:t xml:space="preserve">Lanigan</w:t>
      </w:r>
      <w:r>
        <w:t xml:space="preserve">, </w:t>
      </w:r>
      <w:r>
        <w:t xml:space="preserve">No. CV</w:t>
      </w:r>
      <w:r>
        <w:t xml:space="preserve"> </w:t>
      </w:r>
      <w:r>
        <w:t xml:space="preserve">14-5462</w:t>
      </w:r>
      <w:r>
        <w:t xml:space="preserve"> </w:t>
      </w:r>
      <w:r>
        <w:t xml:space="preserve">(FLW)(TJB),</w:t>
      </w:r>
      <w:r>
        <w:t xml:space="preserve"> </w:t>
      </w:r>
      <w:r>
        <w:t xml:space="preserve">2018</w:t>
      </w:r>
      <w:r>
        <w:t xml:space="preserve"> </w:t>
      </w:r>
      <w:r>
        <w:t xml:space="preserve">WL</w:t>
      </w:r>
      <w:r>
        <w:t xml:space="preserve"> </w:t>
      </w:r>
      <w:r>
        <w:t xml:space="preserve">3019887</w:t>
      </w:r>
      <w:r>
        <w:t xml:space="preserve"> </w:t>
      </w:r>
      <w:r>
        <w:t xml:space="preserve">(D.N.J.</w:t>
      </w:r>
      <w:r>
        <w:t xml:space="preserve"> </w:t>
      </w:r>
      <w:r>
        <w:t xml:space="preserve">June</w:t>
      </w:r>
      <w:r>
        <w:t xml:space="preserve"> </w:t>
      </w:r>
      <w:r>
        <w:t xml:space="preserve">18,</w:t>
      </w:r>
      <w:r>
        <w:t xml:space="preserve"> </w:t>
      </w:r>
      <w:r>
        <w:t xml:space="preserve">2018)</w:t>
      </w:r>
      <w:r>
        <w:t xml:space="preserve"> </w:t>
      </w:r>
      <w:r>
        <w:tab/>
      </w:r>
      <w:r>
        <w:t xml:space="preserve">3</w:t>
      </w:r>
    </w:p>
    <w:p>
      <w:pPr>
        <w:pStyle w:val="TOAEntry"/>
      </w:pPr>
      <w:r>
        <w:rPr>
          <w:i/>
          <w:iCs/>
        </w:rPr>
        <w:t xml:space="preserve">Palakovic</w:t>
      </w:r>
      <w:r>
        <w:rPr>
          <w:i/>
          <w:iCs/>
        </w:rPr>
        <w:t xml:space="preserve"> </w:t>
      </w:r>
      <w:r>
        <w:rPr>
          <w:i/>
          <w:iCs/>
        </w:rPr>
        <w:t xml:space="preserve">v.</w:t>
      </w:r>
      <w:r>
        <w:rPr>
          <w:i/>
          <w:iCs/>
        </w:rPr>
        <w:t xml:space="preserve"> </w:t>
      </w:r>
      <w:r>
        <w:rPr>
          <w:i/>
          <w:iCs/>
        </w:rPr>
        <w:t xml:space="preserve">Wetzel</w:t>
      </w:r>
      <w:r>
        <w:t xml:space="preserve">, </w:t>
      </w:r>
      <w:r>
        <w:t xml:space="preserve">854</w:t>
      </w:r>
      <w:r>
        <w:t xml:space="preserve"> </w:t>
      </w:r>
      <w:r>
        <w:t xml:space="preserve">F.3d</w:t>
      </w:r>
      <w:r>
        <w:t xml:space="preserve"> </w:t>
      </w:r>
      <w:r>
        <w:t xml:space="preserve">209</w:t>
      </w:r>
      <w:r>
        <w:t xml:space="preserve"> </w:t>
      </w:r>
      <w:r>
        <w:t xml:space="preserve">(3d</w:t>
      </w:r>
      <w:r>
        <w:t xml:space="preserve"> </w:t>
      </w:r>
      <w:r>
        <w:t xml:space="preserve">Cir.</w:t>
      </w:r>
      <w:r>
        <w:t xml:space="preserve"> </w:t>
      </w:r>
      <w:r>
        <w:t xml:space="preserve">2017)</w:t>
      </w:r>
      <w:r>
        <w:t xml:space="preserve"> </w:t>
      </w:r>
      <w:r>
        <w:tab/>
      </w:r>
      <w:r>
        <w:t xml:space="preserve">4</w:t>
      </w:r>
    </w:p>
    <w:p>
      <w:pPr>
        <w:pStyle w:val="TOAEntry"/>
      </w:pPr>
      <w:r>
        <w:rPr>
          <w:i/>
          <w:iCs/>
        </w:rPr>
        <w:t xml:space="preserve">Psak,</w:t>
      </w:r>
      <w:r>
        <w:rPr>
          <w:i/>
          <w:iCs/>
        </w:rPr>
        <w:t xml:space="preserve"> </w:t>
      </w:r>
      <w:r>
        <w:rPr>
          <w:i/>
          <w:iCs/>
        </w:rPr>
        <w:t xml:space="preserve">Graziano,</w:t>
      </w:r>
      <w:r>
        <w:rPr>
          <w:i/>
          <w:iCs/>
        </w:rPr>
        <w:t xml:space="preserve"> </w:t>
      </w:r>
      <w:r>
        <w:rPr>
          <w:i/>
          <w:iCs/>
        </w:rPr>
        <w:t xml:space="preserve">Piasecki</w:t>
      </w:r>
      <w:r>
        <w:rPr>
          <w:i/>
          <w:iCs/>
        </w:rPr>
        <w:t xml:space="preserve"> </w:t>
      </w:r>
      <w:r>
        <w:rPr>
          <w:i/>
          <w:iCs/>
        </w:rPr>
        <w:t xml:space="preserve">&amp;</w:t>
      </w:r>
      <w:r>
        <w:rPr>
          <w:i/>
          <w:iCs/>
        </w:rPr>
        <w:t xml:space="preserve"> </w:t>
      </w:r>
      <w:r>
        <w:rPr>
          <w:i/>
          <w:iCs/>
        </w:rPr>
        <w:t xml:space="preserve">Whitelaw</w:t>
      </w:r>
      <w:r>
        <w:rPr>
          <w:i/>
          <w:iCs/>
        </w:rPr>
        <w:t xml:space="preserve"> </w:t>
      </w:r>
      <w:r>
        <w:rPr>
          <w:i/>
          <w:iCs/>
        </w:rPr>
        <w:t xml:space="preserve">v.</w:t>
      </w:r>
      <w:r>
        <w:rPr>
          <w:i/>
          <w:iCs/>
        </w:rPr>
        <w:t xml:space="preserve"> </w:t>
      </w:r>
      <w:r>
        <w:rPr>
          <w:i/>
          <w:iCs/>
        </w:rPr>
        <w:t xml:space="preserve">Fleet</w:t>
      </w:r>
      <w:r>
        <w:rPr>
          <w:i/>
          <w:iCs/>
        </w:rPr>
        <w:t xml:space="preserve"> </w:t>
      </w:r>
      <w:r>
        <w:rPr>
          <w:i/>
          <w:iCs/>
        </w:rPr>
        <w:t xml:space="preserve">Nat’l</w:t>
      </w:r>
      <w:r>
        <w:rPr>
          <w:i/>
          <w:iCs/>
        </w:rPr>
        <w:t xml:space="preserve"> </w:t>
      </w:r>
      <w:r>
        <w:rPr>
          <w:i/>
          <w:iCs/>
        </w:rPr>
        <w:t xml:space="preserve">Bank</w:t>
      </w:r>
      <w:r>
        <w:t xml:space="preserve">, </w:t>
      </w:r>
      <w:r>
        <w:t xml:space="preserve">390</w:t>
      </w:r>
      <w:r>
        <w:t xml:space="preserve"> </w:t>
      </w:r>
      <w:r>
        <w:t xml:space="preserve">N.J.</w:t>
      </w:r>
      <w:r>
        <w:t xml:space="preserve"> </w:t>
      </w:r>
      <w:r>
        <w:t xml:space="preserve">Super.</w:t>
      </w:r>
      <w:r>
        <w:t xml:space="preserve"> </w:t>
      </w:r>
      <w:r>
        <w:t xml:space="preserve">199</w:t>
      </w:r>
      <w:r>
        <w:t xml:space="preserve"> </w:t>
      </w:r>
      <w:r>
        <w:t xml:space="preserve">(App.</w:t>
      </w:r>
      <w:r>
        <w:t xml:space="preserve"> </w:t>
      </w:r>
      <w:r>
        <w:t xml:space="preserve">Div.</w:t>
      </w:r>
      <w:r>
        <w:t xml:space="preserve"> </w:t>
      </w:r>
      <w:r>
        <w:t xml:space="preserve">2007)</w:t>
      </w:r>
      <w:r>
        <w:t xml:space="preserve"> </w:t>
      </w:r>
      <w:r>
        <w:tab/>
      </w:r>
      <w:r>
        <w:t xml:space="preserve">6</w:t>
      </w:r>
    </w:p>
    <w:p>
      <w:pPr>
        <w:pStyle w:val="TOAEntry"/>
      </w:pPr>
      <w:r>
        <w:rPr>
          <w:i/>
          <w:iCs/>
        </w:rPr>
        <w:t xml:space="preserve">Remtek</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w:t>
      </w:r>
      <w:r>
        <w:t xml:space="preserve">, </w:t>
      </w:r>
      <w:r>
        <w:t xml:space="preserve">2020</w:t>
      </w:r>
      <w:r>
        <w:t xml:space="preserve"> </w:t>
      </w:r>
      <w:r>
        <w:t xml:space="preserve">U.S.</w:t>
      </w:r>
      <w:r>
        <w:t xml:space="preserve"> </w:t>
      </w:r>
      <w:r>
        <w:t xml:space="preserve">Dist.</w:t>
      </w:r>
      <w:r>
        <w:t xml:space="preserve"> </w:t>
      </w:r>
      <w:r>
        <w:t xml:space="preserve">LEXIS</w:t>
      </w:r>
      <w:r>
        <w:t xml:space="preserve"> </w:t>
      </w:r>
      <w:r>
        <w:t xml:space="preserve">7678</w:t>
      </w:r>
      <w:r>
        <w:t xml:space="preserve"> </w:t>
      </w:r>
      <w:r>
        <w:t xml:space="preserve">(D.N.J.</w:t>
      </w:r>
      <w:r>
        <w:t xml:space="preserve"> </w:t>
      </w:r>
      <w:r>
        <w:t xml:space="preserve">Jan. 16,</w:t>
      </w:r>
      <w:r>
        <w:t xml:space="preserve"> </w:t>
      </w:r>
      <w:r>
        <w:t xml:space="preserve">2020)</w:t>
      </w:r>
      <w:r>
        <w:t xml:space="preserve"> </w:t>
      </w:r>
      <w:r>
        <w:tab/>
      </w:r>
      <w:r>
        <w:t xml:space="preserve">5</w:t>
      </w:r>
    </w:p>
    <w:p>
      <w:pPr>
        <w:pStyle w:val="TOAEntry"/>
      </w:pPr>
      <w:r>
        <w:rPr>
          <w:i/>
          <w:iCs/>
        </w:rPr>
        <w:t xml:space="preserve">Sheridan</w:t>
      </w:r>
      <w:r>
        <w:rPr>
          <w:i/>
          <w:iCs/>
        </w:rPr>
        <w:t xml:space="preserve"> </w:t>
      </w:r>
      <w:r>
        <w:rPr>
          <w:i/>
          <w:iCs/>
        </w:rPr>
        <w:t xml:space="preserve">v.</w:t>
      </w:r>
      <w:r>
        <w:rPr>
          <w:i/>
          <w:iCs/>
        </w:rPr>
        <w:t xml:space="preserve"> </w:t>
      </w:r>
      <w:r>
        <w:rPr>
          <w:i/>
          <w:iCs/>
        </w:rPr>
        <w:t xml:space="preserve">NGK</w:t>
      </w:r>
      <w:r>
        <w:rPr>
          <w:i/>
          <w:iCs/>
        </w:rPr>
        <w:t xml:space="preserve"> </w:t>
      </w:r>
      <w:r>
        <w:rPr>
          <w:i/>
          <w:iCs/>
        </w:rPr>
        <w:t xml:space="preserve">Metals</w:t>
      </w:r>
      <w:r>
        <w:rPr>
          <w:i/>
          <w:iCs/>
        </w:rPr>
        <w:t xml:space="preserve"> </w:t>
      </w:r>
      <w:r>
        <w:rPr>
          <w:i/>
          <w:iCs/>
        </w:rPr>
        <w:t xml:space="preserve">Corp.</w:t>
      </w:r>
      <w:r>
        <w:t xml:space="preserve">, </w:t>
      </w:r>
      <w:r>
        <w:t xml:space="preserve">609</w:t>
      </w:r>
      <w:r>
        <w:t xml:space="preserve"> </w:t>
      </w:r>
      <w:r>
        <w:t xml:space="preserve">F.3d</w:t>
      </w:r>
      <w:r>
        <w:t xml:space="preserve"> </w:t>
      </w:r>
      <w:r>
        <w:t xml:space="preserve">239</w:t>
      </w:r>
      <w:r>
        <w:t xml:space="preserve"> </w:t>
      </w:r>
      <w:r>
        <w:t xml:space="preserve">(3d</w:t>
      </w:r>
      <w:r>
        <w:t xml:space="preserve"> </w:t>
      </w:r>
      <w:r>
        <w:t xml:space="preserve">Cir.</w:t>
      </w:r>
      <w:r>
        <w:t xml:space="preserve"> </w:t>
      </w:r>
      <w:r>
        <w:t xml:space="preserve">2010)</w:t>
      </w:r>
      <w:r>
        <w:t xml:space="preserve"> </w:t>
      </w:r>
      <w:r>
        <w:tab/>
      </w:r>
      <w:r>
        <w:t xml:space="preserve">4</w:t>
      </w:r>
    </w:p>
    <w:p>
      <w:pPr>
        <w:pStyle w:val="TOAEntry"/>
      </w:pPr>
      <w:r>
        <w:rPr>
          <w:i/>
          <w:iCs/>
        </w:rPr>
        <w:t xml:space="preserve">Yahn</w:t>
      </w:r>
      <w:r>
        <w:rPr>
          <w:i/>
          <w:iCs/>
        </w:rPr>
        <w:t xml:space="preserve"> </w:t>
      </w:r>
      <w:r>
        <w:rPr>
          <w:i/>
          <w:iCs/>
        </w:rPr>
        <w:t xml:space="preserve">&amp;</w:t>
      </w:r>
      <w:r>
        <w:rPr>
          <w:i/>
          <w:iCs/>
        </w:rPr>
        <w:t xml:space="preserve"> </w:t>
      </w:r>
      <w:r>
        <w:rPr>
          <w:i/>
          <w:iCs/>
        </w:rPr>
        <w:t xml:space="preserve">McDonnell,</w:t>
      </w:r>
      <w:r>
        <w:rPr>
          <w:i/>
          <w:iCs/>
        </w:rPr>
        <w:t xml:space="preserve"> </w:t>
      </w:r>
      <w:r>
        <w:rPr>
          <w:i/>
          <w:iCs/>
        </w:rPr>
        <w:t xml:space="preserve">Inc. v.</w:t>
      </w:r>
      <w:r>
        <w:rPr>
          <w:i/>
          <w:iCs/>
        </w:rPr>
        <w:t xml:space="preserve"> </w:t>
      </w:r>
      <w:r>
        <w:rPr>
          <w:i/>
          <w:iCs/>
        </w:rPr>
        <w:t xml:space="preserve">Farmers</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Del.</w:t>
      </w:r>
      <w:r>
        <w:t xml:space="preserve">, </w:t>
      </w:r>
      <w:r>
        <w:t xml:space="preserve">708</w:t>
      </w:r>
      <w:r>
        <w:t xml:space="preserve"> </w:t>
      </w:r>
      <w:r>
        <w:t xml:space="preserve">F.2d</w:t>
      </w:r>
      <w:r>
        <w:t xml:space="preserve"> </w:t>
      </w:r>
      <w:r>
        <w:t xml:space="preserve">104</w:t>
      </w:r>
      <w:r>
        <w:t xml:space="preserve"> </w:t>
      </w:r>
      <w:r>
        <w:t xml:space="preserve">(3d</w:t>
      </w:r>
      <w:r>
        <w:t xml:space="preserve"> </w:t>
      </w:r>
      <w:r>
        <w:t xml:space="preserve">Cir.</w:t>
      </w:r>
      <w:r>
        <w:t xml:space="preserve"> </w:t>
      </w:r>
      <w:r>
        <w:t xml:space="preserve">1983)</w:t>
      </w:r>
      <w:r>
        <w:t xml:space="preserve"> </w:t>
      </w:r>
      <w:r>
        <w:tab/>
      </w:r>
      <w:r>
        <w:t xml:space="preserve">5</w:t>
      </w:r>
    </w:p>
    <w:p>
      <w:pPr>
        <w:pStyle w:val="TOAGroup"/>
      </w:pPr>
      <w:r>
        <w:t xml:space="preserve">Statutes</w:t>
      </w:r>
    </w:p>
    <w:p>
      <w:pPr>
        <w:pStyle w:val="TOAEntry"/>
      </w:pPr>
      <w:r>
        <w:t xml:space="preserve">N.J.S.A.</w:t>
      </w:r>
      <w:r>
        <w:t xml:space="preserve"> </w:t>
      </w:r>
      <w:r>
        <w:t xml:space="preserve">§</w:t>
      </w:r>
      <w:r>
        <w:t xml:space="preserve"> </w:t>
      </w:r>
      <w:r>
        <w:t xml:space="preserve">12A:1-103(b)</w:t>
      </w:r>
      <w:r>
        <w:t xml:space="preserve"> </w:t>
      </w:r>
      <w:r>
        <w:tab/>
      </w:r>
      <w:r>
        <w:t xml:space="preserve">5</w:t>
      </w:r>
    </w:p>
    <w:p>
      <w:pPr>
        <w:pStyle w:val="TOAEntry"/>
      </w:pPr>
      <w:r>
        <w:t xml:space="preserve">N.J.S.A.</w:t>
      </w:r>
      <w:r>
        <w:t xml:space="preserve"> </w:t>
      </w:r>
      <w:r>
        <w:t xml:space="preserve">§</w:t>
      </w:r>
      <w:r>
        <w:t xml:space="preserve"> </w:t>
      </w:r>
      <w:r>
        <w:t xml:space="preserve">12A:4A-101</w:t>
      </w:r>
      <w:r>
        <w:t xml:space="preserve"> </w:t>
      </w:r>
      <w:r>
        <w:t xml:space="preserve">et</w:t>
      </w:r>
      <w:r>
        <w:t xml:space="preserve"> </w:t>
      </w:r>
      <w:r>
        <w:t xml:space="preserve">seq.</w:t>
      </w:r>
      <w:r>
        <w:t xml:space="preserve"> </w:t>
      </w:r>
      <w:r>
        <w:tab/>
      </w:r>
      <w:r>
        <w:t xml:space="preserve">1, 4</w:t>
      </w:r>
    </w:p>
    <w:p>
      <w:pPr>
        <w:pStyle w:val="TOAEntry"/>
      </w:pPr>
      <w:r>
        <w:t xml:space="preserve">N.J.S.A.</w:t>
      </w:r>
      <w:r>
        <w:t xml:space="preserve"> </w:t>
      </w:r>
      <w:r>
        <w:t xml:space="preserve">§</w:t>
      </w:r>
      <w:r>
        <w:t xml:space="preserve"> </w:t>
      </w:r>
      <w:r>
        <w:t xml:space="preserve">12A:4A-209</w:t>
      </w:r>
      <w:r>
        <w:t xml:space="preserve"> </w:t>
      </w:r>
      <w:r>
        <w:tab/>
      </w:r>
      <w:r>
        <w:t xml:space="preserve">7</w:t>
      </w:r>
    </w:p>
    <w:p>
      <w:pPr>
        <w:pStyle w:val="TOAEntry"/>
      </w:pPr>
      <w:r>
        <w:t xml:space="preserve">N.J.S.A.</w:t>
      </w:r>
      <w:r>
        <w:t xml:space="preserve"> </w:t>
      </w:r>
      <w:r>
        <w:t xml:space="preserve">§</w:t>
      </w:r>
      <w:r>
        <w:t xml:space="preserve"> </w:t>
      </w:r>
      <w:r>
        <w:t xml:space="preserve">12A:4A-402</w:t>
      </w:r>
      <w:r>
        <w:t xml:space="preserve"> </w:t>
      </w:r>
      <w:r>
        <w:tab/>
      </w:r>
      <w:r>
        <w:t xml:space="preserve">7</w:t>
      </w:r>
    </w:p>
    <w:p>
      <w:pPr>
        <w:pStyle w:val="TOAEntry"/>
      </w:pPr>
      <w:r>
        <w:t xml:space="preserve">N.J.S.A.</w:t>
      </w:r>
      <w:r>
        <w:t xml:space="preserve"> </w:t>
      </w:r>
      <w:r>
        <w:t xml:space="preserve">§</w:t>
      </w:r>
      <w:r>
        <w:t xml:space="preserve"> </w:t>
      </w:r>
      <w:r>
        <w:t xml:space="preserve">12A:4A-404</w:t>
      </w:r>
      <w:r>
        <w:t xml:space="preserve"> </w:t>
      </w:r>
      <w:r>
        <w:tab/>
      </w:r>
      <w:r>
        <w:t xml:space="preserve">6</w:t>
      </w:r>
    </w:p>
    <w:p>
      <w:pPr>
        <w:pStyle w:val="TOAEntry"/>
      </w:pPr>
      <w:r>
        <w:t xml:space="preserve">N.J.S.A.</w:t>
      </w:r>
      <w:r>
        <w:t xml:space="preserve"> </w:t>
      </w:r>
      <w:r>
        <w:t xml:space="preserve">§</w:t>
      </w:r>
      <w:r>
        <w:t xml:space="preserve"> </w:t>
      </w:r>
      <w:r>
        <w:t xml:space="preserve">17:9A-223</w:t>
      </w:r>
      <w:r>
        <w:t xml:space="preserve"> </w:t>
      </w:r>
      <w:r>
        <w:tab/>
      </w:r>
      <w:r>
        <w:t xml:space="preserve">1</w:t>
      </w:r>
    </w:p>
    <w:p>
      <w:pPr>
        <w:pStyle w:val="TOAGroup"/>
      </w:pPr>
      <w:r>
        <w:t xml:space="preserve">Rules</w:t>
      </w:r>
    </w:p>
    <w:p>
      <w:pPr>
        <w:pStyle w:val="TOAEntry"/>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1, 2, 3, 8</w:t>
      </w:r>
    </w:p>
    <w:p>
      <w:pPr>
        <w:sectPr>
          <w:footerReference w:type="default" r:id="rIdFtrPage"/>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Defendant Bank of America, N.A. (</w:t>
      </w:r>
      <w:r>
        <w:t xml:space="preserve">“BANA”</w:t>
      </w:r>
      <w:r>
        <w:t xml:space="preserve">), respectfully submits this Memorandum of Law in Support of its Motion to Dismiss Plaintiff Premnath Karre’s (</w:t>
      </w:r>
      <w:r>
        <w:t xml:space="preserve">“Plaintiff”</w:t>
      </w:r>
      <w:r>
        <w:t xml:space="preserve">) Complaint for failure to state a claim upon which relief can be granted pursuant to Fed. R. Civ. P. 12(b)(6), and states as follows:</w:t>
      </w:r>
    </w:p>
    <w:p>
      <w:pPr>
        <w:pStyle w:val="BodyText"/>
      </w:pPr>
      <w:r>
        <w:t xml:space="preserve">Plaintiff, a Georgia resident, alleges that on December 26, 2024, two unauthorized wire transfers totaling $123,510 were executed from his E*TRADE brokerage account and routed to accounts held at BANA. Plaintiff is not a customer of BANA and has no contractual, fiduciary, or other relationship with BANA with respect to the accounts or transfers at issue. BANA is merely the beneficiary’s bank—it received incoming wire transfers into accounts held by unknown third parties.</w:t>
      </w:r>
    </w:p>
    <w:p>
      <w:pPr>
        <w:pStyle w:val="BodyText"/>
      </w:pPr>
      <w:r>
        <w:t xml:space="preserve">Plaintiff’s claims against BANA fail as a matter of law for four reasons. First, Plaintiff’s common law claims for negligence and conversion are preempted by Article 4A of the Uniform Commercial Code, N.J.S.A. § 12A:4A-101 et seq., which provides the exclusive framework governing rights and liabilities arising from wire transfers. Second, Plaintiff’s negligence claim fails because BANA owed no duty of care to Plaintiff as a non-customer. It is well-settled law that banks do not owe a general duty of care to non-customers, and no exception applies here. Third, Plaintiff’s claims are inconsistent with New Jersey’s Adverse Claims Statute, N.J.S.A. § 17:9A-223, which provides that a bank need not recognize an adverse claim to deposited funds absent a court order or indemnifying bond—neither of which Plaintiff obtained. Fourth, Plaintiff fails to state a claim for conversion because BANA never exercised independent dominion or control over any funds belonging to Plaintiff.</w:t>
      </w:r>
    </w:p>
    <w:p>
      <w:pPr>
        <w:pStyle w:val="BodyText"/>
      </w:pPr>
      <w:r>
        <w:t xml:space="preserve">For these reasons and as explained below, Plaintiff’s Complaint should be dismissed under Fed. R. Civ. P. 12(b)(6).</w:t>
      </w:r>
    </w:p>
    <w:p>
      <w:pPr>
        <w:pStyle w:val="Heading1"/>
      </w:pPr>
      <w:bookmarkStart w:id="10" w:name="_c782d4980352688b0148305281d62652acab74d"/>
      <w:r>
        <w:t xml:space="preserve">Statement of Facts</w:t>
      </w:r>
      <w:bookmarkEnd w:id="10"/>
    </w:p>
    <w:p>
      <w:pPr>
        <w:pStyle w:val="FirstParagraph"/>
      </w:pPr>
      <w:r>
        <w:t xml:space="preserve">Plaintiff Premnath Karre is a resident of Georgia who maintained a brokerage account with E*TRADE Securities LLC (</w:t>
      </w:r>
      <w:r>
        <w:t xml:space="preserve">“E*TRADE”</w:t>
      </w:r>
      <w:r>
        <w:t xml:space="preserve">).</w:t>
      </w:r>
      <w:r>
        <w:t xml:space="preserve"> </w:t>
      </w:r>
      <w:r>
        <w:rPr>
          <w:i/>
          <w:iCs/>
        </w:rPr>
        <w:t xml:space="preserve">See</w:t>
      </w:r>
      <w:r>
        <w:t xml:space="preserve"> </w:t>
      </w:r>
      <w:r>
        <w:t xml:space="preserve">Compl. ¶¶ 5, 14. Plaintiff is not a BANA customer and has no contractual, fiduciary, or other relationship with BANA with respect to the accounts or transfers at issue.</w:t>
      </w:r>
    </w:p>
    <w:p>
      <w:pPr>
        <w:pStyle w:val="BodyText"/>
      </w:pPr>
      <w:r>
        <w:t xml:space="preserve">According to the Complaint, on December 26, 2024, two unauthorized wire transfers were executed from Plaintiff’s E*TRADE account: one in the amount of $98,580 and another in the amount of $24,930, totaling $123,510.</w:t>
      </w:r>
      <w:r>
        <w:t xml:space="preserve"> </w:t>
      </w:r>
      <w:r>
        <w:rPr>
          <w:i/>
          <w:iCs/>
        </w:rPr>
        <w:t xml:space="preserve">See</w:t>
      </w:r>
      <w:r>
        <w:t xml:space="preserve"> </w:t>
      </w:r>
      <w:r>
        <w:t xml:space="preserve">Compl. ¶¶ 16–18. Plaintiff alleges that E*TRADE and/or Morgan Stanley later informed him that the transfers were routed through Bank of America accounts within the United States.</w:t>
      </w:r>
      <w:r>
        <w:t xml:space="preserve"> </w:t>
      </w:r>
      <w:r>
        <w:rPr>
          <w:i/>
          <w:iCs/>
        </w:rPr>
        <w:t xml:space="preserve">See id.</w:t>
      </w:r>
      <w:r>
        <w:t xml:space="preserve"> </w:t>
      </w:r>
      <w:r>
        <w:t xml:space="preserve">¶ 27. Plaintiff further alleges, on information and belief, that BANA received and processed the proceeds of the transfers into accounts maintained or serviced by BANA.</w:t>
      </w:r>
      <w:r>
        <w:t xml:space="preserve"> </w:t>
      </w:r>
      <w:r>
        <w:rPr>
          <w:i/>
          <w:iCs/>
        </w:rPr>
        <w:t xml:space="preserve">See id.</w:t>
      </w:r>
      <w:r>
        <w:t xml:space="preserve"> </w:t>
      </w:r>
      <w:r>
        <w:t xml:space="preserve">¶ 55.</w:t>
      </w:r>
    </w:p>
    <w:p>
      <w:pPr>
        <w:pStyle w:val="BodyText"/>
      </w:pPr>
      <w:r>
        <w:t xml:space="preserve">Plaintiff alleges that E*TRADE refunded $23,501.52 to his account, leaving $100,008.48 unrecovered.</w:t>
      </w:r>
      <w:r>
        <w:t xml:space="preserve"> </w:t>
      </w:r>
      <w:r>
        <w:rPr>
          <w:i/>
          <w:iCs/>
        </w:rPr>
        <w:t xml:space="preserve">See</w:t>
      </w:r>
      <w:r>
        <w:t xml:space="preserve"> </w:t>
      </w:r>
      <w:r>
        <w:t xml:space="preserve">Compl. ¶ 24. Plaintiff does not allege that he has any customer relationship with BANA or that BANA had advance knowledge that the transfers were allegedly fraudulent; rather, his allegations against BANA concern BANA’s alleged receipt and processing of funds routed into accounts maintained or serviced by BANA.</w:t>
      </w:r>
      <w:r>
        <w:t xml:space="preserve"> </w:t>
      </w:r>
      <w:r>
        <w:rPr>
          <w:i/>
          <w:iCs/>
        </w:rPr>
        <w:t xml:space="preserve">See id.</w:t>
      </w:r>
      <w:r>
        <w:t xml:space="preserve"> </w:t>
      </w:r>
      <w:r>
        <w:t xml:space="preserve">¶¶ 55, 58.</w:t>
      </w:r>
    </w:p>
    <w:p>
      <w:pPr>
        <w:pStyle w:val="BodyText"/>
      </w:pPr>
      <w:r>
        <w:t xml:space="preserve">Critically, Plaintiff does not allege that he obtained any court order, restraining order, or injunction directed at BANA or the accounts at issue. Nor does Plaintiff allege that he provided BANA with an indemnifying bond. Plaintiff simply alleges that funds were routed to BANA accounts and that BANA should have somehow prevented or remedied the fraud committed against him by unknown third parties.</w:t>
      </w:r>
    </w:p>
    <w:p>
      <w:pPr>
        <w:pStyle w:val="BodyText"/>
      </w:pPr>
      <w:r>
        <w:t xml:space="preserve">Based on these allegations, Plaintiff asserts claims against BANA for negligence (Count Four) and conversion (Count Five).</w:t>
      </w:r>
      <w:r>
        <w:t xml:space="preserve"> </w:t>
      </w:r>
      <w:r>
        <w:rPr>
          <w:i/>
          <w:iCs/>
        </w:rPr>
        <w:t xml:space="preserve">See</w:t>
      </w:r>
      <w:r>
        <w:t xml:space="preserve"> </w:t>
      </w:r>
      <w:r>
        <w:t xml:space="preserve">Compl. ¶¶ 35–50.</w:t>
      </w:r>
    </w:p>
    <w:p>
      <w:pPr>
        <w:pStyle w:val="Heading1"/>
      </w:pPr>
      <w:bookmarkStart w:id="11" w:name="_f71bb8ee81b7f5e1fea0089ad4ffa65b0be4956"/>
      <w:r>
        <w:t xml:space="preserve">Legal Standard</w:t>
      </w:r>
      <w:bookmarkEnd w:id="11"/>
    </w:p>
    <w:p>
      <w:pPr>
        <w:pStyle w:val="FirstParagraph"/>
      </w:pPr>
      <w:r>
        <w:t xml:space="preserve">Federal Rule of Civil Procedure 12(b)(6) permits dismissal of a complaint for</w:t>
      </w:r>
      <w:r>
        <w:t xml:space="preserve"> </w:t>
      </w:r>
      <w:r>
        <w:t xml:space="preserve">“failure to state a claim upon which relief can be granted.”</w:t>
      </w:r>
      <w:r>
        <w:t xml:space="preserve"> </w:t>
      </w:r>
      <w:r>
        <w:t xml:space="preserve">In resolving a Rule 12(b)(6) motion, courts</w:t>
      </w:r>
      <w:r>
        <w:t xml:space="preserve"> </w:t>
      </w:r>
      <w:r>
        <w:t xml:space="preserve">“accept all factual allegations as true, construe the complaint in the light most favorable to the plaintiff, and determine whether, under any reasonable reading of the complaint, the plaintiff may be entitled to relief.”</w:t>
      </w:r>
      <w:r>
        <w:t xml:space="preserve"> </w:t>
      </w:r>
      <w:r>
        <w:rPr>
          <w:i/>
          <w:iCs/>
        </w:rPr>
        <w:t xml:space="preserve">Obataiye v. Lanigan</w:t>
      </w:r>
      <w:r>
        <w:t xml:space="preserve">, 2018 WL 3019887, at *6 (quoting</w:t>
      </w:r>
      <w:r>
        <w:t xml:space="preserve"> </w:t>
      </w:r>
      <w:r>
        <w:rPr>
          <w:i/>
          <w:iCs/>
        </w:rPr>
        <w:t xml:space="preserve">Fowler v. UPMC Shadyside</w:t>
      </w:r>
      <w:r>
        <w:t xml:space="preserve">, 578 F.3d 203, 210 (3d Cir. 2009)).</w:t>
      </w:r>
    </w:p>
    <w:p>
      <w:pPr>
        <w:pStyle w:val="BodyText"/>
      </w:pPr>
      <w:r>
        <w:t xml:space="preserve">“In other words, a complaint survives a motion to dismiss if it contains sufficient factual matter, accepted as true, to</w:t>
      </w:r>
      <w:r>
        <w:t xml:space="preserve"> </w:t>
      </w:r>
      <w:r>
        <w:t xml:space="preserve">‘state a claim to relief that is plausible on its face.’</w:t>
      </w:r>
      <w:r>
        <w:t xml:space="preserve">”</w:t>
      </w:r>
      <w:r>
        <w:t xml:space="preserve"> </w:t>
      </w:r>
      <w:r>
        <w:rPr>
          <w:i/>
          <w:iCs/>
        </w:rPr>
        <w:t xml:space="preserve">Id.</w:t>
      </w:r>
      <w:r>
        <w:t xml:space="preserve"> </w:t>
      </w:r>
      <w:r>
        <w:t xml:space="preserve">(quoting</w:t>
      </w:r>
      <w:r>
        <w:t xml:space="preserve"> </w:t>
      </w:r>
      <w:r>
        <w:rPr>
          <w:i/>
          <w:iCs/>
        </w:rPr>
        <w:t xml:space="preserve">Bell Atl. Corp. v. Twombly</w:t>
      </w:r>
      <w:r>
        <w:t xml:space="preserve">, 550 U.S. 544, 570 (2007)).</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w:t>
      </w:r>
    </w:p>
    <w:p>
      <w:pPr>
        <w:pStyle w:val="BodyText"/>
      </w:pPr>
      <w:r>
        <w:t xml:space="preserve">The Court must accept all well-pleaded factual allegations in the complaint as true.</w:t>
      </w:r>
      <w:r>
        <w:t xml:space="preserve"> </w:t>
      </w:r>
      <w:r>
        <w:rPr>
          <w:i/>
          <w:iCs/>
        </w:rPr>
        <w:t xml:space="preserve">Palakovic v. Wetzel</w:t>
      </w:r>
      <w:r>
        <w:t xml:space="preserve">, 854 F.3d 209, 219 (3d Cir. 2017). But the Court</w:t>
      </w:r>
      <w:r>
        <w:t xml:space="preserve"> </w:t>
      </w:r>
      <w:r>
        <w:t xml:space="preserve">“need not credit a complaint’s bald assertions or legal conclusions when deciding a motion to dismiss.”</w:t>
      </w:r>
      <w:r>
        <w:t xml:space="preserve"> </w:t>
      </w:r>
      <w:r>
        <w:rPr>
          <w:i/>
          <w:iCs/>
        </w:rPr>
        <w:t xml:space="preserve">Morse v. Lower Merion Sch. Dist.</w:t>
      </w:r>
      <w:r>
        <w:t xml:space="preserve">, 132 F.3d 902, 906 (3d Cir. 1997);</w:t>
      </w:r>
      <w:r>
        <w:t xml:space="preserve"> </w:t>
      </w:r>
      <w:r>
        <w:rPr>
          <w:i/>
          <w:iCs/>
        </w:rPr>
        <w:t xml:space="preserve">see also</w:t>
      </w:r>
      <w:r>
        <w:t xml:space="preserve"> </w:t>
      </w:r>
      <w:r>
        <w:rPr>
          <w:i/>
          <w:iCs/>
        </w:rPr>
        <w:t xml:space="preserve">Morrow v. Balaski</w:t>
      </w:r>
      <w:r>
        <w:t xml:space="preserve">, 719 F.3d 160, 165 (3d Cir. 2013);</w:t>
      </w:r>
      <w:r>
        <w:t xml:space="preserve"> </w:t>
      </w:r>
      <w:r>
        <w:rPr>
          <w:i/>
          <w:iCs/>
        </w:rPr>
        <w:t xml:space="preserve">Sheridan v. NGK Metals Corp.</w:t>
      </w:r>
      <w:r>
        <w:t xml:space="preserve">, 609 F.3d 239, 263 n.27 (3d Cir. 2010).</w:t>
      </w:r>
    </w:p>
    <w:p>
      <w:pPr>
        <w:pStyle w:val="Heading1"/>
      </w:pPr>
      <w:bookmarkStart w:id="12" w:name="_argument"/>
      <w:r>
        <w:t xml:space="preserve">Argument</w:t>
      </w:r>
      <w:bookmarkEnd w:id="12"/>
    </w:p>
    <w:p>
      <w:pPr>
        <w:pStyle w:val="Heading2"/>
      </w:pPr>
      <w:bookmarkStart w:id="13" w:name="_077b75ebe734e6bb586f5b59793faba58303ee7"/>
      <w:r>
        <w:t xml:space="preserve">I.</w:t>
      </w:r>
      <w:r>
        <w:tab/>
      </w:r>
      <w:r>
        <w:t xml:space="preserve">Plaintiff’s Common Law Claims Are Preempted by UCC Article 4A.</w:t>
      </w:r>
      <w:bookmarkEnd w:id="13"/>
    </w:p>
    <w:p>
      <w:pPr>
        <w:pStyle w:val="FirstParagraph"/>
      </w:pPr>
      <w:r>
        <w:t xml:space="preserve">Plaintiff’s claims for negligence and conversion arise from wire transfers and are therefore governed exclusively by Article 4A of the Uniform Commercial Code (the</w:t>
      </w:r>
      <w:r>
        <w:t xml:space="preserve"> </w:t>
      </w:r>
      <w:r>
        <w:t xml:space="preserve">“UCC”</w:t>
      </w:r>
      <w:r>
        <w:t xml:space="preserve">), as codified in New Jersey at N.J.S.A. § 12A:4A-101 et seq. Article 4A provides a comprehensive framework governing the rights, duties, and liabilities of parties involved in funds transfers, and its provisions expressly preempt common law claims that seek to impose liability inconsistent with its carefully crafted allocation of risk.</w:t>
      </w:r>
    </w:p>
    <w:p>
      <w:pPr>
        <w:pStyle w:val="BodyText"/>
      </w:pPr>
      <w:r>
        <w:t xml:space="preserve">N.J.S.A. § 12A:1-103(b) provides that principles of common law and equity supplement the UCC’s provisions but</w:t>
      </w:r>
      <w:r>
        <w:t xml:space="preserve"> </w:t>
      </w:r>
      <w:r>
        <w:t xml:space="preserve">“may not be used to supplant its provisions, or the purposes and policies those provisions reflect.”</w:t>
      </w:r>
      <w:r>
        <w:t xml:space="preserve"> </w:t>
      </w:r>
      <w:r>
        <w:t xml:space="preserve">The New Jersey Supreme Court has emphatically confirmed this principle in the wire transfer context. In</w:t>
      </w:r>
      <w:r>
        <w:t xml:space="preserve"> </w:t>
      </w:r>
      <w:r>
        <w:rPr>
          <w:i/>
          <w:iCs/>
        </w:rPr>
        <w:t xml:space="preserve">ADS Assocs. Group, Inc. v. Oritani Sav. Bank</w:t>
      </w:r>
      <w:r>
        <w:t xml:space="preserve">, 219 N.J. 496, 518–20 (2014), the Court held that recognition of common law claims in wire transfer disputes</w:t>
      </w:r>
      <w:r>
        <w:t xml:space="preserve"> </w:t>
      </w:r>
      <w:r>
        <w:t xml:space="preserve">“would be precisely the type of resort to principles of law or equity outside of Article 4A that the Legislature expressly sought to avoid.”</w:t>
      </w:r>
    </w:p>
    <w:p>
      <w:pPr>
        <w:pStyle w:val="BodyText"/>
      </w:pPr>
      <w:r>
        <w:t xml:space="preserve">Federal courts in this District have uniformly applied this principle to dismiss common law claims arising from wire transfers. In</w:t>
      </w:r>
      <w:r>
        <w:t xml:space="preserve"> </w:t>
      </w:r>
      <w:r>
        <w:rPr>
          <w:i/>
          <w:iCs/>
        </w:rPr>
        <w:t xml:space="preserve">Harborview Capital Partners, LLC v. Cross River Bank</w:t>
      </w:r>
      <w:r>
        <w:t xml:space="preserve">, 600 F. Supp. 3d 485, 496 (D.N.J. 2022), the court held that common law claims were preempted by Article 4A where the claims arose from a wire transfer dispute. Similarly, in</w:t>
      </w:r>
      <w:r>
        <w:t xml:space="preserve"> </w:t>
      </w:r>
      <w:r>
        <w:rPr>
          <w:i/>
          <w:iCs/>
        </w:rPr>
        <w:t xml:space="preserve">Remtek Servs. v. Wells Fargo Bank, N.A.</w:t>
      </w:r>
      <w:r>
        <w:t xml:space="preserve">, 2020 U.S. Dist. LEXIS 7678, at *7 (D.N.J. Jan. 16, 2020), the court held that Article 4A’s provisions are</w:t>
      </w:r>
      <w:r>
        <w:t xml:space="preserve"> </w:t>
      </w:r>
      <w:r>
        <w:t xml:space="preserve">“intended to be the exclusive means of determining the rights, duties and liabilities”</w:t>
      </w:r>
      <w:r>
        <w:t xml:space="preserve"> </w:t>
      </w:r>
      <w:r>
        <w:t xml:space="preserve">of the parties in a funds transfer.</w:t>
      </w:r>
      <w:r>
        <w:t xml:space="preserve"> </w:t>
      </w:r>
      <w:r>
        <w:rPr>
          <w:i/>
          <w:iCs/>
        </w:rPr>
        <w:t xml:space="preserve">See also</w:t>
      </w:r>
      <w:r>
        <w:t xml:space="preserve"> </w:t>
      </w:r>
      <w:r>
        <w:rPr>
          <w:i/>
          <w:iCs/>
        </w:rPr>
        <w:t xml:space="preserve">Essgeekay Corp. v. TD Bank, N.A.</w:t>
      </w:r>
      <w:r>
        <w:t xml:space="preserve">, 2018 U.S. Dist. LEXIS 214691, at *17 (D.N.J. Dec. 19, 2018) (holding that allowing common law claims would sidestep the</w:t>
      </w:r>
      <w:r>
        <w:t xml:space="preserve"> </w:t>
      </w:r>
      <w:r>
        <w:t xml:space="preserve">“careful and delicate”</w:t>
      </w:r>
      <w:r>
        <w:t xml:space="preserve"> </w:t>
      </w:r>
      <w:r>
        <w:t xml:space="preserve">loss allocation scheme of Article 4A).</w:t>
      </w:r>
    </w:p>
    <w:p>
      <w:pPr>
        <w:pStyle w:val="BodyText"/>
      </w:pPr>
      <w:r>
        <w:t xml:space="preserve">These holdings are consistent with longstanding Third Circuit and District of New Jersey precedent.</w:t>
      </w:r>
      <w:r>
        <w:t xml:space="preserve"> </w:t>
      </w:r>
      <w:r>
        <w:rPr>
          <w:i/>
          <w:iCs/>
        </w:rPr>
        <w:t xml:space="preserve">See</w:t>
      </w:r>
      <w:r>
        <w:t xml:space="preserve"> </w:t>
      </w:r>
      <w:r>
        <w:rPr>
          <w:i/>
          <w:iCs/>
        </w:rPr>
        <w:t xml:space="preserve">Yahn &amp; McDonnell, Inc. v. Farmers Bank of State of Del.</w:t>
      </w:r>
      <w:r>
        <w:t xml:space="preserve">, 708 F.2d 104, 113 (3d Cir. 1983) (common law action barred where the UCC provides a comprehensive remedy);</w:t>
      </w:r>
      <w:r>
        <w:t xml:space="preserve"> </w:t>
      </w:r>
      <w:r>
        <w:rPr>
          <w:i/>
          <w:iCs/>
        </w:rPr>
        <w:t xml:space="preserve">New Jersey Bank, N.A. v. Bradford Secs. Ops., Inc.</w:t>
      </w:r>
      <w:r>
        <w:t xml:space="preserve">, 690 F.2d 339, 345 (3d Cir. 1982) (same);</w:t>
      </w:r>
      <w:r>
        <w:t xml:space="preserve"> </w:t>
      </w:r>
      <w:r>
        <w:rPr>
          <w:i/>
          <w:iCs/>
        </w:rPr>
        <w:t xml:space="preserve">Bank Polska Kasa Opieki, S.A. v. Pamrapo Sav. Bank, S.L.A.</w:t>
      </w:r>
      <w:r>
        <w:t xml:space="preserve">, 909 F. Supp. 948, 956 (D.N.J. 1995) (</w:t>
      </w:r>
      <w:r>
        <w:t xml:space="preserve">“Only in very rare instances should a court upset the legislative scheme of loss allocation and permit a common law cause of action.”</w:t>
      </w:r>
      <w:r>
        <w:t xml:space="preserve">). New Jersey state courts have reached the same conclusion.</w:t>
      </w:r>
      <w:r>
        <w:t xml:space="preserve"> </w:t>
      </w:r>
      <w:r>
        <w:rPr>
          <w:i/>
          <w:iCs/>
        </w:rPr>
        <w:t xml:space="preserve">See</w:t>
      </w:r>
      <w:r>
        <w:t xml:space="preserve"> </w:t>
      </w:r>
      <w:r>
        <w:rPr>
          <w:i/>
          <w:iCs/>
        </w:rPr>
        <w:t xml:space="preserve">Psak, Graziano, Piasecki &amp; Whitelaw v. Fleet Nat’l Bank</w:t>
      </w:r>
      <w:r>
        <w:t xml:space="preserve">, 390 N.J. Super. 199, 204 (App. Div. 2007) (</w:t>
      </w:r>
      <w:r>
        <w:t xml:space="preserve">“the UCC displaces the common-law where reliance on the common law would thwart the purposes of the UCC”</w:t>
      </w:r>
      <w:r>
        <w:t xml:space="preserve">);</w:t>
      </w:r>
      <w:r>
        <w:t xml:space="preserve"> </w:t>
      </w:r>
      <w:r>
        <w:rPr>
          <w:i/>
          <w:iCs/>
        </w:rPr>
        <w:t xml:space="preserve">First Atl. Fed. Credit Union v. Perez</w:t>
      </w:r>
      <w:r>
        <w:t xml:space="preserve">, 391 N.J. Super. 419, 431 (App. Div. 2007) (quoting</w:t>
      </w:r>
      <w:r>
        <w:t xml:space="preserve"> </w:t>
      </w:r>
      <w:r>
        <w:rPr>
          <w:i/>
          <w:iCs/>
        </w:rPr>
        <w:t xml:space="preserve">Bank Polska</w:t>
      </w:r>
      <w:r>
        <w:t xml:space="preserve">, 909 F. Supp. at 956).</w:t>
      </w:r>
    </w:p>
    <w:p>
      <w:pPr>
        <w:pStyle w:val="BodyText"/>
      </w:pPr>
      <w:r>
        <w:t xml:space="preserve">In</w:t>
      </w:r>
      <w:r>
        <w:t xml:space="preserve"> </w:t>
      </w:r>
      <w:r>
        <w:rPr>
          <w:i/>
          <w:iCs/>
        </w:rPr>
        <w:t xml:space="preserve">DeFazio v. Wells Fargo Bank, N.A.</w:t>
      </w:r>
      <w:r>
        <w:t xml:space="preserve">, No. 20-375 (SRC), 2020 WL 1888252, at *3 (D.N.J. Apr. 16, 2020), this Court addressed facts virtually identical to those presented here. The plaintiff in</w:t>
      </w:r>
      <w:r>
        <w:t xml:space="preserve"> </w:t>
      </w:r>
      <w:r>
        <w:rPr>
          <w:i/>
          <w:iCs/>
        </w:rPr>
        <w:t xml:space="preserve">DeFazio</w:t>
      </w:r>
      <w:r>
        <w:t xml:space="preserve"> </w:t>
      </w:r>
      <w:r>
        <w:t xml:space="preserve">alleged that Wells Fargo was negligent in: (i) allowing the beneficiary account receiving a wire transfer to be opened, (ii) allowing the transfer of the wired funds out of the account, and (iii) failing to prevent further transfers out of the account after being put on notice of the fraud. As the court held, Article 4A</w:t>
      </w:r>
      <w:r>
        <w:t xml:space="preserve"> </w:t>
      </w:r>
      <w:r>
        <w:t xml:space="preserve">“directly addresses the funds transfer actions on which Plaintiff’s negligence claim is based”</w:t>
      </w:r>
      <w:r>
        <w:t xml:space="preserve"> </w:t>
      </w:r>
      <w:r>
        <w:t xml:space="preserve">and dismissed the claims as preempted.</w:t>
      </w:r>
      <w:r>
        <w:t xml:space="preserve"> </w:t>
      </w:r>
      <w:r>
        <w:rPr>
          <w:i/>
          <w:iCs/>
        </w:rPr>
        <w:t xml:space="preserve">Id.</w:t>
      </w:r>
      <w:r>
        <w:t xml:space="preserve"> </w:t>
      </w:r>
      <w:r>
        <w:t xml:space="preserve">The court explained:</w:t>
      </w:r>
    </w:p>
    <w:p>
      <w:pPr>
        <w:pStyle w:val="BlockText"/>
      </w:pPr>
      <w:r>
        <w:t xml:space="preserve">With regard to transfers out of account, Section 404 establishes a bank’s obligation to make funds available to a payment order beneficiary when the beneficiary bank accepts the order, requiring a bank to pay the amount of the order upon acceptance. N.J.S.A. 12A:4A-404. Article 4A directly addresses the funds transfer actions on which Plaintiff’s negligence claim is based. Accordingly, it precludes Plaintiff’s claim that Wells Fargo acted with negligence or gross negligence in accepting the funds Plaintiff erroneously transferred into the Wells Fargo Account, in transferring funds out of the Wells Fargo Account and in otherwise failing to prevent transfers from the Wells Fargo Account.</w:t>
      </w:r>
    </w:p>
    <w:p>
      <w:pPr>
        <w:pStyle w:val="FirstParagraph"/>
      </w:pPr>
      <w:r>
        <w:rPr>
          <w:i/>
          <w:iCs/>
        </w:rPr>
        <w:t xml:space="preserve">DeFazio</w:t>
      </w:r>
      <w:r>
        <w:t xml:space="preserve">, 2020 WL 1888252, at *3.</w:t>
      </w:r>
    </w:p>
    <w:p>
      <w:pPr>
        <w:pStyle w:val="BodyText"/>
      </w:pPr>
      <w:r>
        <w:t xml:space="preserve">The same analysis applies here. Plaintiff’s claims against BANA are based on BANA’s receipt of wire transfers into its customers’ accounts and BANA’s alleged failure to freeze or return those funds.</w:t>
      </w:r>
      <w:r>
        <w:t xml:space="preserve"> </w:t>
      </w:r>
      <w:r>
        <w:rPr>
          <w:i/>
          <w:iCs/>
        </w:rPr>
        <w:t xml:space="preserve">See</w:t>
      </w:r>
      <w:r>
        <w:t xml:space="preserve"> </w:t>
      </w:r>
      <w:r>
        <w:t xml:space="preserve">Compl. ¶¶ 55, 58–60, 64–67. These are precisely the actions governed by Article 4A. Under N.J.S.A. § 12A:4A-209, a payment order is accepted by the beneficiary’s bank when the beneficiary is paid or notified of credit. Under N.J.S.A. § 12A:4A-402, the originator is obligated to pay the receiving bank upon acceptance.</w:t>
      </w:r>
    </w:p>
    <w:p>
      <w:pPr>
        <w:pStyle w:val="BodyText"/>
      </w:pPr>
      <w:r>
        <w:rPr>
          <w:i/>
          <w:iCs/>
        </w:rPr>
        <w:t xml:space="preserve">[Remainder of Point I, Points II through IV, and their citations are omitted from this transcription.]</w:t>
      </w:r>
    </w:p>
    <w:p>
      <w:pPr>
        <w:pStyle w:val="Heading1"/>
      </w:pPr>
      <w:bookmarkStart w:id="14" w:name="_conclusion"/>
      <w:r>
        <w:t xml:space="preserve">Conclusion</w:t>
      </w:r>
      <w:bookmarkEnd w:id="14"/>
    </w:p>
    <w:p>
      <w:pPr>
        <w:pStyle w:val="BodyKeep"/>
      </w:pPr>
      <w:r>
        <w:t xml:space="preserve">For the foregoing reasons, BANA requests that the Court grant its Motion to Dismiss Plaintiff’s Complaint in its entirety with prejudice pursuant to Fed. R. Civ. P. 12(b)(6), and grant such other and further relief as the Court deems just and proper.</w:t>
      </w:r>
    </w:p>
    <w:p>
      <w:pPr>
        <w:pStyle w:val="Gap"/>
        <w:keepN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pStyle w:val="Single"/>
            </w:pPr>
            <w:r>
              <w:t xml:space="preserve">Dated: </w:t>
            </w:r>
            <w:r>
              <w:t xml:space="preserve">July</w:t>
            </w:r>
            <w:r>
              <w:t xml:space="preserve"> </w:t>
            </w:r>
            <w:r>
              <w:t xml:space="preserve">14,</w:t>
            </w:r>
            <w:r>
              <w:t xml:space="preserve"> </w:t>
            </w:r>
            <w:r>
              <w:t xml:space="preserve">2026</w:t>
            </w:r>
          </w:p>
        </w:tc>
        <w:tc>
          <w:tcPr>
            <w:tcW w:w="4608" w:type="dxa"/>
          </w:tcPr>
          <w:p>
            <w:pPr>
              <w:pStyle w:val="Single"/>
            </w:pPr>
            <w:r>
              <w:t xml:space="preserve">Respectfully submitted,</w:t>
            </w:r>
          </w:p>
          <w:p>
            <w:pPr>
              <w:pStyle w:val="Half"/>
            </w:pPr>
          </w:p>
          <w:p>
            <w:pPr>
              <w:pStyle w:val="Single"/>
            </w:pPr>
            <w:r>
              <w:t xml:space="preserve">/s/ Philip A. Goldstein</w:t>
            </w:r>
          </w:p>
          <w:p>
            <w:pPr>
              <w:pStyle w:val="Single"/>
            </w:pPr>
            <w:r>
              <w:t xml:space="preserve">Philip</w:t>
            </w:r>
            <w:r>
              <w:t xml:space="preserve"> </w:t>
            </w:r>
            <w:r>
              <w:t xml:space="preserve">A.</w:t>
            </w:r>
            <w:r>
              <w:t xml:space="preserve"> </w:t>
            </w:r>
            <w:r>
              <w:t xml:space="preserve">Goldstein</w:t>
            </w:r>
          </w:p>
          <w:p>
            <w:pPr>
              <w:pStyle w:val="Single"/>
            </w:pPr>
            <w:r>
              <w:t xml:space="preserve">MCGUIREWOODS</w:t>
            </w:r>
            <w:r>
              <w:t xml:space="preserve"> </w:t>
            </w:r>
            <w:r>
              <w:t xml:space="preserve">LLP</w:t>
            </w:r>
          </w:p>
          <w:p>
            <w:pPr>
              <w:pStyle w:val="Single"/>
            </w:pPr>
            <w:r>
              <w:t xml:space="preserve">Shan</w:t>
            </w:r>
            <w:r>
              <w:t xml:space="preserve"> </w:t>
            </w:r>
            <w:r>
              <w:t xml:space="preserve">P.</w:t>
            </w:r>
            <w:r>
              <w:t xml:space="preserve"> </w:t>
            </w:r>
            <w:r>
              <w:t xml:space="preserve">Massand</w:t>
            </w:r>
          </w:p>
          <w:p>
            <w:pPr>
              <w:pStyle w:val="Single"/>
            </w:pPr>
            <w:r>
              <w:t xml:space="preserve">1251</w:t>
            </w:r>
            <w:r>
              <w:t xml:space="preserve"> </w:t>
            </w:r>
            <w:r>
              <w:t xml:space="preserve">Avenue</w:t>
            </w:r>
            <w:r>
              <w:t xml:space="preserve"> </w:t>
            </w:r>
            <w:r>
              <w:t xml:space="preserve">of</w:t>
            </w:r>
            <w:r>
              <w:t xml:space="preserve"> </w:t>
            </w:r>
            <w:r>
              <w:t xml:space="preserve">the</w:t>
            </w:r>
            <w:r>
              <w:t xml:space="preserve"> </w:t>
            </w:r>
            <w:r>
              <w:t xml:space="preserve">Americas,</w:t>
            </w:r>
            <w:r>
              <w:t xml:space="preserve"> </w:t>
            </w:r>
            <w:r>
              <w:t xml:space="preserve">20th</w:t>
            </w:r>
            <w:r>
              <w:t xml:space="preserve"> </w:t>
            </w:r>
            <w:r>
              <w:t xml:space="preserve">Floor</w:t>
            </w:r>
          </w:p>
          <w:p>
            <w:pPr>
              <w:pStyle w:val="Single"/>
            </w:pPr>
            <w:r>
              <w:t xml:space="preserve">New</w:t>
            </w:r>
            <w:r>
              <w:t xml:space="preserve"> </w:t>
            </w:r>
            <w:r>
              <w:t xml:space="preserve">York,</w:t>
            </w:r>
            <w:r>
              <w:t xml:space="preserve"> </w:t>
            </w:r>
            <w:r>
              <w:t xml:space="preserve">New</w:t>
            </w:r>
            <w:r>
              <w:t xml:space="preserve"> </w:t>
            </w:r>
            <w:r>
              <w:t xml:space="preserve">York</w:t>
            </w:r>
            <w:r>
              <w:t xml:space="preserve"> </w:t>
            </w:r>
            <w:r>
              <w:t xml:space="preserve">10020-1104</w:t>
            </w:r>
          </w:p>
          <w:p>
            <w:pPr>
              <w:pStyle w:val="Single"/>
            </w:pPr>
            <w:r>
              <w:t xml:space="preserve">Phone:</w:t>
            </w:r>
            <w:r>
              <w:t xml:space="preserve"> </w:t>
            </w:r>
            <w:r>
              <w:t xml:space="preserve">(212)</w:t>
            </w:r>
            <w:r>
              <w:t xml:space="preserve"> </w:t>
            </w:r>
            <w:r>
              <w:t xml:space="preserve">548-2100</w:t>
            </w:r>
          </w:p>
          <w:p>
            <w:pPr>
              <w:pStyle w:val="Single"/>
            </w:pPr>
            <w:r>
              <w:t xml:space="preserve">pagoldstein@mcguirewoods.com</w:t>
            </w:r>
          </w:p>
          <w:p>
            <w:pPr>
              <w:pStyle w:val="Single"/>
            </w:pPr>
            <w:r>
              <w:t xml:space="preserve">smassand@mcguirewoods.com</w:t>
            </w: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N.A.</w:t>
            </w:r>
          </w:p>
        </w:tc>
      </w:tr>
    </w:tbl>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pPr>
    <w:rPr>
      <w:rFonts w:ascii="Times New Roman" w:hAnsi="Times New Roman" w:eastAsia="Times New Roman" w:cs="Times New Roman"/>
      <w:color w:val="000000"/>
      <w:sz w:val="28"/>
      <w:szCs w:val="28"/>
    </w:rPr>
  </w:style>
  <w:style w:type="paragraph" w:styleId="BodyText">
    <w:name w:val="Body Text"/>
    <w:basedOn w:val="Normal"/>
    <w:qFormat/>
    <w:pPr>
      <w:spacing w:before="0" w:after="0" w:line="566" w:lineRule="exact"/>
      <w:ind w:firstLine="720"/>
    </w:pPr>
  </w:style>
  <w:style w:type="paragraph" w:styleId="FirstParagraph">
    <w:name w:val="First Paragraph"/>
    <w:basedOn w:val="BodyText"/>
    <w:next w:val="BodyText"/>
    <w:qFormat/>
    <w:pPr>
      <w:spacing w:before="0" w:after="0" w:line="566" w:lineRule="exact"/>
      <w:ind w:firstLine="720"/>
    </w:pPr>
  </w:style>
  <w:style w:type="paragraph" w:styleId="Compact">
    <w:name w:val="Compact"/>
    <w:basedOn w:val="BodyText"/>
    <w:qFormat/>
    <w:pPr>
      <w:spacing w:before="0" w:after="0" w:line="566" w:lineRule="exact"/>
      <w:ind w:firstLine="0"/>
    </w:pPr>
  </w:style>
  <w:style w:type="paragraph" w:styleId="Heading1">
    <w:name w:val="heading 1"/>
    <w:basedOn w:val="Normal"/>
    <w:next w:val="BodyText"/>
    <w:uiPriority w:val="9"/>
    <w:qFormat/>
    <w:pPr>
      <w:keepNext/>
      <w:keepLines/>
      <w:spacing w:before="283" w:after="283" w:line="566" w:lineRule="exact"/>
      <w:ind w:firstLine="0"/>
      <w:jc w:val="center"/>
      <w:outlineLvl w:val="0"/>
    </w:pPr>
    <w:rPr>
      <w:b/>
      <w:bCs/>
      <w:caps/>
      <w:color w:val="000000"/>
      <w:sz w:val="28"/>
      <w:szCs w:val="28"/>
    </w:rPr>
  </w:style>
  <w:style w:type="paragraph" w:styleId="Heading2">
    <w:name w:val="heading 2"/>
    <w:basedOn w:val="Normal"/>
    <w:next w:val="BodyText"/>
    <w:uiPriority w:val="9"/>
    <w:unhideWhenUsed/>
    <w:qFormat/>
    <w:pPr>
      <w:keepNext/>
      <w:keepLines/>
      <w:tabs>
        <w:tab w:val="left" w:pos="720"/>
      </w:tabs>
      <w:spacing w:before="283" w:after="283" w:line="566" w:lineRule="exact"/>
      <w:ind w:left="720" w:hanging="720" w:firstLine="0"/>
      <w:jc w:val="left"/>
      <w:outlineLvl w:val="1"/>
    </w:pPr>
    <w:rPr>
      <w:b/>
      <w:bCs/>
      <w:color w:val="000000"/>
      <w:sz w:val="28"/>
      <w:szCs w:val="28"/>
    </w:rPr>
  </w:style>
  <w:style w:type="paragraph" w:styleId="Heading3">
    <w:name w:val="heading 3"/>
    <w:basedOn w:val="Normal"/>
    <w:next w:val="BodyText"/>
    <w:uiPriority w:val="9"/>
    <w:unhideWhenUsed/>
    <w:qFormat/>
    <w:pPr>
      <w:keepNext/>
      <w:keepLines/>
      <w:tabs>
        <w:tab w:val="left" w:pos="1440"/>
      </w:tabs>
      <w:spacing w:before="283" w:after="283" w:line="566" w:lineRule="exact"/>
      <w:ind w:left="1440" w:hanging="720" w:firstLine="0"/>
      <w:jc w:val="left"/>
      <w:outlineLvl w:val="2"/>
    </w:pPr>
    <w:rPr>
      <w:b/>
      <w:bCs/>
      <w:color w:val="000000"/>
      <w:sz w:val="28"/>
      <w:szCs w:val="28"/>
    </w:rPr>
  </w:style>
  <w:style w:type="paragraph" w:styleId="Heading4">
    <w:name w:val="heading 4"/>
    <w:basedOn w:val="Normal"/>
    <w:next w:val="BodyText"/>
    <w:uiPriority w:val="9"/>
    <w:unhideWhenUsed/>
    <w:qFormat/>
    <w:pPr>
      <w:keepNext/>
      <w:keepLines/>
      <w:tabs>
        <w:tab w:val="left" w:pos="2160"/>
      </w:tabs>
      <w:spacing w:before="283" w:after="283" w:line="566" w:lineRule="exact"/>
      <w:ind w:left="2160" w:hanging="720" w:firstLine="0"/>
      <w:jc w:val="left"/>
      <w:outlineLvl w:val="3"/>
    </w:pPr>
    <w:rPr>
      <w:b/>
      <w:bCs/>
      <w:color w:val="000000"/>
      <w:sz w:val="28"/>
      <w:szCs w:val="28"/>
    </w:rPr>
  </w:style>
  <w:style w:type="paragraph" w:styleId="BlockText">
    <w:name w:val="Block Text"/>
    <w:basedOn w:val="Normal"/>
    <w:next w:val="BodyText"/>
    <w:qFormat/>
    <w:pPr>
      <w:spacing w:before="140" w:after="140" w:line="240" w:lineRule="auto"/>
      <w:ind w:left="720" w:right="720" w:firstLine="0"/>
    </w:pPr>
  </w:style>
  <w:style w:type="paragraph" w:styleId="FootnoteText">
    <w:name w:val="footnote text"/>
    <w:basedOn w:val="Normal"/>
    <w:uiPriority w:val="99"/>
    <w:unhideWhenUsed/>
    <w:pPr>
      <w:spacing w:before="0" w:after="80" w:line="240" w:lineRule="auto"/>
      <w:ind w:firstLine="0"/>
    </w:pPr>
    <w:rPr>
      <w:sz w:val="28"/>
      <w:szCs w:val="28"/>
    </w:rPr>
  </w:style>
  <w:style w:type="paragraph" w:customStyle="1" w:styleId="Single">
    <w:name w:val="Single"/>
    <w:basedOn w:val="Normal"/>
    <w:qFormat/>
    <w:pPr>
      <w:spacing w:before="0" w:after="0" w:line="240" w:lineRule="auto"/>
      <w:ind w:firstLine="0"/>
    </w:pPr>
  </w:style>
  <w:style w:type="paragraph" w:customStyle="1" w:styleId="Centered">
    <w:name w:val="Centered"/>
    <w:basedOn w:val="Single"/>
    <w:qFormat/>
    <w:pPr>
      <w:jc w:val="center"/>
    </w:pPr>
  </w:style>
  <w:style w:type="paragraph" w:customStyle="1" w:styleId="Gap">
    <w:name w:val="Gap"/>
    <w:basedOn w:val="Normal"/>
    <w:pPr>
      <w:spacing w:before="0" w:after="0" w:line="566" w:lineRule="exact"/>
      <w:ind w:firstLine="0"/>
    </w:pPr>
  </w:style>
  <w:style w:type="paragraph" w:customStyle="1" w:styleId="Half">
    <w:name w:val="Half"/>
    <w:basedOn w:val="Normal"/>
    <w:pPr>
      <w:spacing w:before="0" w:after="0" w:line="283" w:lineRule="exact"/>
      <w:ind w:firstLine="0"/>
    </w:pPr>
  </w:style>
  <w:style w:type="paragraph" w:customStyle="1" w:styleId="Designation">
    <w:name w:val="Designation"/>
    <w:basedOn w:val="Single"/>
    <w:qFormat/>
    <w:pPr>
      <w:jc w:val="right"/>
    </w:pPr>
  </w:style>
  <w:style w:type="paragraph" w:customStyle="1" w:styleId="BodyKeep">
    <w:name w:val="Body Keep"/>
    <w:basedOn w:val="BodyText"/>
    <w:qFormat/>
    <w:pPr>
      <w:keepNext/>
    </w:pPr>
  </w:style>
  <w:style w:type="paragraph" w:customStyle="1" w:styleId="UnlistedHeading">
    <w:name w:val="Unlisted Heading"/>
    <w:basedOn w:val="Normal"/>
    <w:next w:val="BodyText"/>
    <w:qFormat/>
    <w:pPr>
      <w:keepNext/>
      <w:keepLines/>
      <w:spacing w:before="283" w:after="283" w:line="566" w:lineRule="exact"/>
      <w:ind w:firstLine="0"/>
      <w:jc w:val="center"/>
    </w:pPr>
    <w:rPr>
      <w:b/>
      <w:bCs/>
      <w:caps/>
      <w:sz w:val="28"/>
      <w:szCs w:val="28"/>
    </w:rPr>
  </w:style>
  <w:style w:type="paragraph" w:customStyle="1" w:styleId="UnlistedHeadingNewPage">
    <w:name w:val="Unlisted Heading New Page"/>
    <w:basedOn w:val="UnlistedHeading"/>
    <w:next w:val="BodyText"/>
    <w:qFormat/>
    <w:pPr>
      <w:pageBreakBefore/>
    </w:pPr>
  </w:style>
  <w:style w:type="paragraph" w:customStyle="1" w:styleId="TOCEntry">
    <w:name w:val="TOC Entry"/>
    <w:basedOn w:val="Single"/>
    <w:qFormat/>
    <w:pPr>
      <w:keepLines/>
      <w:tabs>
        <w:tab w:val="right" w:leader="dot" w:pos="9340"/>
      </w:tabs>
      <w:spacing w:before="0" w:after="200" w:line="240" w:lineRule="auto"/>
      <w:ind w:left="720" w:right="720" w:hanging="720"/>
    </w:pPr>
  </w:style>
  <w:style w:type="paragraph" w:customStyle="1" w:styleId="TOAGroup">
    <w:name w:val="TOA Group"/>
    <w:basedOn w:val="Single"/>
    <w:qFormat/>
    <w:pPr>
      <w:keepNext/>
      <w:spacing w:before="283" w:after="200" w:line="240" w:lineRule="auto"/>
      <w:ind w:firstLine="0"/>
    </w:pPr>
    <w:rPr>
      <w:b/>
      <w:bCs/>
    </w:rPr>
  </w:style>
  <w:style w:type="paragraph" w:customStyle="1" w:styleId="TOAEntry">
    <w:name w:val="TOA Entry"/>
    <w:basedOn w:val="Single"/>
    <w:qFormat/>
    <w:pPr>
      <w:keepLines/>
      <w:tabs>
        <w:tab w:val="right" w:leader="dot" w:pos="9340"/>
      </w:tabs>
      <w:spacing w:before="0" w:after="200" w:line="240" w:lineRule="auto"/>
      <w:ind w:left="720" w:right="1120" w:hanging="720"/>
    </w:p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BodyKeep">
    <w:name w:val="Body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ase_number">
    <vt:lpwstr>2:26-cv-06421-WJM-CF</vt:lpwstr>
  </property>
  <property fmtid="{D5CDD505-2E9C-101B-9397-08002B2CF9AE}" pid="5" name="counsel">
    <vt:lpwstr/>
  </property>
  <property fmtid="{D5CDD505-2E9C-101B-9397-08002B2CF9AE}" pid="6" name="court">
    <vt:lpwstr/>
  </property>
  <property fmtid="{D5CDD505-2E9C-101B-9397-08002B2CF9AE}" pid="7" name="judge">
    <vt:lpwstr/>
  </property>
  <property fmtid="{D5CDD505-2E9C-101B-9397-08002B2CF9AE}" pid="8" name="motion_day">
    <vt:lpwstr>August 17, 2026</vt:lpwstr>
  </property>
  <property fmtid="{D5CDD505-2E9C-101B-9397-08002B2CF9AE}" pid="9" name="signature">
    <vt:lpwstr/>
  </property>
</Properties>
</file>