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IN THE UNITED STATES DISTRICT COURT</w:t>
      </w:r>
    </w:p>
    <w:p>
      <w:pPr>
        <w:pStyle w:val="Centered"/>
      </w:pPr>
      <w:r>
        <w:t xml:space="preserve">FOR THE DISTRICT OF COLORADO</w:t>
      </w:r>
    </w:p>
    <w:p>
      <w:pPr>
        <w:pStyle w:val="Single"/>
        <w:spacing w:before="516" w:after="0"/>
      </w:pPr>
      <w:r>
        <w:t xml:space="preserve">Civil Action No. 1:26-cv-01127-NRN</w:t>
      </w:r>
    </w:p>
    <w:p>
      <w:pPr>
        <w:pStyle w:val="Single"/>
        <w:spacing w:before="516" w:after="0"/>
      </w:pPr>
      <w:r>
        <w:t xml:space="preserve">WENDELL “SEAN” WALTON,</w:t>
      </w:r>
    </w:p>
    <w:p>
      <w:pPr>
        <w:pStyle w:val="Single"/>
        <w:spacing w:before="192" w:after="0"/>
        <w:ind w:left="720" w:firstLine="0"/>
      </w:pPr>
      <w:r>
        <w:t xml:space="preserve">Plaintiff,</w:t>
      </w:r>
    </w:p>
    <w:p>
      <w:pPr>
        <w:pStyle w:val="Single"/>
        <w:spacing w:before="354" w:after="0"/>
      </w:pPr>
      <w:r>
        <w:t xml:space="preserve">v.</w:t>
      </w:r>
    </w:p>
    <w:p>
      <w:pPr>
        <w:pStyle w:val="Single"/>
        <w:spacing w:before="354" w:after="0"/>
      </w:pPr>
      <w:r>
        <w:t xml:space="preserve">PROTECTO WRAP COMPANY,</w:t>
      </w:r>
    </w:p>
    <w:p>
      <w:pPr>
        <w:pStyle w:val="Single"/>
        <w:spacing w:before="192" w:after="0"/>
        <w:ind w:left="720" w:firstLine="0"/>
      </w:pPr>
      <w:r>
        <w:t xml:space="preserve">Defendant.</w:t>
      </w:r>
    </w:p>
    <w:p>
      <w:pPr>
        <w:pStyle w:val="Centered"/>
        <w:spacing w:before="516" w:after="362"/>
      </w:pPr>
      <w:r>
        <w:rPr>
          <w:b/>
        </w:rPr>
        <w:t xml:space="preserve">COMPLAINT AND JURY DEMAND</w:t>
      </w:r>
    </w:p>
    <w:p>
      <w:pPr>
        <w:pStyle w:val="BodyBeforeHeading"/>
      </w:pPr>
      <w:r>
        <w:t xml:space="preserve">Plaintiff Wendell “Sean” Walton (“Mr. Walton” or “Plaintiff”), by and through his attorneys, HKM Employment Attorneys LLP, for his Complaint and Jury Demand against Defendant Protecto Wrap Company (“Protecto Wrap” or “Defendant”), alleges as follows:</w:t>
      </w:r>
    </w:p>
    <w:p>
      <w:pPr>
        <w:pStyle w:val="Heading1"/>
      </w:pPr>
      <w:bookmarkStart w:id="109" w:name="_ace10f9f725c04971d32df615f84f11b05e15b4"/>
      <w:r>
        <w:t xml:space="preserve">PRELIMINARY STATEMENT</w:t>
      </w:r>
      <w:bookmarkEnd w:id="109"/>
    </w:p>
    <w:p>
      <w:pPr>
        <w:pStyle w:val="BodyBeforeHeading"/>
      </w:pPr>
      <w:r>
        <w:t xml:space="preserve">This is an employment discrimination case arising from Defendant’s discrimination and harassment against Mr. Walton, and the subsequent retaliation he experienced following his opposition to racist treatment, in violation of the Colorado Anti-Discrimination Act, C.R.S. § 24-34-401, et seq. (“CADA”) and 42 U.S.C. § 1981 (“Section 1981”). Mr. Walton, an African-American/Black man, was subjected to race-based discrimination and harassment during his employment with Defendant. After he reported the racist treatment and incidents, Defendant terminated his employment.</w:t>
      </w:r>
    </w:p>
    <w:p>
      <w:pPr>
        <w:pStyle w:val="Heading1"/>
      </w:pPr>
      <w:bookmarkStart w:id="110" w:name="_parties"/>
      <w:r>
        <w:t xml:space="preserve">PARTIES</w:t>
      </w:r>
      <w:bookmarkEnd w:id="110"/>
    </w:p>
    <w:p>
      <w:pPr>
        <w:pStyle w:val="FirstParagraph"/>
      </w:pPr>
      <w:r>
        <w:t xml:space="preserve">1. Mr. Walton is, and at all times relevant to this Complaint was, a resident and domiciliary of Colorado who resided in Englewood, Colorado 80110.</w:t>
      </w:r>
    </w:p>
    <w:p>
      <w:pPr>
        <w:pStyle w:val="BodyText"/>
      </w:pPr>
      <w:r>
        <w:t xml:space="preserve">2. At all times relevant to this Complaint, Mr. Walton worked as an employee of Defendant as defined by C.R.S. § 24-34-401(2).</w:t>
      </w:r>
    </w:p>
    <w:p>
      <w:pPr>
        <w:pStyle w:val="BodyText"/>
      </w:pPr>
      <w:r>
        <w:t xml:space="preserve">3. Defendant is a foreign corporation incorporated under the laws of Oklahoma with its principal office located at 1955 South Cherokee Street, Denver, Colorado 80223.</w:t>
      </w:r>
    </w:p>
    <w:p>
      <w:pPr>
        <w:pStyle w:val="BodyText"/>
      </w:pPr>
      <w:r>
        <w:t xml:space="preserve">4. At all times relevant to this Complaint, Defendant served as Mr. Walton’s employer as defined by C.R.S. § 24-34-401(3).</w:t>
      </w:r>
    </w:p>
    <w:p>
      <w:pPr>
        <w:pStyle w:val="BodyBeforeHeading"/>
      </w:pPr>
      <w:r>
        <w:t xml:space="preserve">5. At all relevant times, Defendant employed more than 50 employees during Mr. Walton’s employment.</w:t>
      </w:r>
    </w:p>
    <w:p>
      <w:pPr>
        <w:pStyle w:val="Heading1"/>
      </w:pPr>
      <w:bookmarkStart w:id="111" w:name="_0e2df9c0fe52ebd43073ce38f4076c822df9b17"/>
      <w:r>
        <w:t xml:space="preserve">JURISDICTION AND VENUE</w:t>
      </w:r>
      <w:bookmarkEnd w:id="111"/>
    </w:p>
    <w:p>
      <w:pPr>
        <w:pStyle w:val="FirstParagraph"/>
      </w:pPr>
      <w:r>
        <w:t xml:space="preserve">6. Mr. Walton incorporates by reference the above paragraphs as though set forth separately herein.</w:t>
      </w:r>
    </w:p>
    <w:p>
      <w:pPr>
        <w:pStyle w:val="BodyText"/>
      </w:pPr>
      <w:r>
        <w:t xml:space="preserve">7. Mr. Walton brings this action for violations of Section 1981 and CADA.</w:t>
      </w:r>
    </w:p>
    <w:p>
      <w:pPr>
        <w:pStyle w:val="BodyText"/>
      </w:pPr>
      <w:r>
        <w:t xml:space="preserve">8. This Court has original jurisdiction over Mr. Walton’s claims under Section 1981 pursuant to 28 U.S.C. § 1331 because those claims arise under federal law.</w:t>
      </w:r>
    </w:p>
    <w:p>
      <w:pPr>
        <w:pStyle w:val="BodyText"/>
      </w:pPr>
      <w:r>
        <w:t xml:space="preserve">9. The Court may exercise supplemental jurisdiction over Mr. Walton’s state law claims pursuant to 28 U.S.C. § 1367(a), as such claims arise out of the same case or controversy as Mr. Walton’s federal claims.</w:t>
      </w:r>
    </w:p>
    <w:p>
      <w:pPr>
        <w:pStyle w:val="BodyBeforeHeading"/>
      </w:pPr>
      <w:r>
        <w:t xml:space="preserve">10. Venue is proper in this District pursuant to 28 U.S.C. § 1391(b) because the unlawful employment practices alleged in this Complaint occurred within this District.</w:t>
      </w:r>
    </w:p>
    <w:p>
      <w:pPr>
        <w:pStyle w:val="Heading1"/>
      </w:pPr>
      <w:bookmarkStart w:id="112" w:name="_2a3f81095bfa100673663645f4973bf3459fb32"/>
      <w:r>
        <w:t xml:space="preserve">ADMINISTRATIVE REMEDIES EXHAUSTED</w:t>
      </w:r>
      <w:bookmarkEnd w:id="112"/>
    </w:p>
    <w:p>
      <w:pPr>
        <w:pStyle w:val="FirstParagraph"/>
      </w:pPr>
      <w:r>
        <w:t xml:space="preserve">11. Mr. Walton incorporates by reference the above paragraphs as though set forth separately herein.</w:t>
      </w:r>
    </w:p>
    <w:p>
      <w:pPr>
        <w:pStyle w:val="BodyText"/>
      </w:pPr>
      <w:r>
        <w:t xml:space="preserve">12. On or about May 8, 2025, Plaintiff filed Charges of Discrimination against Defendant with the Colorado Civil Rights Division (“CCRD”) and the Equal Employment Opportunity Commission (“EEOC”) (CCRD Charge No. E2500029949 and EEOC Charge No. 32A-2025-00666), alleging discrimination and harassment based on Plaintiff’s race and retaliation for opposing unlawful discrimination.</w:t>
      </w:r>
    </w:p>
    <w:p>
      <w:pPr>
        <w:pStyle w:val="BodyText"/>
      </w:pPr>
      <w:r>
        <w:t xml:space="preserve">13. The CCRD issued a Notice of Right to Sue with respect to Plaintiff’s Charge of Discrimination on or about December 19, 2025.</w:t>
      </w:r>
    </w:p>
    <w:p>
      <w:pPr>
        <w:pStyle w:val="BodyText"/>
      </w:pPr>
      <w:r>
        <w:t xml:space="preserve">14. Mr. Walton has met all administrative prerequisites prior to filing this action.</w:t>
      </w:r>
    </w:p>
    <w:p>
      <w:pPr>
        <w:pStyle w:val="BodyBeforeHeading"/>
      </w:pPr>
      <w:r>
        <w:t xml:space="preserve">15. Mr. Walton files this Complaint within ninety (90) days of receiving the Notice of Right to Sue issued by the CCRD.</w:t>
      </w:r>
    </w:p>
    <w:p>
      <w:pPr>
        <w:pStyle w:val="Heading1"/>
      </w:pPr>
      <w:bookmarkStart w:id="113" w:name="_d221e47df2d2bfb45f1f5035ae39638c7f80357"/>
      <w:r>
        <w:t xml:space="preserve">FACTUAL ALLEGATIONS</w:t>
      </w:r>
      <w:bookmarkEnd w:id="113"/>
    </w:p>
    <w:p>
      <w:pPr>
        <w:pStyle w:val="FirstParagraph"/>
      </w:pPr>
      <w:r>
        <w:t xml:space="preserve">16. Mr. Walton incorporates by reference the above paragraphs as though set forth separately herein.</w:t>
      </w:r>
    </w:p>
    <w:p>
      <w:pPr>
        <w:pStyle w:val="BodyText"/>
      </w:pPr>
      <w:r>
        <w:t xml:space="preserve">17. Mr. Walton began working for Defendant as a Machine Operator on or about March 10, 2025.</w:t>
      </w:r>
    </w:p>
    <w:p>
      <w:pPr>
        <w:pStyle w:val="BodyText"/>
      </w:pPr>
      <w:r>
        <w:t xml:space="preserve">18. Mr. Walton worked at Defendant’s facility located at 1955 South Cherokee Street, Denver, Colorado 80223.</w:t>
      </w:r>
    </w:p>
    <w:p>
      <w:pPr>
        <w:pStyle w:val="BodyText"/>
      </w:pPr>
      <w:r>
        <w:t xml:space="preserve">19. At all times during his employment, Mr. Walton performed his job well and in accordance with Defendant’s legitimate expectations.</w:t>
      </w:r>
    </w:p>
    <w:p>
      <w:pPr>
        <w:pStyle w:val="BodyText"/>
      </w:pPr>
      <w:r>
        <w:t xml:space="preserve">20. Mr. Walton is African-American/Black and is a member of a protected class.</w:t>
      </w:r>
    </w:p>
    <w:p>
      <w:pPr>
        <w:pStyle w:val="BodyText"/>
      </w:pPr>
      <w:r>
        <w:t xml:space="preserve">21. On or about March 18, 2025, while rap music was playing, Mr. Walton’s coworker and line lead, Aaron Roberts (White), made comments to Mr. Walton, referring to the rap music as “your music” and inquiring as to why “you” (Black people) listen to music talking about killing each other, selling drugs, and robbing and destroying the community.</w:t>
      </w:r>
    </w:p>
    <w:p>
      <w:pPr>
        <w:pStyle w:val="BodyText"/>
      </w:pPr>
      <w:r>
        <w:t xml:space="preserve">22. Mr. Walton asked Mr. Roberts to talk about something different and informed Mr. Roberts that what he was saying was racist.</w:t>
      </w:r>
    </w:p>
    <w:p>
      <w:pPr>
        <w:pStyle w:val="BodyText"/>
      </w:pPr>
      <w:r>
        <w:t xml:space="preserve">23. Robert Kapfhamer (White), another coworker, also told Mr. Walton, “We don’t have to hear your black music; we don’t like black music anyways.”</w:t>
      </w:r>
    </w:p>
    <w:p>
      <w:pPr>
        <w:pStyle w:val="BodyText"/>
      </w:pPr>
      <w:r>
        <w:t xml:space="preserve">24. Mr. Walton immediately reported this interaction to his supervisor, Mike Susman (White), on March 18, 2025, and asked if he could be moved from the area.</w:t>
      </w:r>
    </w:p>
    <w:p>
      <w:pPr>
        <w:pStyle w:val="BodyText"/>
      </w:pPr>
      <w:r>
        <w:t xml:space="preserve">25. Mr. Susman refused Mr. Walton’s request to be relocated away from the coworkers making offensive and racist remarks.</w:t>
      </w:r>
    </w:p>
    <w:p>
      <w:pPr>
        <w:pStyle w:val="BodyText"/>
      </w:pPr>
      <w:r>
        <w:t xml:space="preserve">26. On or about March 26, 2025, Mr. Susman took Mr. Walton and Mr. Roberts to meet with Susan Graham Bartholomew (White), Defendant’s HR Director, to address workplace issues between Mr. Walton and Mr. Roberts.</w:t>
      </w:r>
    </w:p>
    <w:p>
      <w:pPr>
        <w:pStyle w:val="BodyText"/>
      </w:pPr>
      <w:r>
        <w:t xml:space="preserve">27. At the start of the meeting, Mr. Susman stated directly to Mr. Walton, “Sean, this is a warning,” despite the fact that Mr. Walton was not accused of doing anything wrong, and had simply expressed concerns regarding racist conduct.</w:t>
      </w:r>
    </w:p>
    <w:p>
      <w:pPr>
        <w:pStyle w:val="BodyText"/>
      </w:pPr>
      <w:r>
        <w:t xml:space="preserve">28. During the meeting, Mr. Roberts admitted that he was aware he had made inappropriate comments.</w:t>
      </w:r>
    </w:p>
    <w:p>
      <w:pPr>
        <w:pStyle w:val="BodyText"/>
      </w:pPr>
      <w:r>
        <w:t xml:space="preserve">29. Ms. Bartholomew responded to Mr. Walton’s report of Mr. Roberts’ unlawful harassment by stating that “[we] just need to get along and work together.”</w:t>
      </w:r>
    </w:p>
    <w:p>
      <w:pPr>
        <w:pStyle w:val="BodyText"/>
      </w:pPr>
      <w:r>
        <w:t xml:space="preserve">30. Ms. Bartholomew sent Mr. Walton back to work without issuing any written warning to Mr. Roberts.</w:t>
      </w:r>
    </w:p>
    <w:p>
      <w:pPr>
        <w:pStyle w:val="BodyText"/>
      </w:pPr>
      <w:r>
        <w:t xml:space="preserve">31. Mr. Susman took photographs of the vandalism and called an emergency meeting with the entire retail crew.</w:t>
      </w:r>
    </w:p>
    <w:p>
      <w:pPr>
        <w:pStyle w:val="BodyText"/>
      </w:pPr>
      <w:r>
        <w:t xml:space="preserve">32. During this meeting, Nick Glenn (White), the Super Stick Production Manager, stated, “my daddy is a Klan member,” and “I grew up around Klan members.”</w:t>
      </w:r>
    </w:p>
    <w:p>
      <w:pPr>
        <w:pStyle w:val="BodyText"/>
      </w:pPr>
      <w:r>
        <w:t xml:space="preserve">33. Mr. Glenn also stated, “Why wouldn’t I think that one of [y’all] did this?” in reference to Defendant’s African-American/Black employees.</w:t>
      </w:r>
    </w:p>
    <w:p>
      <w:pPr>
        <w:pStyle w:val="BodyText"/>
      </w:pPr>
      <w:r>
        <w:t xml:space="preserve">34. The vandalism was covered up with spray paint and other materials.</w:t>
      </w:r>
    </w:p>
    <w:p>
      <w:pPr>
        <w:pStyle w:val="BodyText"/>
      </w:pPr>
      <w:r>
        <w:t xml:space="preserve">35. Later that same day, a maintenance worker employed by Defendant reported that another swastika had been carved on the bathroom paper towel dispenser.</w:t>
      </w:r>
    </w:p>
    <w:p>
      <w:pPr>
        <w:pStyle w:val="BodyText"/>
      </w:pPr>
      <w:r>
        <w:t xml:space="preserve">36. Before the second carving could be removed, Mr. Susman discovered Mr. Walton and another employee taking photographs of the vandalism and discussing the incident.</w:t>
      </w:r>
    </w:p>
    <w:p>
      <w:pPr>
        <w:pStyle w:val="BodyText"/>
      </w:pPr>
      <w:r>
        <w:t xml:space="preserve">37. Mr. Susman told Mr. Walton and the other employees that they needed to return to their workstations because they were not on a break and they were not using the bathroom.</w:t>
      </w:r>
    </w:p>
    <w:p>
      <w:pPr>
        <w:pStyle w:val="BodyText"/>
      </w:pPr>
      <w:r>
        <w:t xml:space="preserve">38. Mr. Walton expressed to Mr. Susman that he felt Mr. Susman did not fully grasp the severity and impact of these racist and bigoted acts.</w:t>
      </w:r>
    </w:p>
    <w:p>
      <w:pPr>
        <w:pStyle w:val="BodyText"/>
      </w:pPr>
      <w:r>
        <w:t xml:space="preserve">39. Mr. Susman warned Mr. Walton that he would send Mr. Walton home if he continued to “escalate” the situation.</w:t>
      </w:r>
    </w:p>
    <w:p>
      <w:pPr>
        <w:pStyle w:val="BodyText"/>
      </w:pPr>
      <w:r>
        <w:t xml:space="preserve">40. Following these incidents, Mr. Walton notified Ms. Bartholomew that he wanted to go home for the day because the situation was making him uncomfortable.</w:t>
      </w:r>
    </w:p>
    <w:p>
      <w:pPr>
        <w:pStyle w:val="BodyText"/>
      </w:pPr>
      <w:r>
        <w:t xml:space="preserve">41. With Ms. Bartholomew’s permission, Mr. Walton left work early that day with approximately 2.5 hours remaining on his shift.</w:t>
      </w:r>
    </w:p>
    <w:p>
      <w:pPr>
        <w:pStyle w:val="BodyText"/>
      </w:pPr>
      <w:r>
        <w:t xml:space="preserve">42. Ms. Bartholomew accompanied Mr. Walton as he exited the facility.</w:t>
      </w:r>
    </w:p>
    <w:p>
      <w:pPr>
        <w:pStyle w:val="BodyText"/>
      </w:pPr>
      <w:r>
        <w:t xml:space="preserve">43. While walking together, they passed the racist vandalism, which Ms. Bartholomew observed.</w:t>
      </w:r>
    </w:p>
    <w:p>
      <w:pPr>
        <w:pStyle w:val="BodyText"/>
      </w:pPr>
      <w:r>
        <w:t xml:space="preserve">44. On March 27, 2025, Mr. Walton arrived at work at approximately 4:30 a.m.</w:t>
      </w:r>
    </w:p>
    <w:p>
      <w:pPr>
        <w:pStyle w:val="BodyText"/>
      </w:pPr>
      <w:r>
        <w:t xml:space="preserve">45. Mr. Glenn informed Mr. Walton not to clock in and told him that he was terminated for leaving the previous day without telling his supervisor.</w:t>
      </w:r>
    </w:p>
    <w:p>
      <w:pPr>
        <w:pStyle w:val="BodyText"/>
      </w:pPr>
      <w:r>
        <w:t xml:space="preserve">46. Mr. Walton informed Mr. Glenn that he had spoken with Ms. Bartholomew before leaving work the prior day to confirm permission to leave work early.</w:t>
      </w:r>
    </w:p>
    <w:p>
      <w:pPr>
        <w:pStyle w:val="BodyText"/>
      </w:pPr>
      <w:r>
        <w:t xml:space="preserve">47. Mr. Glenn stated that because Ms. Bartholomew was not Mr. Walton’s supervisor and Mr. Walton had not expressly received permission from a supervisor, Defendant was terminating Mr. Walton.</w:t>
      </w:r>
    </w:p>
    <w:p>
      <w:pPr>
        <w:pStyle w:val="BodyBeforeHeading"/>
      </w:pPr>
      <w:r>
        <w:t xml:space="preserve">48. Defendant did not identify or discipline the person responsible for the racist vandalism.</w:t>
      </w:r>
    </w:p>
    <w:p>
      <w:pPr>
        <w:pStyle w:val="Heading1"/>
      </w:pPr>
      <w:bookmarkStart w:id="114" w:name="_06f0489481602a8120652f7d2c08fb3362d9f45"/>
      <w:r>
        <w:t xml:space="preserve">FIRST CLAIM FOR RELIEF</w:t>
      </w:r>
      <w:bookmarkEnd w:id="114"/>
    </w:p>
    <w:p>
      <w:pPr>
        <w:pStyle w:val="Heading2"/>
      </w:pPr>
      <w:bookmarkStart w:id="115" w:name="_de349c0a9d6c8aff8e1680a7783476e8e00c431"/>
      <w:r>
        <w:t xml:space="preserve">Discrimination Based on Race in Violation of CADA</w:t>
      </w:r>
      <w:bookmarkEnd w:id="115"/>
    </w:p>
    <w:p>
      <w:pPr>
        <w:pStyle w:val="FirstParagraph"/>
      </w:pPr>
      <w:r>
        <w:t xml:space="preserve">49. Mr. Walton incorporates by reference the above paragraphs as though set forth separately herein.</w:t>
      </w:r>
    </w:p>
    <w:p>
      <w:pPr>
        <w:pStyle w:val="BodyText"/>
      </w:pPr>
      <w:r>
        <w:t xml:space="preserve">50. At all times relevant to this Complaint, Mr. Walton served as an “employee” as defined by C.R.S. § 24-34-401(2).</w:t>
      </w:r>
    </w:p>
    <w:p>
      <w:pPr>
        <w:pStyle w:val="BodyBeforeHeading"/>
      </w:pPr>
      <w:r>
        <w:t xml:space="preserve">51. At all times relevant to this Complaint, Defendant acted as an “employer” as defined by C.R.S. § 24-34-401(3).</w:t>
      </w:r>
    </w:p>
    <w:p>
      <w:pPr>
        <w:pStyle w:val="Heading1"/>
      </w:pPr>
      <w:bookmarkStart w:id="116" w:name="_7e803e90bbdc967ff0e6bf6e8a786a315e04f35"/>
      <w:r>
        <w:t xml:space="preserve">THIRD CLAIM FOR RELIEF</w:t>
      </w:r>
      <w:bookmarkEnd w:id="116"/>
    </w:p>
    <w:p>
      <w:pPr>
        <w:pStyle w:val="Heading2"/>
      </w:pPr>
      <w:bookmarkStart w:id="117" w:name="_0cf2b87fbe195f56032331276a923d9d1109af4"/>
      <w:r>
        <w:t xml:space="preserve">Retaliation in Violation of CADA</w:t>
      </w:r>
      <w:bookmarkEnd w:id="117"/>
    </w:p>
    <w:p>
      <w:pPr>
        <w:pStyle w:val="FirstParagraph"/>
      </w:pPr>
      <w:r>
        <w:t xml:space="preserve">52. Mr. Walton incorporates the above paragraphs as though set forth separately herein.</w:t>
      </w:r>
    </w:p>
    <w:p>
      <w:pPr>
        <w:pStyle w:val="BodyText"/>
      </w:pPr>
      <w:r>
        <w:t xml:space="preserve">53. At all times relevant to this Complaint, Mr. Walton served as an “employee” as defined by C.R.S. § 24-34-401(2).</w:t>
      </w:r>
    </w:p>
    <w:p>
      <w:pPr>
        <w:pStyle w:val="BodyText"/>
      </w:pPr>
      <w:r>
        <w:t xml:space="preserve">54. At all times relevant to this Complaint, Defendant acted as an “employer” as defined by C.R.S. § 24-34-401(3).</w:t>
      </w:r>
    </w:p>
    <w:p>
      <w:pPr>
        <w:pStyle w:val="BodyText"/>
      </w:pPr>
      <w:r>
        <w:t xml:space="preserve">55. CADA makes it an unlawful employment practice for an employer to retaliate or discriminate against any individual because he has opposed unlawful employment practices or otherwise engaged in protected activity.</w:t>
      </w:r>
    </w:p>
    <w:p>
      <w:pPr>
        <w:pStyle w:val="BodyText"/>
      </w:pPr>
      <w:r>
        <w:t xml:space="preserve">56. Mr. Walton engaged in protected activity when he, inter alia: reported racist comments to his supervisor, Mr. Susman, on or about March 18, 2025; participated in a meeting regarding harassment on or about March 26, 2025; and reported bathroom vandalism on or about March 26, 2025.</w:t>
      </w:r>
    </w:p>
    <w:p>
      <w:pPr>
        <w:pStyle w:val="BodyText"/>
      </w:pPr>
      <w:r>
        <w:t xml:space="preserve">57. Defendant unlawfully retaliated against Mr. Walton when it subjected him to a retaliatory hostile work environment.</w:t>
      </w:r>
    </w:p>
    <w:p>
      <w:pPr>
        <w:pStyle w:val="BodyText"/>
      </w:pPr>
      <w:r>
        <w:t xml:space="preserve">58. Defendant further retaliated against Mr. Walton when it terminated his employment on or about March 27, 2025.</w:t>
      </w:r>
    </w:p>
    <w:p>
      <w:pPr>
        <w:pStyle w:val="BodyText"/>
      </w:pPr>
      <w:r>
        <w:t xml:space="preserve">59. A causal connection exists between Mr. Walton’s protected activities and Defendant’s unlawful retaliation.</w:t>
      </w:r>
    </w:p>
    <w:p>
      <w:pPr>
        <w:pStyle w:val="BodyText"/>
      </w:pPr>
      <w:r>
        <w:t xml:space="preserve">60. Mr. Walton’s termination is a consequence that would tend to discourage a reasonable employee from engaging in protected activity, including reporting discrimination and harassment.</w:t>
      </w:r>
    </w:p>
    <w:p>
      <w:pPr>
        <w:pStyle w:val="BodyText"/>
      </w:pPr>
      <w:r>
        <w:t xml:space="preserve">61. Defendant’s above-described conduct was willful, wanton, and/or committed with reckless indifference to Mr. Walton’s protected rights.</w:t>
      </w:r>
    </w:p>
    <w:p>
      <w:pPr>
        <w:pStyle w:val="BodyBeforeHeading"/>
      </w:pPr>
      <w:r>
        <w:t xml:space="preserve">62. As a direct and proximate result of Defendant’s above-described discriminatory or unfair employment practices, Mr. Walton has suffered damages, including lost wages and benefits, emotional pain and suffering, embarrassment, and inconvenience; and Mr. Walton is entitled to such non-economic damages, economic damages, punitive damages, and attorneys’ fees and costs as permitted by law.</w:t>
      </w:r>
    </w:p>
    <w:p>
      <w:pPr>
        <w:pStyle w:val="Heading1"/>
      </w:pPr>
      <w:bookmarkStart w:id="118" w:name="_37675b7117269cf828bcc6a5ccac9a5863fb14e"/>
      <w:r>
        <w:t xml:space="preserve">FOURTH CLAIM FOR RELIEF</w:t>
      </w:r>
      <w:bookmarkEnd w:id="118"/>
    </w:p>
    <w:p>
      <w:pPr>
        <w:pStyle w:val="Heading2"/>
      </w:pPr>
      <w:bookmarkStart w:id="119" w:name="_efb7d9a4c62dd4fb17b2e2973640c0c75203b6f"/>
      <w:r>
        <w:t xml:space="preserve">Race Discrimination in Violation of Section 1981</w:t>
      </w:r>
      <w:bookmarkEnd w:id="119"/>
    </w:p>
    <w:p>
      <w:pPr>
        <w:pStyle w:val="FirstParagraph"/>
      </w:pPr>
      <w:r>
        <w:t xml:space="preserve">63. Mr. Walton incorporates the above paragraphs as though set forth separately herein.</w:t>
      </w:r>
    </w:p>
    <w:p>
      <w:pPr>
        <w:pStyle w:val="BodyText"/>
      </w:pPr>
      <w:r>
        <w:t xml:space="preserve">64. Section 1981 prohibits discrimination based on race in the making and enforcement of contracts and is designed to include a remedy against discrimination in employment on the basis of race.</w:t>
      </w:r>
      <w:r>
        <w:t xml:space="preserve"> </w:t>
      </w:r>
      <w:r>
        <w:rPr>
          <w:i/>
          <w:iCs/>
        </w:rPr>
        <w:t xml:space="preserve">See</w:t>
      </w:r>
      <w:r>
        <w:t xml:space="preserve"> </w:t>
      </w:r>
      <w:r>
        <w:t xml:space="preserve">42 U.S.C. § 1981(a) – (b);</w:t>
      </w:r>
      <w:r>
        <w:t xml:space="preserve"> </w:t>
      </w:r>
      <w:r>
        <w:rPr>
          <w:i/>
          <w:iCs/>
        </w:rPr>
        <w:t xml:space="preserve">see also Casias v. Raytheon Co.</w:t>
      </w:r>
      <w:r>
        <w:t xml:space="preserve">, No. 17-CV-2635-MSK, 2019 WL 1170546, at *4 (D. Colo. Mar. 13, 2019).</w:t>
      </w:r>
    </w:p>
    <w:p>
      <w:pPr>
        <w:pStyle w:val="BodyText"/>
      </w:pPr>
      <w:r>
        <w:t xml:space="preserve">65. Under Section 1981, all persons have the same right to make and enforce contracts and to enjoy the full and equal benefits of all laws.</w:t>
      </w:r>
    </w:p>
    <w:p>
      <w:pPr>
        <w:pStyle w:val="BodyText"/>
      </w:pPr>
      <w:r>
        <w:t xml:space="preserve">66. Employment contracts are among those contracts protected by Section 1981.</w:t>
      </w:r>
    </w:p>
    <w:p>
      <w:pPr>
        <w:pStyle w:val="BodyText"/>
      </w:pPr>
      <w:r>
        <w:t xml:space="preserve">67. Section 1981 declares:</w:t>
      </w:r>
    </w:p>
    <w:p>
      <w:pPr>
        <w:pStyle w:val="BlockText"/>
      </w:pPr>
      <w:r>
        <w:t xml:space="preserve">All persons within the jurisdiction of the United States shall have the same right in every State and Territory to make and enforce contracts, to sue, be parties, give evidence, and to the full and equal benefit of all laws and proceedings for the security of persons and property as is enjoyed by white citizens, and shall be subject to like punishment, pains, penalties, taxes, licenses, and exactions of every kind, and to no other.</w:t>
      </w:r>
    </w:p>
    <w:p>
      <w:pPr>
        <w:pStyle w:val="BlockText"/>
      </w:pPr>
      <w:r>
        <w:t xml:space="preserve">…</w:t>
      </w:r>
    </w:p>
    <w:p>
      <w:pPr>
        <w:pStyle w:val="BlockText"/>
      </w:pPr>
      <w:r>
        <w:t xml:space="preserve">For purposes of this section, the term “make and enforce contracts” includes the making, performance, modification, and termination of contracts, and the enjoyment of all benefits, privileges, terms, and conditions of the contractual relationship.</w:t>
      </w:r>
      <w:r>
        <w:t xml:space="preserve"> </w:t>
      </w:r>
      <w:r>
        <w:rPr>
          <w:i/>
          <w:iCs/>
        </w:rPr>
        <w:t xml:space="preserve">Id.</w:t>
      </w:r>
    </w:p>
    <w:p>
      <w:pPr>
        <w:pStyle w:val="FirstParagraph"/>
      </w:pPr>
      <w:r>
        <w:t xml:space="preserve">68. On or about March 10, 2025, Defendant entered into a contract with Mr. Walton that is subject to Section 1981.</w:t>
      </w:r>
    </w:p>
    <w:p>
      <w:pPr>
        <w:pStyle w:val="BodyText"/>
      </w:pPr>
      <w:r>
        <w:t xml:space="preserve">69. Mr. Walton is a member of a protected class pursuant to Section 1981 because he is African-American/Black.</w:t>
      </w:r>
    </w:p>
    <w:p>
      <w:pPr>
        <w:pStyle w:val="BodyText"/>
      </w:pPr>
      <w:r>
        <w:t xml:space="preserve">70. But for Mr. Walton’s race, Defendant would not have discriminated against him.</w:t>
      </w:r>
    </w:p>
    <w:p>
      <w:pPr>
        <w:pStyle w:val="BodyText"/>
      </w:pPr>
      <w:r>
        <w:t xml:space="preserve">71. Defendant denied Mr. Walton “benefits, privileges, terms, [or] conditions of the contractual relationship” because of racial animus.</w:t>
      </w:r>
    </w:p>
    <w:p>
      <w:pPr>
        <w:pStyle w:val="BodyText"/>
      </w:pPr>
      <w:r>
        <w:t xml:space="preserve">72. Defendant denied Mr. Walton “benefits, privileges, terms, [or] conditions of the contractual relationship” when it, including but not limited to, subjected Mr. Walton to a hostile work environment, failed to alleviate Mr. Walton from the discriminatory conduct while at work, and terminated him.</w:t>
      </w:r>
    </w:p>
    <w:p>
      <w:pPr>
        <w:pStyle w:val="BodyText"/>
      </w:pPr>
      <w:r>
        <w:t xml:space="preserve">73. Defendant terminated Mr. Walton, denying him full and equal benefit of all laws based on race, ancestry, ethnicity, and/or ethnic traits, unlike similarly situated employees outside of Mr. Walton’s protected class.</w:t>
      </w:r>
    </w:p>
    <w:p>
      <w:pPr>
        <w:pStyle w:val="BodyText"/>
      </w:pPr>
      <w:r>
        <w:t xml:space="preserve">74. Defendant’s disparate treatment of Mr. Walton was aimed at him because of his race, ancestry, ethnicity, and/or ethnic traits, resulted in adverse impacts on the terms and conditions of Mr. Walton’s employment, and further subjected him to retaliation.</w:t>
      </w:r>
    </w:p>
    <w:p>
      <w:pPr>
        <w:pStyle w:val="BodyBeforeHeading"/>
      </w:pPr>
      <w:r>
        <w:t xml:space="preserve">75. As a direct and proximate result of Defendant’s above-described actions, Mr. Walton has suffered damages, including lost wages and benefits, non-economic damages, punitive damages, and attorneys’ fees and costs as permitted by law.</w:t>
      </w:r>
    </w:p>
    <w:p>
      <w:pPr>
        <w:pStyle w:val="Heading1"/>
      </w:pPr>
      <w:bookmarkStart w:id="120" w:name="_ef66b8fb8023651585f5d55fe5a420ee6f5e8cc"/>
      <w:r>
        <w:t xml:space="preserve">PRAYER FOR RELIEF</w:t>
      </w:r>
      <w:bookmarkEnd w:id="120"/>
    </w:p>
    <w:p>
      <w:pPr>
        <w:pStyle w:val="FirstParagraph"/>
      </w:pPr>
      <w:r>
        <w:t xml:space="preserve">WHEREFORE, Mr. Walton respectfully requests that this Court enter judgment in his favor against Defendant and order the following relief as allowed by law:</w:t>
      </w:r>
    </w:p>
    <w:p>
      <w:pPr>
        <w:pStyle w:val="Lettered"/>
      </w:pPr>
      <w:r>
        <w:t xml:space="preserve">A.</w:t>
      </w:r>
      <w:r>
        <w:tab/>
      </w:r>
      <w:r>
        <w:t xml:space="preserve">Economic damages;</w:t>
      </w:r>
    </w:p>
    <w:p>
      <w:pPr>
        <w:pStyle w:val="Lettered"/>
      </w:pPr>
      <w:r>
        <w:t xml:space="preserve">B.</w:t>
      </w:r>
      <w:r>
        <w:tab/>
      </w:r>
      <w:r>
        <w:t xml:space="preserve">Compensatory damages;</w:t>
      </w:r>
    </w:p>
    <w:p>
      <w:pPr>
        <w:pStyle w:val="Lettered"/>
      </w:pPr>
      <w:r>
        <w:t xml:space="preserve">C.</w:t>
      </w:r>
      <w:r>
        <w:tab/>
      </w:r>
      <w:r>
        <w:t xml:space="preserve">Punitive damages as allowed by law;</w:t>
      </w:r>
    </w:p>
    <w:p>
      <w:pPr>
        <w:pStyle w:val="Lettered"/>
      </w:pPr>
      <w:r>
        <w:t xml:space="preserve">D.</w:t>
      </w:r>
      <w:r>
        <w:tab/>
      </w:r>
      <w:r>
        <w:t xml:space="preserve">Attorneys’ fees and costs of this action;</w:t>
      </w:r>
    </w:p>
    <w:p>
      <w:pPr>
        <w:pStyle w:val="Lettered"/>
      </w:pPr>
      <w:r>
        <w:t xml:space="preserve">E.</w:t>
      </w:r>
      <w:r>
        <w:tab/>
      </w:r>
      <w:r>
        <w:t xml:space="preserve">Pre-judgment and post-judgment interest at the highest lawful rate; and</w:t>
      </w:r>
    </w:p>
    <w:p>
      <w:pPr>
        <w:pStyle w:val="Lettered"/>
      </w:pPr>
      <w:r>
        <w:t xml:space="preserve">F.</w:t>
      </w:r>
      <w:r>
        <w:tab/>
      </w:r>
      <w:r>
        <w:t xml:space="preserve">Such further relief as the Court deems just and proper.</w:t>
      </w:r>
    </w:p>
    <w:p>
      <w:pPr>
        <w:pStyle w:val="Heading1"/>
      </w:pPr>
      <w:bookmarkStart w:id="121" w:name="_3a29698ad4ef7f1642d8b511daf1ca500d3840c"/>
      <w:r>
        <w:t xml:space="preserve">JURY TRIAL DEMAND</w:t>
      </w:r>
      <w:bookmarkEnd w:id="121"/>
    </w:p>
    <w:p>
      <w:pPr>
        <w:pStyle w:val="FirstParagraph"/>
      </w:pPr>
      <w:r>
        <w:t xml:space="preserve">Plaintiff requests a trial by jury on all issues so triable.</w:t>
      </w:r>
    </w:p>
    <w:p>
      <w:pPr>
        <w:pStyle w:val="SingleKeep"/>
        <w:spacing w:before="480" w:after="0"/>
      </w:pPr>
      <w:r>
        <w:t xml:space="preserve">DATE: March 19, 2026.</w:t>
      </w:r>
    </w:p>
    <w:p>
      <w:pPr>
        <w:pStyle w:val="SingleKeep"/>
        <w:spacing w:before="0" w:after="0"/>
      </w:pPr>
      <w:r>
        <w:t xml:space="preserve">Respectfully submitted,</w:t>
      </w:r>
    </w:p>
    <w:p>
      <w:pPr>
        <w:pStyle w:val="SingleKeep"/>
        <w:spacing w:before="156" w:after="0"/>
      </w:pPr>
      <w:r>
        <w:t xml:space="preserve">HKM EMPLOYMENT ATTORNEYS, LLP</w:t>
      </w:r>
    </w:p>
    <w:p>
      <w:pPr>
        <w:pStyle w:val="SingleKeep"/>
        <w:spacing w:before="480" w:after="0"/>
      </w:pPr>
      <w:r>
        <w:t xml:space="preserve">By: /s/ Andrew C. Quisenberry</w:t>
      </w:r>
    </w:p>
    <w:p>
      <w:pPr>
        <w:pStyle w:val="SingleKeep"/>
      </w:pPr>
      <w:r>
        <w:t xml:space="preserve">Andrew C. Quisenberry</w:t>
      </w:r>
    </w:p>
    <w:p>
      <w:pPr>
        <w:pStyle w:val="SingleKeep"/>
      </w:pPr>
      <w:r>
        <w:t xml:space="preserve">Jacqueline Guesno</w:t>
      </w:r>
    </w:p>
    <w:p>
      <w:pPr>
        <w:pStyle w:val="SingleKeep"/>
      </w:pPr>
      <w:r>
        <w:t xml:space="preserve">518 17th Street, Suite 1100</w:t>
      </w:r>
    </w:p>
    <w:p>
      <w:pPr>
        <w:pStyle w:val="SingleKeep"/>
      </w:pPr>
      <w:r>
        <w:t xml:space="preserve">Denver, Colorado 80202</w:t>
      </w:r>
    </w:p>
    <w:p>
      <w:pPr>
        <w:pStyle w:val="SingleKeep"/>
      </w:pPr>
      <w:r>
        <w:t xml:space="preserve">(720) 263-5415</w:t>
      </w:r>
    </w:p>
    <w:p>
      <w:pPr>
        <w:pStyle w:val="SingleKeep"/>
      </w:pPr>
      <w:r>
        <w:t xml:space="preserve">aquisenberry@hkm.com</w:t>
      </w:r>
    </w:p>
    <w:p>
      <w:pPr>
        <w:pStyle w:val="SingleKeep"/>
      </w:pPr>
      <w:r>
        <w:t xml:space="preserve">jguesno@hkm.com</w:t>
      </w:r>
    </w:p>
    <w:p>
      <w:pPr>
        <w:pStyle w:val="Single"/>
        <w:spacing w:before="480" w:after="0"/>
      </w:pPr>
      <w:r>
        <w:t xml:space="preserve">Attorneys for Plaintiff Wendell “Sean” Walton</w:t>
      </w:r>
    </w:p>
    <w:sectPr>
      <w:footerReference w:type="default" r:id="rId100"/>
      <w:pgSz w:w="12240" w:h="15840"/>
      <w:pgMar w:top="2160" w:right="1440" w:bottom="1440" w:left="1440" w:header="720" w:footer="78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spacing w:before="0" w:after="0" w:line="240" w:lineRule="auto"/>
      <w:ind w:firstLine="0"/>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0"/>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F4761" w:themeColor="accent1" w:themeShade="BF"/>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F4761" w:themeColor="accent1" w:themeShade="BF"/>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595959" w:themeColor="text1" w:themeTint="A6"/>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595959" w:themeColor="text1" w:themeTint="A6"/>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272727" w:themeColor="text1" w:themeTint="D8"/>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styleId="BodyText">
    <w:name w:val="Body Text"/>
    <w:basedOn w:val="Normal"/>
    <w:qFormat/>
    <w:pPr>
      <w:widowControl/>
      <w:spacing w:before="0" w:after="0" w:line="480" w:lineRule="exact"/>
      <w:ind w:firstLine="720"/>
      <w:jc w:val="left"/>
    </w:pPr>
  </w:style>
  <w:style w:type="paragraph" w:styleId="FirstParagraph">
    <w:name w:val="First Paragraph"/>
    <w:basedOn w:val="BodyText"/>
    <w:next w:val="BodyText"/>
    <w:qFormat/>
  </w:style>
  <w:style w:type="paragraph" w:styleId="Compact">
    <w:name w:val="Compact"/>
    <w:basedOn w:val="BodyText"/>
    <w:qFormat/>
    <w:pPr>
      <w:ind w:firstLine="0"/>
    </w:pPr>
  </w:style>
  <w:style w:type="paragraph" w:styleId="Heading1">
    <w:name w:val="heading 1"/>
    <w:basedOn w:val="Normal"/>
    <w:next w:val="BodyText"/>
    <w:uiPriority w:val="9"/>
    <w:qFormat/>
    <w:pPr>
      <w:keepNext/>
      <w:keepLines/>
      <w:widowControl/>
      <w:spacing w:before="0" w:after="130" w:line="480" w:lineRule="exact"/>
      <w:ind w:firstLine="0"/>
      <w:jc w:val="center"/>
      <w:outlineLvl w:val="0"/>
    </w:pPr>
    <w:rPr>
      <w:b/>
      <w:bCs/>
      <w:caps/>
      <w:color w:val="000000"/>
      <w:sz w:val="24"/>
      <w:szCs w:val="24"/>
    </w:rPr>
  </w:style>
  <w:style w:type="paragraph" w:styleId="Heading2">
    <w:name w:val="heading 2"/>
    <w:basedOn w:val="Normal"/>
    <w:next w:val="BodyText"/>
    <w:uiPriority w:val="9"/>
    <w:qFormat/>
    <w:pPr>
      <w:keepNext/>
      <w:keepLines/>
      <w:widowControl/>
      <w:spacing w:before="0" w:after="130" w:line="480" w:lineRule="exact"/>
      <w:ind w:firstLine="0"/>
      <w:jc w:val="center"/>
      <w:outlineLvl w:val="1"/>
    </w:pPr>
    <w:rPr>
      <w:b/>
      <w:bCs/>
      <w:color w:val="000000"/>
      <w:sz w:val="24"/>
      <w:szCs w:val="24"/>
    </w:rPr>
  </w:style>
  <w:style w:type="paragraph" w:styleId="Heading3">
    <w:name w:val="heading 3"/>
    <w:basedOn w:val="Normal"/>
    <w:next w:val="BodyText"/>
    <w:uiPriority w:val="9"/>
    <w:qFormat/>
    <w:pPr>
      <w:keepNext/>
      <w:keepLines/>
      <w:widowControl/>
      <w:spacing w:before="0" w:after="130" w:line="480" w:lineRule="exact"/>
      <w:ind w:firstLine="0"/>
      <w:jc w:val="left"/>
      <w:outlineLvl w:val="2"/>
    </w:pPr>
    <w:rPr>
      <w:b/>
      <w:bCs/>
      <w:i/>
      <w:iCs/>
      <w:color w:val="000000"/>
      <w:sz w:val="24"/>
      <w:szCs w:val="24"/>
    </w:rPr>
  </w:style>
  <w:style w:type="paragraph" w:styleId="Heading4">
    <w:name w:val="heading 4"/>
    <w:basedOn w:val="Normal"/>
    <w:next w:val="BodyText"/>
    <w:uiPriority w:val="9"/>
    <w:qFormat/>
    <w:pPr>
      <w:keepNext/>
      <w:keepLines/>
      <w:widowControl/>
      <w:spacing w:before="0" w:after="130" w:line="480" w:lineRule="exact"/>
      <w:ind w:firstLine="0"/>
      <w:jc w:val="left"/>
      <w:outlineLvl w:val="3"/>
    </w:pPr>
    <w:rPr>
      <w:b/>
      <w:bCs/>
      <w:color w:val="000000"/>
      <w:sz w:val="24"/>
      <w:szCs w:val="24"/>
    </w:rPr>
  </w:style>
  <w:style w:type="paragraph" w:styleId="BlockText">
    <w:name w:val="Block Text"/>
    <w:basedOn w:val="Normal"/>
    <w:next w:val="BodyText"/>
    <w:uiPriority w:val="9"/>
    <w:qFormat/>
    <w:pPr>
      <w:widowControl/>
      <w:spacing w:before="0" w:after="240" w:line="288" w:lineRule="exact"/>
      <w:ind w:left="1440" w:right="1440" w:firstLine="0"/>
      <w:jc w:val="left"/>
    </w:pPr>
  </w:style>
  <w:style w:type="paragraph" w:customStyle="1" w:styleId="BodyBeforeHeading">
    <w:name w:val="Body Before Heading"/>
    <w:basedOn w:val="BodyText"/>
    <w:qFormat/>
    <w:pPr>
      <w:widowControl/>
      <w:spacing w:before="0" w:after="130" w:line="480" w:lineRule="exact"/>
      <w:ind w:firstLine="720"/>
    </w:pPr>
  </w:style>
  <w:style w:type="paragraph" w:customStyle="1" w:styleId="Lettered">
    <w:name w:val="Lettered"/>
    <w:basedOn w:val="BodyText"/>
    <w:qFormat/>
    <w:pPr>
      <w:widowControl/>
      <w:tabs>
        <w:tab w:val="left" w:pos="1080"/>
      </w:tabs>
      <w:spacing w:before="0" w:after="0" w:line="480" w:lineRule="exact"/>
      <w:ind w:left="1080" w:hanging="360" w:firstLine="0"/>
    </w:pPr>
  </w:style>
  <w:style w:type="paragraph" w:customStyle="1" w:styleId="LetteredKeep">
    <w:name w:val="Lettered Keep"/>
    <w:basedOn w:val="Lettered"/>
    <w:qFormat/>
    <w:pPr>
      <w:keepNext/>
    </w:pPr>
  </w:style>
  <w:style w:type="paragraph" w:customStyle="1" w:styleId="BodyEnd">
    <w:name w:val="Body End"/>
    <w:basedOn w:val="BodyText"/>
    <w:qFormat/>
    <w:pPr>
      <w:keepNext/>
    </w:pPr>
  </w:style>
  <w:style w:type="paragraph" w:customStyle="1" w:styleId="Centered">
    <w:name w:val="Centered"/>
    <w:basedOn w:val="Normal"/>
    <w:qFormat/>
    <w:pPr>
      <w:keepLines/>
      <w:spacing w:before="0" w:after="0" w:line="288" w:lineRule="exact"/>
      <w:ind w:firstLine="0"/>
      <w:jc w:val="center"/>
    </w:pPr>
  </w:style>
  <w:style w:type="paragraph" w:customStyle="1" w:styleId="Single">
    <w:name w:val="Single"/>
    <w:basedOn w:val="Normal"/>
    <w:qFormat/>
    <w:pPr>
      <w:keepLines/>
      <w:spacing w:before="0" w:after="0" w:line="288" w:lineRule="exact"/>
      <w:ind w:firstLine="0"/>
      <w:jc w:val="left"/>
    </w:pPr>
  </w:style>
  <w:style w:type="paragraph" w:customStyle="1" w:styleId="SingleKeep">
    <w:name w:val="Single Keep"/>
    <w:basedOn w:val="Single"/>
    <w:qFormat/>
    <w:pPr>
      <w:keepNext/>
    </w:pPr>
  </w:style>
  <w:style w:type="paragraph" w:customStyle="1" w:styleId="Blank">
    <w:name w:val="Blank"/>
    <w:basedOn w:val="Normal"/>
    <w:qFormat/>
    <w:pPr>
      <w:keepNext/>
      <w:spacing w:before="0" w:after="0" w:line="480" w:lineRule="exact"/>
      <w:ind w:firstLine="0"/>
    </w:pPr>
  </w:style>
  <w:style w:type="paragraph" w:styleId="FootnoteText">
    <w:name w:val="footnote text"/>
    <w:basedOn w:val="Normal"/>
    <w:uiPriority w:val="99"/>
    <w:pPr>
      <w:spacing w:before="0" w:after="120" w:line="240" w:lineRule="auto"/>
      <w:ind w:firstLine="0"/>
    </w:pPr>
    <w:rPr>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2026-10-15T13:00:10Z</dcterms:created>
  <dcterms:modified xsi:type="dcterms:W3CDTF">2026-10-15T13:00:10Z</dcterms:modified>
</cp:coreProperties>
</file>

<file path=docProps/custom.xml><?xml version="1.0" encoding="utf-8"?>
<Properties xmlns="http://schemas.openxmlformats.org/officeDocument/2006/custom-properties" xmlns:vt="http://schemas.openxmlformats.org/officeDocument/2006/docPropsVTypes"/>
</file>